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pStyle w:val="6"/>
        <w:spacing w:before="93"/>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8441"/>
      <w:bookmarkStart w:id="2" w:name="_Toc15377425"/>
      <w:bookmarkStart w:id="3" w:name="_Toc15396475"/>
      <w:bookmarkStart w:id="4" w:name="_Toc15396597"/>
      <w:bookmarkStart w:id="5" w:name="_Toc15377193"/>
      <w:r>
        <w:rPr>
          <w:rFonts w:hint="eastAsia" w:ascii="方正小标宋简体" w:hAnsi="方正小标宋简体" w:eastAsia="方正小标宋简体" w:cs="方正小标宋简体"/>
          <w:sz w:val="72"/>
          <w:szCs w:val="72"/>
        </w:rPr>
        <w:t>2023年度</w:t>
      </w:r>
      <w:bookmarkEnd w:id="1"/>
      <w:bookmarkEnd w:id="2"/>
      <w:bookmarkEnd w:id="3"/>
      <w:bookmarkEnd w:id="4"/>
      <w:bookmarkEnd w:id="5"/>
    </w:p>
    <w:bookmarkEnd w:id="0"/>
    <w:p>
      <w:pPr>
        <w:spacing w:beforeLines="0" w:afterLines="0" w:line="360" w:lineRule="auto"/>
        <w:jc w:val="center"/>
        <w:rPr>
          <w:rFonts w:hint="eastAsia" w:ascii="方正小标宋简体" w:hAnsi="方正小标宋简体" w:eastAsia="方正小标宋简体"/>
          <w:kern w:val="2"/>
          <w:sz w:val="72"/>
          <w:lang w:val="zh-CN"/>
        </w:rPr>
      </w:pPr>
      <w:r>
        <w:rPr>
          <w:rFonts w:hint="eastAsia" w:ascii="方正小标宋简体" w:hAnsi="方正小标宋简体" w:eastAsia="方正小标宋简体"/>
          <w:kern w:val="2"/>
          <w:sz w:val="72"/>
          <w:lang w:val="zh-CN"/>
        </w:rPr>
        <w:t>乐山市交通综合行政执法支队单位决算</w:t>
      </w: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2"/>
      </w:pPr>
      <w:r>
        <w:rPr>
          <w:rFonts w:hint="eastAsia"/>
        </w:rPr>
        <w:t>公开时间：202</w:t>
      </w:r>
      <w:r>
        <w:rPr>
          <w:rFonts w:hint="eastAsia"/>
          <w:lang w:val="en-US" w:eastAsia="zh-CN"/>
        </w:rPr>
        <w:t>4</w:t>
      </w:r>
      <w:r>
        <w:rPr>
          <w:rFonts w:hint="eastAsia"/>
        </w:rPr>
        <w:t>年</w:t>
      </w:r>
      <w:r>
        <w:rPr>
          <w:rFonts w:hint="eastAsia"/>
          <w:lang w:val="en-US" w:eastAsia="zh-CN"/>
        </w:rPr>
        <w:t>10</w:t>
      </w:r>
      <w:r>
        <w:rPr>
          <w:rFonts w:hint="eastAsia"/>
        </w:rPr>
        <w:t>月</w:t>
      </w:r>
      <w:r>
        <w:rPr>
          <w:rFonts w:hint="eastAsia"/>
          <w:lang w:val="en-US" w:eastAsia="zh-CN"/>
        </w:rPr>
        <w:t>8</w:t>
      </w:r>
      <w:bookmarkStart w:id="61" w:name="_GoBack"/>
      <w:bookmarkEnd w:id="61"/>
      <w:r>
        <w:rPr>
          <w:rFonts w:hint="eastAsia"/>
        </w:rPr>
        <w:t>日</w:t>
      </w:r>
    </w:p>
    <w:p/>
    <w:p>
      <w:pPr>
        <w:pStyle w:val="12"/>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单位概况</w:t>
      </w:r>
    </w:p>
    <w:p>
      <w:pPr>
        <w:pStyle w:val="13"/>
        <w:adjustRightInd w:val="0"/>
        <w:snapToGrid w:val="0"/>
        <w:spacing w:line="440" w:lineRule="exact"/>
        <w:jc w:val="left"/>
        <w:rPr>
          <w:sz w:val="24"/>
        </w:rPr>
      </w:pPr>
      <w:r>
        <w:rPr>
          <w:rFonts w:hint="eastAsia"/>
          <w:sz w:val="24"/>
        </w:rPr>
        <w:t>一、主要职责</w:t>
      </w:r>
    </w:p>
    <w:p>
      <w:pPr>
        <w:pStyle w:val="13"/>
        <w:adjustRightInd w:val="0"/>
        <w:snapToGrid w:val="0"/>
        <w:spacing w:line="440" w:lineRule="exact"/>
        <w:jc w:val="left"/>
      </w:pPr>
      <w:r>
        <w:rPr>
          <w:rFonts w:hint="eastAsia"/>
          <w:sz w:val="24"/>
        </w:rPr>
        <w:t>二、机构设置</w:t>
      </w:r>
    </w:p>
    <w:p>
      <w:pPr>
        <w:pStyle w:val="12"/>
        <w:adjustRightInd w:val="0"/>
        <w:snapToGrid w:val="0"/>
        <w:spacing w:before="0" w:line="440" w:lineRule="exact"/>
        <w:jc w:val="left"/>
        <w:rPr>
          <w:sz w:val="24"/>
          <w:szCs w:val="24"/>
        </w:rPr>
      </w:pPr>
      <w:r>
        <w:rPr>
          <w:rFonts w:hint="eastAsia"/>
          <w:sz w:val="24"/>
        </w:rPr>
        <w:t>第二部分 2023年度单位决算情况说明</w:t>
      </w:r>
    </w:p>
    <w:p>
      <w:pPr>
        <w:pStyle w:val="13"/>
        <w:adjustRightInd w:val="0"/>
        <w:snapToGrid w:val="0"/>
        <w:spacing w:line="440" w:lineRule="exact"/>
        <w:jc w:val="left"/>
        <w:rPr>
          <w:rFonts w:ascii="仿宋" w:hAnsi="仿宋" w:eastAsia="仿宋" w:cstheme="minorBidi"/>
          <w:sz w:val="24"/>
        </w:rPr>
      </w:pPr>
      <w:r>
        <w:rPr>
          <w:rFonts w:hint="eastAsia"/>
          <w:sz w:val="24"/>
        </w:rPr>
        <w:t>一、收入支出决算总体情况说明</w:t>
      </w:r>
    </w:p>
    <w:p>
      <w:pPr>
        <w:pStyle w:val="13"/>
        <w:adjustRightInd w:val="0"/>
        <w:snapToGrid w:val="0"/>
        <w:spacing w:line="440" w:lineRule="exact"/>
        <w:jc w:val="left"/>
        <w:rPr>
          <w:rFonts w:ascii="仿宋" w:hAnsi="仿宋" w:eastAsia="仿宋" w:cstheme="minorBidi"/>
          <w:sz w:val="24"/>
        </w:rPr>
      </w:pPr>
      <w:r>
        <w:rPr>
          <w:rFonts w:hint="eastAsia"/>
          <w:sz w:val="24"/>
        </w:rPr>
        <w:t>二、收入决算情况说明</w:t>
      </w:r>
    </w:p>
    <w:p>
      <w:pPr>
        <w:pStyle w:val="13"/>
        <w:adjustRightInd w:val="0"/>
        <w:snapToGrid w:val="0"/>
        <w:spacing w:line="440" w:lineRule="exact"/>
        <w:jc w:val="left"/>
        <w:rPr>
          <w:rFonts w:ascii="仿宋" w:hAnsi="仿宋" w:eastAsia="仿宋" w:cstheme="minorBidi"/>
          <w:sz w:val="24"/>
        </w:rPr>
      </w:pPr>
      <w:r>
        <w:rPr>
          <w:rFonts w:hint="eastAsia"/>
          <w:sz w:val="24"/>
        </w:rPr>
        <w:t>三、支出决算情况说明</w:t>
      </w:r>
    </w:p>
    <w:p>
      <w:pPr>
        <w:pStyle w:val="13"/>
        <w:adjustRightInd w:val="0"/>
        <w:snapToGrid w:val="0"/>
        <w:spacing w:line="440" w:lineRule="exact"/>
        <w:jc w:val="left"/>
        <w:rPr>
          <w:rFonts w:ascii="仿宋" w:hAnsi="仿宋" w:eastAsia="仿宋" w:cstheme="minorBidi"/>
          <w:sz w:val="24"/>
        </w:rPr>
      </w:pPr>
      <w:r>
        <w:rPr>
          <w:rFonts w:hint="eastAsia"/>
          <w:sz w:val="24"/>
        </w:rPr>
        <w:t>四、财政拨款收入支出决算总体情况说明</w:t>
      </w:r>
    </w:p>
    <w:p>
      <w:pPr>
        <w:pStyle w:val="13"/>
        <w:adjustRightInd w:val="0"/>
        <w:snapToGrid w:val="0"/>
        <w:spacing w:line="440" w:lineRule="exact"/>
        <w:jc w:val="left"/>
        <w:rPr>
          <w:rFonts w:ascii="仿宋" w:hAnsi="仿宋" w:eastAsia="仿宋" w:cstheme="minorBidi"/>
          <w:sz w:val="24"/>
        </w:rPr>
      </w:pPr>
      <w:r>
        <w:rPr>
          <w:rFonts w:hint="eastAsia"/>
          <w:sz w:val="24"/>
        </w:rPr>
        <w:t>五、一般公共预算财政拨款支出决算情况说明</w:t>
      </w:r>
    </w:p>
    <w:p>
      <w:pPr>
        <w:pStyle w:val="13"/>
        <w:adjustRightInd w:val="0"/>
        <w:snapToGrid w:val="0"/>
        <w:spacing w:line="440" w:lineRule="exact"/>
        <w:jc w:val="left"/>
        <w:rPr>
          <w:rFonts w:ascii="仿宋" w:hAnsi="仿宋" w:eastAsia="仿宋" w:cstheme="minorBidi"/>
          <w:sz w:val="24"/>
        </w:rPr>
      </w:pPr>
      <w:r>
        <w:rPr>
          <w:rFonts w:hint="eastAsia"/>
          <w:sz w:val="24"/>
        </w:rPr>
        <w:t>六、一般公共预算财政拨款基本支出决算情况说明</w:t>
      </w:r>
    </w:p>
    <w:p>
      <w:pPr>
        <w:pStyle w:val="13"/>
        <w:adjustRightInd w:val="0"/>
        <w:snapToGrid w:val="0"/>
        <w:spacing w:line="440" w:lineRule="exact"/>
        <w:jc w:val="left"/>
        <w:rPr>
          <w:rFonts w:ascii="仿宋" w:hAnsi="仿宋" w:eastAsia="仿宋" w:cstheme="minorBidi"/>
          <w:sz w:val="24"/>
        </w:rPr>
      </w:pPr>
      <w:r>
        <w:rPr>
          <w:rFonts w:hint="eastAsia"/>
          <w:sz w:val="24"/>
        </w:rPr>
        <w:t>七、财政拨款“三公”经费支出决算情况说明</w:t>
      </w:r>
    </w:p>
    <w:p>
      <w:pPr>
        <w:pStyle w:val="13"/>
        <w:adjustRightInd w:val="0"/>
        <w:snapToGrid w:val="0"/>
        <w:spacing w:line="440" w:lineRule="exact"/>
        <w:jc w:val="left"/>
        <w:rPr>
          <w:rFonts w:ascii="仿宋" w:hAnsi="仿宋" w:eastAsia="仿宋" w:cstheme="minorBidi"/>
          <w:sz w:val="24"/>
        </w:rPr>
      </w:pPr>
      <w:r>
        <w:rPr>
          <w:rFonts w:hint="eastAsia"/>
          <w:sz w:val="24"/>
        </w:rPr>
        <w:t>八、政府性基金预算支出决算情况说明</w:t>
      </w:r>
    </w:p>
    <w:p>
      <w:pPr>
        <w:pStyle w:val="13"/>
        <w:adjustRightInd w:val="0"/>
        <w:snapToGrid w:val="0"/>
        <w:spacing w:line="440" w:lineRule="exact"/>
        <w:jc w:val="left"/>
        <w:rPr>
          <w:sz w:val="24"/>
        </w:rPr>
      </w:pPr>
      <w:r>
        <w:rPr>
          <w:rFonts w:hint="eastAsia"/>
          <w:sz w:val="24"/>
        </w:rPr>
        <w:t>九、国有资本经营预算支出决算情况说明</w:t>
      </w:r>
    </w:p>
    <w:p>
      <w:pPr>
        <w:pStyle w:val="13"/>
        <w:adjustRightInd w:val="0"/>
        <w:snapToGrid w:val="0"/>
        <w:spacing w:line="440" w:lineRule="exact"/>
        <w:jc w:val="left"/>
        <w:rPr>
          <w:sz w:val="24"/>
        </w:rPr>
      </w:pPr>
      <w:r>
        <w:rPr>
          <w:rFonts w:hint="eastAsia"/>
          <w:sz w:val="24"/>
        </w:rPr>
        <w:t>十、其他重要事项的情况说明</w:t>
      </w:r>
    </w:p>
    <w:p>
      <w:pPr>
        <w:pStyle w:val="12"/>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w:t>
      </w:r>
    </w:p>
    <w:p>
      <w:pPr>
        <w:pStyle w:val="12"/>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p>
    <w:p>
      <w:pPr>
        <w:pStyle w:val="12"/>
        <w:adjustRightInd w:val="0"/>
        <w:snapToGrid w:val="0"/>
        <w:spacing w:before="0" w:line="440" w:lineRule="exact"/>
        <w:jc w:val="left"/>
        <w:rPr>
          <w:rFonts w:cstheme="minorBidi"/>
          <w:sz w:val="24"/>
          <w:szCs w:val="24"/>
        </w:rPr>
      </w:pPr>
      <w:r>
        <w:rPr>
          <w:rFonts w:hint="eastAsia"/>
          <w:sz w:val="24"/>
        </w:rPr>
        <w:t>第五部分</w:t>
      </w:r>
      <w:r>
        <w:rPr>
          <w:sz w:val="24"/>
        </w:rPr>
        <w:t xml:space="preserve"> </w:t>
      </w:r>
      <w:r>
        <w:rPr>
          <w:rFonts w:hint="eastAsia"/>
          <w:sz w:val="24"/>
        </w:rPr>
        <w:t>附表</w:t>
      </w:r>
    </w:p>
    <w:p>
      <w:pPr>
        <w:pStyle w:val="13"/>
        <w:adjustRightInd w:val="0"/>
        <w:snapToGrid w:val="0"/>
        <w:spacing w:line="440" w:lineRule="exact"/>
        <w:jc w:val="left"/>
        <w:rPr>
          <w:sz w:val="24"/>
        </w:rPr>
      </w:pPr>
      <w:r>
        <w:rPr>
          <w:rFonts w:hint="eastAsia"/>
          <w:sz w:val="24"/>
        </w:rPr>
        <w:t>一、收入支出决算总表</w:t>
      </w:r>
    </w:p>
    <w:p>
      <w:pPr>
        <w:pStyle w:val="13"/>
        <w:adjustRightInd w:val="0"/>
        <w:snapToGrid w:val="0"/>
        <w:spacing w:line="440" w:lineRule="exact"/>
        <w:jc w:val="left"/>
        <w:rPr>
          <w:sz w:val="24"/>
        </w:rPr>
      </w:pPr>
      <w:r>
        <w:rPr>
          <w:rFonts w:hint="eastAsia"/>
          <w:sz w:val="24"/>
        </w:rPr>
        <w:t>二、收入决算表</w:t>
      </w:r>
    </w:p>
    <w:p>
      <w:pPr>
        <w:pStyle w:val="13"/>
        <w:adjustRightInd w:val="0"/>
        <w:snapToGrid w:val="0"/>
        <w:spacing w:line="440" w:lineRule="exact"/>
        <w:jc w:val="left"/>
        <w:rPr>
          <w:sz w:val="24"/>
        </w:rPr>
      </w:pPr>
      <w:r>
        <w:rPr>
          <w:rFonts w:hint="eastAsia"/>
          <w:sz w:val="24"/>
        </w:rPr>
        <w:t>三、支出决算表</w:t>
      </w:r>
    </w:p>
    <w:p>
      <w:pPr>
        <w:pStyle w:val="13"/>
        <w:adjustRightInd w:val="0"/>
        <w:snapToGrid w:val="0"/>
        <w:spacing w:line="440" w:lineRule="exact"/>
        <w:jc w:val="left"/>
        <w:rPr>
          <w:sz w:val="24"/>
        </w:rPr>
      </w:pPr>
      <w:r>
        <w:rPr>
          <w:rFonts w:hint="eastAsia"/>
          <w:sz w:val="24"/>
        </w:rPr>
        <w:t>四、财政拨款收入支出决算总表</w:t>
      </w:r>
    </w:p>
    <w:p>
      <w:pPr>
        <w:pStyle w:val="13"/>
        <w:adjustRightInd w:val="0"/>
        <w:snapToGrid w:val="0"/>
        <w:spacing w:line="440" w:lineRule="exact"/>
        <w:jc w:val="left"/>
        <w:rPr>
          <w:sz w:val="24"/>
        </w:rPr>
      </w:pPr>
      <w:r>
        <w:rPr>
          <w:rFonts w:hint="eastAsia"/>
          <w:sz w:val="24"/>
        </w:rPr>
        <w:t>五、财政拨款支出决算明细表</w:t>
      </w:r>
    </w:p>
    <w:p>
      <w:pPr>
        <w:pStyle w:val="13"/>
        <w:adjustRightInd w:val="0"/>
        <w:snapToGrid w:val="0"/>
        <w:spacing w:line="440" w:lineRule="exact"/>
        <w:jc w:val="left"/>
        <w:rPr>
          <w:sz w:val="24"/>
        </w:rPr>
      </w:pPr>
      <w:r>
        <w:rPr>
          <w:rFonts w:hint="eastAsia"/>
          <w:sz w:val="24"/>
        </w:rPr>
        <w:t>六、一般公共预算财政拨款支出决算表</w:t>
      </w:r>
    </w:p>
    <w:p>
      <w:pPr>
        <w:pStyle w:val="13"/>
        <w:adjustRightInd w:val="0"/>
        <w:snapToGrid w:val="0"/>
        <w:spacing w:line="440" w:lineRule="exact"/>
        <w:jc w:val="left"/>
        <w:rPr>
          <w:sz w:val="24"/>
        </w:rPr>
      </w:pPr>
      <w:r>
        <w:rPr>
          <w:rFonts w:hint="eastAsia"/>
          <w:sz w:val="24"/>
        </w:rPr>
        <w:t>七、一般公共预算财政拨款支出决算明细表</w:t>
      </w:r>
    </w:p>
    <w:p>
      <w:pPr>
        <w:pStyle w:val="13"/>
        <w:adjustRightInd w:val="0"/>
        <w:snapToGrid w:val="0"/>
        <w:spacing w:line="440" w:lineRule="exact"/>
        <w:jc w:val="left"/>
        <w:rPr>
          <w:sz w:val="24"/>
        </w:rPr>
      </w:pPr>
      <w:r>
        <w:rPr>
          <w:rFonts w:hint="eastAsia"/>
          <w:sz w:val="24"/>
        </w:rPr>
        <w:t>八、一般公共预算财政拨款基本支出决算明细表</w:t>
      </w:r>
    </w:p>
    <w:p>
      <w:pPr>
        <w:pStyle w:val="13"/>
        <w:adjustRightInd w:val="0"/>
        <w:snapToGrid w:val="0"/>
        <w:spacing w:line="440" w:lineRule="exact"/>
        <w:jc w:val="left"/>
        <w:rPr>
          <w:sz w:val="24"/>
        </w:rPr>
      </w:pPr>
      <w:r>
        <w:rPr>
          <w:rFonts w:hint="eastAsia"/>
          <w:sz w:val="24"/>
        </w:rPr>
        <w:t>九、一般公共预算财政拨款项目支出决算表</w:t>
      </w:r>
    </w:p>
    <w:p>
      <w:pPr>
        <w:pStyle w:val="13"/>
        <w:adjustRightInd w:val="0"/>
        <w:snapToGrid w:val="0"/>
        <w:spacing w:line="440" w:lineRule="exact"/>
        <w:jc w:val="left"/>
        <w:rPr>
          <w:sz w:val="24"/>
        </w:rPr>
      </w:pPr>
      <w:r>
        <w:rPr>
          <w:rFonts w:hint="eastAsia"/>
          <w:sz w:val="24"/>
        </w:rPr>
        <w:t>十、政府性基金预算财政拨款收入支出决算表</w:t>
      </w:r>
    </w:p>
    <w:p>
      <w:pPr>
        <w:pStyle w:val="13"/>
        <w:adjustRightInd w:val="0"/>
        <w:snapToGrid w:val="0"/>
        <w:spacing w:line="440" w:lineRule="exact"/>
        <w:jc w:val="left"/>
        <w:rPr>
          <w:sz w:val="24"/>
        </w:rPr>
      </w:pPr>
      <w:r>
        <w:rPr>
          <w:rFonts w:hint="eastAsia"/>
          <w:sz w:val="24"/>
        </w:rPr>
        <w:t>十一、国有资本经营预算财政拨款收入支出决算表</w:t>
      </w:r>
    </w:p>
    <w:p>
      <w:pPr>
        <w:pStyle w:val="13"/>
        <w:adjustRightInd w:val="0"/>
        <w:snapToGrid w:val="0"/>
        <w:spacing w:line="440" w:lineRule="exact"/>
        <w:jc w:val="left"/>
        <w:rPr>
          <w:sz w:val="24"/>
        </w:rPr>
      </w:pPr>
      <w:r>
        <w:rPr>
          <w:rFonts w:hint="eastAsia"/>
          <w:sz w:val="24"/>
        </w:rPr>
        <w:t>十二、国有资本经营预算财政拨款支出决算表</w:t>
      </w:r>
    </w:p>
    <w:p>
      <w:pPr>
        <w:pStyle w:val="13"/>
        <w:adjustRightInd w:val="0"/>
        <w:snapToGrid w:val="0"/>
        <w:spacing w:line="440" w:lineRule="exact"/>
        <w:jc w:val="left"/>
        <w:rPr>
          <w:sz w:val="24"/>
        </w:rPr>
      </w:pPr>
      <w:r>
        <w:rPr>
          <w:rFonts w:hint="eastAsia"/>
          <w:sz w:val="24"/>
        </w:rPr>
        <w:t>十三、财政拨款“三公”经费支出决算表</w:t>
      </w:r>
    </w:p>
    <w:p>
      <w:pPr>
        <w:widowControl/>
        <w:spacing w:line="440" w:lineRule="exact"/>
        <w:jc w:val="left"/>
        <w:rPr>
          <w:rFonts w:ascii="仿宋" w:hAnsi="仿宋" w:eastAsia="仿宋"/>
          <w:bCs/>
          <w:kern w:val="44"/>
          <w:sz w:val="24"/>
        </w:rPr>
      </w:pPr>
      <w:bookmarkStart w:id="6" w:name="_Toc15377196"/>
      <w:bookmarkStart w:id="7" w:name="_Toc15396599"/>
      <w:r>
        <w:rPr>
          <w:rFonts w:ascii="仿宋" w:hAnsi="仿宋" w:eastAsia="仿宋"/>
          <w:b/>
          <w:sz w:val="24"/>
        </w:rPr>
        <w:br w:type="page"/>
      </w:r>
    </w:p>
    <w:p>
      <w:pPr>
        <w:pStyle w:val="3"/>
        <w:keepNext w:val="0"/>
        <w:keepLines w:val="0"/>
        <w:pageBreakBefore w:val="0"/>
        <w:widowControl w:val="0"/>
        <w:kinsoku/>
        <w:wordWrap/>
        <w:overflowPunct/>
        <w:topLinePunct w:val="0"/>
        <w:autoSpaceDE/>
        <w:autoSpaceDN/>
        <w:bidi w:val="0"/>
        <w:adjustRightInd/>
        <w:spacing w:before="0" w:after="0" w:line="580" w:lineRule="exact"/>
        <w:jc w:val="center"/>
        <w:textAlignment w:val="auto"/>
        <w:rPr>
          <w:rStyle w:val="28"/>
          <w:rFonts w:ascii="黑体" w:hAnsi="黑体" w:eastAsia="黑体"/>
          <w:b/>
          <w:bCs w:val="0"/>
        </w:rPr>
      </w:pPr>
      <w:r>
        <w:rPr>
          <w:rFonts w:hint="eastAsia" w:ascii="黑体" w:hAnsi="黑体" w:eastAsia="黑体"/>
          <w:b w:val="0"/>
        </w:rPr>
        <w:t>第一部分 单位</w:t>
      </w:r>
      <w:r>
        <w:rPr>
          <w:rStyle w:val="28"/>
          <w:rFonts w:hint="eastAsia" w:ascii="黑体" w:hAnsi="黑体" w:eastAsia="黑体"/>
          <w:b w:val="0"/>
          <w:bCs w:val="0"/>
        </w:rPr>
        <w:t>概况</w:t>
      </w:r>
      <w:bookmarkEnd w:id="6"/>
      <w:bookmarkEnd w:id="7"/>
    </w:p>
    <w:p>
      <w:pPr>
        <w:keepNext w:val="0"/>
        <w:keepLines w:val="0"/>
        <w:pageBreakBefore w:val="0"/>
        <w:widowControl w:val="0"/>
        <w:kinsoku/>
        <w:wordWrap/>
        <w:overflowPunct/>
        <w:topLinePunct w:val="0"/>
        <w:autoSpaceDE/>
        <w:autoSpaceDN/>
        <w:bidi w:val="0"/>
        <w:adjustRightInd/>
        <w:spacing w:line="580" w:lineRule="exact"/>
        <w:jc w:val="left"/>
        <w:textAlignment w:val="auto"/>
        <w:rPr>
          <w:rFonts w:ascii="黑体" w:eastAsia="黑体"/>
          <w:sz w:val="32"/>
          <w:szCs w:val="32"/>
        </w:rPr>
      </w:pPr>
    </w:p>
    <w:p>
      <w:pPr>
        <w:pStyle w:val="4"/>
        <w:keepNext w:val="0"/>
        <w:keepLines w:val="0"/>
        <w:pageBreakBefore w:val="0"/>
        <w:widowControl w:val="0"/>
        <w:numPr>
          <w:ilvl w:val="0"/>
          <w:numId w:val="1"/>
        </w:numPr>
        <w:kinsoku/>
        <w:wordWrap/>
        <w:overflowPunct/>
        <w:topLinePunct w:val="0"/>
        <w:autoSpaceDE/>
        <w:autoSpaceDN/>
        <w:bidi w:val="0"/>
        <w:adjustRightInd/>
        <w:spacing w:before="0" w:after="0" w:line="580" w:lineRule="exact"/>
        <w:textAlignment w:val="auto"/>
        <w:rPr>
          <w:rStyle w:val="29"/>
          <w:rFonts w:ascii="黑体" w:hAnsi="黑体" w:eastAsia="黑体"/>
          <w:b w:val="0"/>
          <w:bCs w:val="0"/>
        </w:rPr>
      </w:pPr>
      <w:bookmarkStart w:id="8" w:name="_Toc15396600"/>
      <w:bookmarkStart w:id="9" w:name="_Toc15377197"/>
      <w:r>
        <w:rPr>
          <w:rStyle w:val="29"/>
          <w:rFonts w:hint="eastAsia" w:ascii="黑体" w:hAnsi="黑体" w:eastAsia="黑体"/>
          <w:b w:val="0"/>
          <w:bCs w:val="0"/>
        </w:rPr>
        <w:t>主要职责</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pPr>
      <w:r>
        <w:rPr>
          <w:rFonts w:hint="eastAsia" w:ascii="仿宋" w:hAnsi="仿宋" w:eastAsia="仿宋"/>
          <w:color w:val="000000"/>
          <w:sz w:val="32"/>
          <w:lang w:val="en-US" w:eastAsia="zh-CN"/>
        </w:rPr>
        <w:t>乐山市交通综合行政执法支队2020年4月20日挂牌成立，属副县级参公管理事业单位，主要负责全市交通领域的执法监督指导，组织协调跨区域案件、查处重大案件等职责，承担中心城区道路运输、岷江大件航道乐山港至宜宾段航道、全市交通工程质量监管具体执法。支队核定编制数36名，其中乐山市交通综合行政执法支队2020年4月20日挂牌成立，属副县级参公管理事业单位，主要负责全市交通领域的执法监督指导，组织协调跨区域案件、查处重大案件等职责，承担中心城区道路运输、岷江大件航道乐山港至宜宾段航道、全市交通工程质量监管具体执法。</w:t>
      </w:r>
    </w:p>
    <w:p>
      <w:pPr>
        <w:pStyle w:val="4"/>
        <w:keepNext w:val="0"/>
        <w:keepLines w:val="0"/>
        <w:pageBreakBefore w:val="0"/>
        <w:widowControl w:val="0"/>
        <w:kinsoku/>
        <w:wordWrap/>
        <w:overflowPunct/>
        <w:topLinePunct w:val="0"/>
        <w:autoSpaceDE/>
        <w:autoSpaceDN/>
        <w:bidi w:val="0"/>
        <w:adjustRightInd/>
        <w:spacing w:before="0" w:after="0" w:line="580" w:lineRule="exact"/>
        <w:textAlignment w:val="auto"/>
        <w:rPr>
          <w:rFonts w:ascii="黑体" w:hAnsi="黑体" w:eastAsia="黑体"/>
          <w:b w:val="0"/>
        </w:rPr>
      </w:pPr>
      <w:r>
        <w:rPr>
          <w:rFonts w:hint="eastAsia" w:ascii="黑体" w:hAnsi="黑体" w:eastAsia="黑体"/>
          <w:b w:val="0"/>
        </w:rPr>
        <w:t>二、机构设置</w:t>
      </w:r>
    </w:p>
    <w:bookmarkEnd w:id="8"/>
    <w:bookmarkEnd w:id="9"/>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eastAsia" w:ascii="仿宋" w:hAnsi="仿宋" w:eastAsia="仿宋"/>
          <w:color w:val="000000"/>
          <w:sz w:val="32"/>
          <w:lang w:val="en-US" w:eastAsia="zh-CN"/>
        </w:rPr>
      </w:pPr>
      <w:r>
        <w:rPr>
          <w:rFonts w:hint="eastAsia" w:ascii="仿宋" w:hAnsi="仿宋" w:eastAsia="仿宋"/>
          <w:sz w:val="32"/>
          <w:szCs w:val="32"/>
          <w:lang w:val="en-US" w:eastAsia="zh-CN"/>
        </w:rPr>
        <w:t xml:space="preserve"> </w:t>
      </w:r>
      <w:r>
        <w:rPr>
          <w:rFonts w:hint="eastAsia" w:ascii="仿宋" w:hAnsi="仿宋" w:eastAsia="仿宋"/>
          <w:color w:val="000000"/>
          <w:sz w:val="32"/>
          <w:lang w:val="en-US" w:eastAsia="zh-CN"/>
        </w:rPr>
        <w:t>支队核定编制数36名，其中参公编制34名，工勤2名。现有编内、编外职工总数62人，（其中在编32人、交通系统内借入5人、聘用25人），经系统内统筹后实际在岗45人，内设办公室、执法监督科、案件管理大队、道路运输执法大队、岷江航道执法大队、交通工程质量监督大队，配备领导班子4人，中层干部6正6副。</w:t>
      </w:r>
    </w:p>
    <w:p>
      <w:pPr>
        <w:keepNext w:val="0"/>
        <w:keepLines w:val="0"/>
        <w:pageBreakBefore w:val="0"/>
        <w:widowControl w:val="0"/>
        <w:kinsoku/>
        <w:wordWrap/>
        <w:overflowPunct/>
        <w:topLinePunct w:val="0"/>
        <w:autoSpaceDE/>
        <w:autoSpaceDN/>
        <w:bidi w:val="0"/>
        <w:adjustRightInd/>
        <w:spacing w:line="580" w:lineRule="exact"/>
        <w:jc w:val="left"/>
        <w:textAlignment w:val="auto"/>
        <w:rPr>
          <w:rFonts w:ascii="仿宋" w:hAnsi="仿宋" w:eastAsia="仿宋"/>
          <w:kern w:val="0"/>
          <w:sz w:val="32"/>
          <w:szCs w:val="32"/>
        </w:rPr>
      </w:pPr>
      <w:r>
        <w:rPr>
          <w:rFonts w:ascii="仿宋" w:hAnsi="仿宋" w:eastAsia="仿宋"/>
          <w:sz w:val="32"/>
          <w:szCs w:val="32"/>
        </w:rPr>
        <w:br w:type="page"/>
      </w:r>
    </w:p>
    <w:p>
      <w:pPr>
        <w:pStyle w:val="3"/>
        <w:keepNext w:val="0"/>
        <w:keepLines w:val="0"/>
        <w:pageBreakBefore w:val="0"/>
        <w:widowControl w:val="0"/>
        <w:kinsoku/>
        <w:wordWrap/>
        <w:overflowPunct/>
        <w:topLinePunct w:val="0"/>
        <w:autoSpaceDE/>
        <w:autoSpaceDN/>
        <w:bidi w:val="0"/>
        <w:adjustRightInd/>
        <w:spacing w:before="0" w:after="0" w:line="580" w:lineRule="exact"/>
        <w:jc w:val="center"/>
        <w:textAlignment w:val="auto"/>
        <w:rPr>
          <w:rFonts w:hint="eastAsia" w:ascii="黑体" w:hAnsi="黑体" w:eastAsia="黑体"/>
          <w:b w:val="0"/>
          <w:lang w:val="en-US" w:eastAsia="zh-CN"/>
        </w:rPr>
      </w:pPr>
      <w:bookmarkStart w:id="10" w:name="_Toc15396602"/>
      <w:bookmarkStart w:id="11" w:name="_Toc15377204"/>
      <w:r>
        <w:rPr>
          <w:rFonts w:hint="eastAsia" w:ascii="黑体" w:hAnsi="黑体" w:eastAsia="黑体"/>
          <w:b w:val="0"/>
          <w:lang w:val="en-US" w:eastAsia="zh-CN"/>
        </w:rPr>
        <w:t>第二部分 2023年度单位决算情况说明</w:t>
      </w:r>
      <w:bookmarkEnd w:id="10"/>
      <w:bookmarkEnd w:id="11"/>
    </w:p>
    <w:p>
      <w:pPr>
        <w:rPr>
          <w:rFonts w:hint="eastAsia" w:ascii="仿宋" w:hAnsi="仿宋" w:eastAsia="仿宋" w:cs="Times New Roman"/>
          <w:b w:val="0"/>
          <w:bCs w:val="0"/>
          <w:color w:val="000000"/>
          <w:kern w:val="2"/>
          <w:sz w:val="32"/>
          <w:szCs w:val="24"/>
          <w:lang w:val="en-US" w:eastAsia="zh-CN" w:bidi="ar-SA"/>
        </w:rPr>
      </w:pPr>
    </w:p>
    <w:p>
      <w:pPr>
        <w:pStyle w:val="27"/>
        <w:numPr>
          <w:ilvl w:val="0"/>
          <w:numId w:val="2"/>
        </w:numPr>
        <w:spacing w:line="600" w:lineRule="exact"/>
        <w:ind w:firstLineChars="0"/>
        <w:outlineLvl w:val="1"/>
        <w:rPr>
          <w:rStyle w:val="29"/>
          <w:rFonts w:hint="eastAsia" w:ascii="黑体" w:hAnsi="黑体" w:eastAsia="黑体"/>
          <w:b w:val="0"/>
          <w:lang w:val="en-US" w:eastAsia="zh-CN"/>
        </w:rPr>
      </w:pPr>
      <w:bookmarkStart w:id="12" w:name="_Toc15377205"/>
      <w:bookmarkStart w:id="13" w:name="_Toc15396603"/>
      <w:r>
        <w:rPr>
          <w:rStyle w:val="29"/>
          <w:rFonts w:hint="eastAsia" w:ascii="黑体" w:hAnsi="黑体" w:eastAsia="黑体"/>
          <w:b w:val="0"/>
          <w:lang w:val="en-US" w:eastAsia="zh-CN"/>
        </w:rPr>
        <w:t>收入支出决算总体情况说明</w:t>
      </w:r>
      <w:bookmarkEnd w:id="12"/>
      <w:bookmarkEnd w:id="13"/>
    </w:p>
    <w:p>
      <w:pPr>
        <w:snapToGrid w:val="0"/>
        <w:spacing w:line="520" w:lineRule="exact"/>
        <w:ind w:firstLine="640" w:firstLineChars="200"/>
        <w:rPr>
          <w:rFonts w:hint="eastAsia" w:ascii="仿宋" w:hAnsi="仿宋" w:eastAsia="仿宋" w:cs="Times New Roman"/>
          <w:b w:val="0"/>
          <w:bCs w:val="0"/>
          <w:color w:val="000000"/>
          <w:kern w:val="2"/>
          <w:sz w:val="32"/>
          <w:szCs w:val="24"/>
          <w:lang w:val="en-US" w:eastAsia="zh-CN" w:bidi="ar-SA"/>
        </w:rPr>
      </w:pPr>
      <w:r>
        <w:rPr>
          <w:rFonts w:hint="eastAsia" w:ascii="仿宋" w:hAnsi="仿宋" w:eastAsia="仿宋" w:cs="Times New Roman"/>
          <w:b w:val="0"/>
          <w:bCs w:val="0"/>
          <w:color w:val="000000"/>
          <w:kern w:val="2"/>
          <w:sz w:val="32"/>
          <w:szCs w:val="24"/>
          <w:lang w:val="en-US" w:eastAsia="zh-CN" w:bidi="ar-SA"/>
        </w:rPr>
        <w:t>2023年度收、支总计均为1022.94万元。与2022年度相比，收、支总计各增加169.68万元，增长19.89%。主要变动原因是单位人员增加，开展了执法站所改造工程，公用经费、项目经费等都有所增加。</w:t>
      </w:r>
    </w:p>
    <w:p>
      <w:pPr>
        <w:pStyle w:val="2"/>
        <w:rPr>
          <w:rFonts w:hint="eastAsia" w:ascii="仿宋" w:hAnsi="仿宋" w:eastAsia="仿宋" w:cs="Times New Roman"/>
          <w:b w:val="0"/>
          <w:bCs w:val="0"/>
          <w:color w:val="000000"/>
          <w:kern w:val="2"/>
          <w:sz w:val="32"/>
          <w:szCs w:val="24"/>
          <w:lang w:val="en-US" w:eastAsia="zh-CN" w:bidi="ar-SA"/>
        </w:rPr>
      </w:pPr>
    </w:p>
    <w:p>
      <w:pPr>
        <w:jc w:val="center"/>
        <w:rPr>
          <w:rFonts w:hint="eastAsia"/>
        </w:rPr>
      </w:pPr>
      <w:r>
        <w:rPr>
          <w:rFonts w:hint="eastAsia" w:ascii="仿宋_GB2312" w:hAnsi="仿宋" w:eastAsia="仿宋_GB2312"/>
          <w:sz w:val="32"/>
          <w:szCs w:val="32"/>
          <w:lang w:eastAsia="zh-CN"/>
        </w:rPr>
        <w:drawing>
          <wp:inline distT="0" distB="0" distL="114300" distR="114300">
            <wp:extent cx="4705985" cy="2761615"/>
            <wp:effectExtent l="0" t="0" r="18415" b="635"/>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6"/>
                    <a:stretch>
                      <a:fillRect/>
                    </a:stretch>
                  </pic:blipFill>
                  <pic:spPr>
                    <a:xfrm>
                      <a:off x="0" y="0"/>
                      <a:ext cx="4705985" cy="2761615"/>
                    </a:xfrm>
                    <a:prstGeom prst="rect">
                      <a:avLst/>
                    </a:prstGeom>
                  </pic:spPr>
                </pic:pic>
              </a:graphicData>
            </a:graphic>
          </wp:inline>
        </w:drawing>
      </w:r>
    </w:p>
    <w:p>
      <w:pPr>
        <w:spacing w:line="600" w:lineRule="exact"/>
        <w:jc w:val="center"/>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
      <w:pPr>
        <w:pStyle w:val="27"/>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Chars="0"/>
        <w:textAlignment w:val="auto"/>
        <w:outlineLvl w:val="1"/>
        <w:rPr>
          <w:rStyle w:val="29"/>
          <w:rFonts w:ascii="黑体" w:hAnsi="黑体" w:eastAsia="黑体"/>
          <w:b w:val="0"/>
        </w:rPr>
      </w:pPr>
      <w:bookmarkStart w:id="14" w:name="_Toc15377206"/>
      <w:bookmarkStart w:id="15" w:name="_Toc15396604"/>
      <w:r>
        <w:rPr>
          <w:rFonts w:hint="eastAsia" w:ascii="黑体" w:hAnsi="黑体" w:eastAsia="黑体"/>
          <w:sz w:val="32"/>
          <w:szCs w:val="32"/>
        </w:rPr>
        <w:t>收</w:t>
      </w:r>
      <w:r>
        <w:rPr>
          <w:rStyle w:val="29"/>
          <w:rFonts w:hint="eastAsia" w:ascii="黑体" w:hAnsi="黑体" w:eastAsia="黑体"/>
          <w:b w:val="0"/>
        </w:rPr>
        <w:t>入决算情况说明</w:t>
      </w:r>
      <w:bookmarkEnd w:id="14"/>
      <w:bookmarkEnd w:id="15"/>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1"/>
        <w:rPr>
          <w:rFonts w:ascii="仿宋" w:hAnsi="仿宋" w:eastAsia="仿宋"/>
          <w:sz w:val="32"/>
          <w:szCs w:val="32"/>
        </w:rPr>
      </w:pPr>
      <w:r>
        <w:rPr>
          <w:rFonts w:hint="eastAsia" w:ascii="仿宋" w:hAnsi="仿宋" w:eastAsia="仿宋"/>
          <w:sz w:val="32"/>
          <w:szCs w:val="32"/>
        </w:rPr>
        <w:t>2023年度本年收入合计</w:t>
      </w:r>
      <w:r>
        <w:rPr>
          <w:rFonts w:ascii="仿宋" w:hAnsi="仿宋" w:eastAsia="仿宋"/>
          <w:b/>
          <w:sz w:val="32"/>
          <w:szCs w:val="32"/>
        </w:rPr>
        <w:t>1022.94</w:t>
      </w:r>
      <w:r>
        <w:rPr>
          <w:rFonts w:hint="eastAsia" w:ascii="仿宋" w:hAnsi="仿宋" w:eastAsia="仿宋"/>
          <w:sz w:val="32"/>
          <w:szCs w:val="32"/>
        </w:rPr>
        <w:t>万元，其中：一般公共预算财政拨款收入</w:t>
      </w:r>
      <w:r>
        <w:rPr>
          <w:rFonts w:ascii="仿宋" w:hAnsi="仿宋" w:eastAsia="仿宋"/>
          <w:b/>
          <w:sz w:val="32"/>
          <w:szCs w:val="32"/>
        </w:rPr>
        <w:t>891.61</w:t>
      </w:r>
      <w:r>
        <w:rPr>
          <w:rFonts w:hint="eastAsia" w:ascii="仿宋" w:hAnsi="仿宋" w:eastAsia="仿宋"/>
          <w:sz w:val="32"/>
          <w:szCs w:val="32"/>
        </w:rPr>
        <w:t>万元，占</w:t>
      </w:r>
      <w:r>
        <w:rPr>
          <w:rFonts w:ascii="仿宋" w:hAnsi="仿宋" w:eastAsia="仿宋"/>
          <w:b/>
          <w:sz w:val="32"/>
          <w:szCs w:val="32"/>
        </w:rPr>
        <w:t>87.16%</w:t>
      </w:r>
      <w:r>
        <w:rPr>
          <w:rFonts w:hint="eastAsia" w:ascii="仿宋" w:hAnsi="仿宋" w:eastAsia="仿宋"/>
          <w:sz w:val="32"/>
          <w:szCs w:val="32"/>
        </w:rPr>
        <w:t>；政府性基金预算财政拨款收入</w:t>
      </w:r>
      <w:r>
        <w:rPr>
          <w:rFonts w:ascii="仿宋" w:hAnsi="仿宋" w:eastAsia="仿宋"/>
          <w:b/>
          <w:sz w:val="32"/>
          <w:szCs w:val="32"/>
        </w:rPr>
        <w:t>131.32</w:t>
      </w:r>
      <w:r>
        <w:rPr>
          <w:rFonts w:hint="eastAsia" w:ascii="仿宋" w:hAnsi="仿宋" w:eastAsia="仿宋"/>
          <w:sz w:val="32"/>
          <w:szCs w:val="32"/>
        </w:rPr>
        <w:t>万元，占</w:t>
      </w:r>
      <w:r>
        <w:rPr>
          <w:rFonts w:ascii="仿宋" w:hAnsi="仿宋" w:eastAsia="仿宋"/>
          <w:b/>
          <w:sz w:val="32"/>
          <w:szCs w:val="32"/>
        </w:rPr>
        <w:t>12.83</w:t>
      </w:r>
      <w:r>
        <w:rPr>
          <w:rFonts w:ascii="仿宋" w:hAnsi="仿宋" w:eastAsia="仿宋"/>
          <w:sz w:val="32"/>
          <w:szCs w:val="32"/>
        </w:rPr>
        <w:t>%</w:t>
      </w:r>
      <w:r>
        <w:rPr>
          <w:rFonts w:hint="eastAsia" w:ascii="仿宋" w:hAnsi="仿宋" w:eastAsia="仿宋"/>
          <w:sz w:val="32"/>
          <w:szCs w:val="32"/>
        </w:rPr>
        <w:t>；国有资本经营预算财政拨款收入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；上级补助收入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；事业收入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；附属单位上缴收入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；其他收入</w:t>
      </w:r>
      <w:r>
        <w:rPr>
          <w:rFonts w:ascii="仿宋" w:hAnsi="仿宋" w:eastAsia="仿宋"/>
          <w:b/>
          <w:sz w:val="32"/>
          <w:szCs w:val="32"/>
        </w:rPr>
        <w:t>0.01</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p>
    <w:p>
      <w:pPr>
        <w:rPr>
          <w:rFonts w:hint="eastAsia"/>
          <w:lang w:eastAsia="zh-CN"/>
        </w:rPr>
      </w:pPr>
    </w:p>
    <w:p>
      <w:pPr>
        <w:pStyle w:val="2"/>
        <w:rPr>
          <w:rFonts w:hint="eastAsia"/>
          <w:lang w:eastAsia="zh-CN"/>
        </w:rPr>
      </w:pPr>
    </w:p>
    <w:p>
      <w:pPr>
        <w:pStyle w:val="2"/>
        <w:ind w:left="0" w:leftChars="0" w:firstLine="0" w:firstLineChars="0"/>
        <w:jc w:val="center"/>
        <w:rPr>
          <w:rFonts w:hint="eastAsia"/>
          <w:lang w:eastAsia="zh-CN"/>
        </w:rPr>
      </w:pPr>
      <w:r>
        <w:rPr>
          <w:rFonts w:hint="eastAsia" w:ascii="仿宋" w:hAnsi="仿宋" w:eastAsia="仿宋"/>
          <w:sz w:val="32"/>
          <w:szCs w:val="32"/>
          <w:lang w:eastAsia="zh-CN"/>
        </w:rPr>
        <w:drawing>
          <wp:inline distT="0" distB="0" distL="114300" distR="114300">
            <wp:extent cx="3984625" cy="2392680"/>
            <wp:effectExtent l="0" t="0" r="15875" b="7620"/>
            <wp:docPr id="4" name="图片 4"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2"/>
                    <pic:cNvPicPr>
                      <a:picLocks noChangeAspect="1"/>
                    </pic:cNvPicPr>
                  </pic:nvPicPr>
                  <pic:blipFill>
                    <a:blip r:embed="rId7"/>
                    <a:stretch>
                      <a:fillRect/>
                    </a:stretch>
                  </pic:blipFill>
                  <pic:spPr>
                    <a:xfrm>
                      <a:off x="0" y="0"/>
                      <a:ext cx="3984625" cy="239268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80" w:lineRule="exact"/>
        <w:ind w:left="0"/>
        <w:jc w:val="center"/>
        <w:textAlignment w:val="auto"/>
        <w:rPr>
          <w:rFonts w:ascii="仿宋" w:hAnsi="仿宋" w:eastAsia="仿宋"/>
          <w:sz w:val="32"/>
          <w:szCs w:val="32"/>
        </w:rPr>
      </w:pPr>
      <w:r>
        <w:rPr>
          <w:rFonts w:hint="eastAsia" w:ascii="仿宋" w:hAnsi="仿宋" w:eastAsia="仿宋"/>
          <w:sz w:val="32"/>
          <w:szCs w:val="32"/>
        </w:rPr>
        <w:t>（图2：收入决算结构图）</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textAlignment w:val="auto"/>
        <w:rPr>
          <w:rFonts w:ascii="仿宋_GB2312" w:eastAsia="仿宋_GB2312"/>
          <w:sz w:val="32"/>
          <w:szCs w:val="32"/>
        </w:rPr>
      </w:pPr>
    </w:p>
    <w:p>
      <w:pPr>
        <w:pStyle w:val="27"/>
        <w:keepNext w:val="0"/>
        <w:keepLines w:val="0"/>
        <w:pageBreakBefore w:val="0"/>
        <w:widowControl w:val="0"/>
        <w:numPr>
          <w:ilvl w:val="0"/>
          <w:numId w:val="0"/>
        </w:numPr>
        <w:kinsoku/>
        <w:wordWrap/>
        <w:overflowPunct/>
        <w:topLinePunct w:val="0"/>
        <w:autoSpaceDE/>
        <w:autoSpaceDN/>
        <w:bidi w:val="0"/>
        <w:adjustRightInd/>
        <w:snapToGrid/>
        <w:spacing w:line="580" w:lineRule="exact"/>
        <w:ind w:left="-720" w:leftChars="0" w:firstLine="1280" w:firstLineChars="400"/>
        <w:textAlignment w:val="auto"/>
        <w:outlineLvl w:val="1"/>
        <w:rPr>
          <w:rStyle w:val="29"/>
          <w:rFonts w:ascii="黑体" w:hAnsi="黑体" w:eastAsia="黑体"/>
          <w:b w:val="0"/>
        </w:rPr>
      </w:pPr>
      <w:bookmarkStart w:id="16" w:name="_Toc15396605"/>
      <w:bookmarkStart w:id="17" w:name="_Toc15377207"/>
      <w:r>
        <w:rPr>
          <w:rFonts w:hint="eastAsia" w:ascii="黑体" w:hAnsi="黑体" w:eastAsia="黑体"/>
          <w:sz w:val="32"/>
          <w:szCs w:val="32"/>
          <w:lang w:eastAsia="zh-CN"/>
        </w:rPr>
        <w:t>三、</w:t>
      </w:r>
      <w:r>
        <w:rPr>
          <w:rFonts w:hint="eastAsia" w:ascii="黑体" w:hAnsi="黑体" w:eastAsia="黑体"/>
          <w:sz w:val="32"/>
          <w:szCs w:val="32"/>
        </w:rPr>
        <w:t>支</w:t>
      </w:r>
      <w:r>
        <w:rPr>
          <w:rStyle w:val="29"/>
          <w:rFonts w:hint="eastAsia" w:ascii="黑体" w:hAnsi="黑体" w:eastAsia="黑体"/>
          <w:b w:val="0"/>
        </w:rPr>
        <w:t>出决算情况说明</w:t>
      </w:r>
      <w:bookmarkEnd w:id="16"/>
      <w:bookmarkEnd w:id="17"/>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textAlignment w:val="auto"/>
        <w:outlineLvl w:val="1"/>
        <w:rPr>
          <w:rFonts w:ascii="仿宋" w:hAnsi="仿宋" w:eastAsia="仿宋"/>
          <w:sz w:val="32"/>
          <w:szCs w:val="32"/>
        </w:rPr>
      </w:pPr>
      <w:r>
        <w:rPr>
          <w:rFonts w:hint="eastAsia" w:ascii="仿宋" w:hAnsi="仿宋" w:eastAsia="仿宋"/>
          <w:sz w:val="32"/>
          <w:szCs w:val="32"/>
        </w:rPr>
        <w:t>2023年度本年支出合计</w:t>
      </w:r>
      <w:r>
        <w:rPr>
          <w:rFonts w:ascii="仿宋" w:hAnsi="仿宋" w:eastAsia="仿宋"/>
          <w:b/>
          <w:sz w:val="32"/>
          <w:szCs w:val="32"/>
        </w:rPr>
        <w:t>1022.93</w:t>
      </w:r>
      <w:r>
        <w:rPr>
          <w:rFonts w:hint="eastAsia" w:ascii="仿宋" w:hAnsi="仿宋" w:eastAsia="仿宋"/>
          <w:sz w:val="32"/>
          <w:szCs w:val="32"/>
        </w:rPr>
        <w:t>万元，其中：基本支出</w:t>
      </w:r>
      <w:r>
        <w:rPr>
          <w:rFonts w:ascii="仿宋" w:hAnsi="仿宋" w:eastAsia="仿宋"/>
          <w:b/>
          <w:sz w:val="32"/>
          <w:szCs w:val="32"/>
        </w:rPr>
        <w:t>866.51</w:t>
      </w:r>
      <w:r>
        <w:rPr>
          <w:rFonts w:hint="eastAsia" w:ascii="仿宋" w:hAnsi="仿宋" w:eastAsia="仿宋"/>
          <w:sz w:val="32"/>
          <w:szCs w:val="32"/>
        </w:rPr>
        <w:t>万元，占</w:t>
      </w:r>
      <w:r>
        <w:rPr>
          <w:rFonts w:ascii="仿宋" w:hAnsi="仿宋" w:eastAsia="仿宋"/>
          <w:b/>
          <w:sz w:val="32"/>
          <w:szCs w:val="32"/>
        </w:rPr>
        <w:t>84.7</w:t>
      </w:r>
      <w:r>
        <w:rPr>
          <w:rFonts w:ascii="仿宋" w:hAnsi="仿宋" w:eastAsia="仿宋"/>
          <w:sz w:val="32"/>
          <w:szCs w:val="32"/>
        </w:rPr>
        <w:t>%</w:t>
      </w:r>
      <w:r>
        <w:rPr>
          <w:rFonts w:hint="eastAsia" w:ascii="仿宋" w:hAnsi="仿宋" w:eastAsia="仿宋"/>
          <w:sz w:val="32"/>
          <w:szCs w:val="32"/>
        </w:rPr>
        <w:t>；项目支出</w:t>
      </w:r>
      <w:r>
        <w:rPr>
          <w:rFonts w:ascii="仿宋" w:hAnsi="仿宋" w:eastAsia="仿宋"/>
          <w:b/>
          <w:sz w:val="32"/>
          <w:szCs w:val="32"/>
        </w:rPr>
        <w:t>156.42</w:t>
      </w:r>
      <w:r>
        <w:rPr>
          <w:rFonts w:hint="eastAsia" w:ascii="仿宋" w:hAnsi="仿宋" w:eastAsia="仿宋"/>
          <w:sz w:val="32"/>
          <w:szCs w:val="32"/>
        </w:rPr>
        <w:t>万元，占</w:t>
      </w:r>
      <w:r>
        <w:rPr>
          <w:rFonts w:ascii="仿宋" w:hAnsi="仿宋" w:eastAsia="仿宋"/>
          <w:b/>
          <w:sz w:val="32"/>
          <w:szCs w:val="32"/>
        </w:rPr>
        <w:t>15.29</w:t>
      </w:r>
      <w:r>
        <w:rPr>
          <w:rFonts w:ascii="仿宋" w:hAnsi="仿宋" w:eastAsia="仿宋"/>
          <w:sz w:val="32"/>
          <w:szCs w:val="32"/>
        </w:rPr>
        <w:t>%</w:t>
      </w:r>
      <w:r>
        <w:rPr>
          <w:rFonts w:hint="eastAsia" w:ascii="仿宋" w:hAnsi="仿宋" w:eastAsia="仿宋"/>
          <w:sz w:val="32"/>
          <w:szCs w:val="32"/>
        </w:rPr>
        <w:t>；上缴上级支出</w:t>
      </w:r>
      <w:r>
        <w:rPr>
          <w:rFonts w:ascii="仿宋" w:hAnsi="仿宋" w:eastAsia="仿宋"/>
          <w:b/>
          <w:sz w:val="32"/>
          <w:szCs w:val="32"/>
        </w:rPr>
        <w:t>0</w:t>
      </w:r>
      <w:r>
        <w:rPr>
          <w:rFonts w:hint="eastAsia" w:ascii="仿宋" w:hAnsi="仿宋" w:eastAsia="仿宋"/>
          <w:sz w:val="32"/>
          <w:szCs w:val="32"/>
        </w:rPr>
        <w:t>万元，占</w:t>
      </w:r>
      <w:r>
        <w:rPr>
          <w:rFonts w:hint="eastAsia"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；对附属单位补助支出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w:t>
      </w:r>
    </w:p>
    <w:p>
      <w:pPr>
        <w:jc w:val="center"/>
      </w:pPr>
      <w:r>
        <w:rPr>
          <w:rFonts w:hint="eastAsia" w:ascii="仿宋" w:hAnsi="仿宋" w:eastAsia="仿宋"/>
          <w:sz w:val="32"/>
          <w:szCs w:val="32"/>
          <w:shd w:val="pct10" w:color="auto" w:fill="FFFFFF"/>
          <w:lang w:eastAsia="zh-CN"/>
        </w:rPr>
        <w:drawing>
          <wp:inline distT="0" distB="0" distL="114300" distR="114300">
            <wp:extent cx="3990975" cy="2397125"/>
            <wp:effectExtent l="0" t="0" r="9525" b="3175"/>
            <wp:docPr id="5" name="图片 5"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3"/>
                    <pic:cNvPicPr>
                      <a:picLocks noChangeAspect="1"/>
                    </pic:cNvPicPr>
                  </pic:nvPicPr>
                  <pic:blipFill>
                    <a:blip r:embed="rId8"/>
                    <a:stretch>
                      <a:fillRect/>
                    </a:stretch>
                  </pic:blipFill>
                  <pic:spPr>
                    <a:xfrm>
                      <a:off x="0" y="0"/>
                      <a:ext cx="3990975" cy="23971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仿宋_GB2312" w:eastAsia="仿宋_GB2312"/>
          <w:sz w:val="32"/>
          <w:szCs w:val="32"/>
        </w:rPr>
      </w:pPr>
      <w:r>
        <w:rPr>
          <w:rFonts w:hint="eastAsia" w:ascii="仿宋" w:hAnsi="仿宋" w:eastAsia="仿宋"/>
          <w:sz w:val="32"/>
          <w:szCs w:val="32"/>
        </w:rPr>
        <w:t>（图3：支出决算结构图）</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1"/>
        <w:rPr>
          <w:rStyle w:val="29"/>
          <w:rFonts w:ascii="黑体" w:hAnsi="黑体" w:eastAsia="黑体"/>
          <w:b w:val="0"/>
        </w:rPr>
      </w:pPr>
      <w:bookmarkStart w:id="18" w:name="_Toc15396606"/>
      <w:bookmarkStart w:id="19" w:name="_Toc15377208"/>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18"/>
      <w:bookmarkEnd w:id="19"/>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 w:eastAsia="仿宋_GB2312"/>
          <w:sz w:val="32"/>
          <w:szCs w:val="32"/>
          <w:lang w:eastAsia="zh-CN"/>
        </w:rPr>
      </w:pPr>
      <w:r>
        <w:rPr>
          <w:rFonts w:hint="eastAsia" w:ascii="仿宋" w:hAnsi="仿宋" w:eastAsia="仿宋"/>
          <w:sz w:val="32"/>
          <w:szCs w:val="32"/>
        </w:rPr>
        <w:t>2023年度财政拨款收、支总计均为</w:t>
      </w:r>
      <w:r>
        <w:rPr>
          <w:rFonts w:ascii="仿宋" w:hAnsi="仿宋" w:eastAsia="仿宋"/>
          <w:b/>
          <w:sz w:val="32"/>
          <w:szCs w:val="32"/>
        </w:rPr>
        <w:t>1022.93</w:t>
      </w:r>
      <w:r>
        <w:rPr>
          <w:rFonts w:hint="eastAsia" w:ascii="仿宋" w:hAnsi="仿宋" w:eastAsia="仿宋"/>
          <w:sz w:val="32"/>
          <w:szCs w:val="32"/>
        </w:rPr>
        <w:t>万元。与2022年度相比，财政拨款收、支总计各增加</w:t>
      </w:r>
      <w:r>
        <w:rPr>
          <w:rFonts w:hint="eastAsia" w:ascii="仿宋" w:hAnsi="仿宋" w:eastAsia="仿宋"/>
          <w:sz w:val="32"/>
          <w:szCs w:val="32"/>
          <w:lang w:val="en-US" w:eastAsia="zh-CN"/>
        </w:rPr>
        <w:t>169.68</w:t>
      </w:r>
      <w:r>
        <w:rPr>
          <w:rFonts w:hint="eastAsia" w:ascii="仿宋" w:hAnsi="仿宋" w:eastAsia="仿宋"/>
          <w:sz w:val="32"/>
          <w:szCs w:val="32"/>
        </w:rPr>
        <w:t>万元，增长</w:t>
      </w:r>
      <w:r>
        <w:rPr>
          <w:rFonts w:hint="eastAsia" w:ascii="仿宋" w:hAnsi="仿宋" w:eastAsia="仿宋"/>
          <w:sz w:val="32"/>
          <w:szCs w:val="32"/>
          <w:lang w:val="en-US" w:eastAsia="zh-CN"/>
        </w:rPr>
        <w:t>19.89</w:t>
      </w:r>
      <w:r>
        <w:rPr>
          <w:rFonts w:ascii="仿宋" w:hAnsi="仿宋" w:eastAsia="仿宋"/>
          <w:sz w:val="32"/>
          <w:szCs w:val="32"/>
        </w:rPr>
        <w:t>%</w:t>
      </w:r>
      <w:r>
        <w:rPr>
          <w:rFonts w:hint="eastAsia" w:ascii="仿宋" w:hAnsi="仿宋" w:eastAsia="仿宋"/>
          <w:sz w:val="32"/>
          <w:szCs w:val="32"/>
        </w:rPr>
        <w:t>。主要变动原因是</w:t>
      </w:r>
      <w:r>
        <w:rPr>
          <w:rFonts w:hint="eastAsia" w:ascii="仿宋_GB2312" w:hAnsi="仿宋" w:eastAsia="仿宋_GB2312"/>
          <w:sz w:val="32"/>
          <w:szCs w:val="32"/>
        </w:rPr>
        <w:t>单位人员增加，开展了执法站所改造工程，公用经费、项目经费等都有所增加</w:t>
      </w:r>
      <w:r>
        <w:rPr>
          <w:rFonts w:hint="eastAsia" w:ascii="仿宋_GB2312" w:hAnsi="仿宋" w:eastAsia="仿宋_GB2312"/>
          <w:sz w:val="32"/>
          <w:szCs w:val="32"/>
          <w:lang w:eastAsia="zh-CN"/>
        </w:rPr>
        <w:t>。</w:t>
      </w:r>
    </w:p>
    <w:p>
      <w:pPr>
        <w:pStyle w:val="2"/>
      </w:pPr>
    </w:p>
    <w:p>
      <w:pPr>
        <w:jc w:val="center"/>
      </w:pPr>
      <w:r>
        <w:rPr>
          <w:rFonts w:hint="eastAsia" w:ascii="仿宋" w:hAnsi="仿宋" w:eastAsia="仿宋"/>
          <w:sz w:val="32"/>
          <w:szCs w:val="32"/>
          <w:lang w:eastAsia="zh-CN"/>
        </w:rPr>
        <w:drawing>
          <wp:inline distT="0" distB="0" distL="114300" distR="114300">
            <wp:extent cx="4590415" cy="2761615"/>
            <wp:effectExtent l="0" t="0" r="635" b="635"/>
            <wp:docPr id="1" name="图片 1"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4"/>
                    <pic:cNvPicPr>
                      <a:picLocks noChangeAspect="1"/>
                    </pic:cNvPicPr>
                  </pic:nvPicPr>
                  <pic:blipFill>
                    <a:blip r:embed="rId9"/>
                    <a:stretch>
                      <a:fillRect/>
                    </a:stretch>
                  </pic:blipFill>
                  <pic:spPr>
                    <a:xfrm>
                      <a:off x="0" y="0"/>
                      <a:ext cx="4590415" cy="2761615"/>
                    </a:xfrm>
                    <a:prstGeom prst="rect">
                      <a:avLst/>
                    </a:prstGeom>
                  </pic:spPr>
                </pic:pic>
              </a:graphicData>
            </a:graphic>
          </wp:inline>
        </w:drawing>
      </w:r>
    </w:p>
    <w:p>
      <w:pPr>
        <w:spacing w:line="600" w:lineRule="exact"/>
        <w:jc w:val="center"/>
        <w:rPr>
          <w:rFonts w:ascii="仿宋" w:hAnsi="仿宋" w:eastAsia="仿宋"/>
          <w:sz w:val="32"/>
          <w:szCs w:val="32"/>
        </w:rPr>
      </w:pPr>
      <w:r>
        <w:rPr>
          <w:rFonts w:hint="eastAsia" w:ascii="仿宋" w:hAnsi="仿宋" w:eastAsia="仿宋"/>
          <w:sz w:val="32"/>
          <w:szCs w:val="32"/>
        </w:rPr>
        <w:t>（图4：财政拨款收、支决算总计变动情况）</w:t>
      </w:r>
    </w:p>
    <w:p>
      <w:pPr>
        <w:keepNext w:val="0"/>
        <w:keepLines w:val="0"/>
        <w:pageBreakBefore w:val="0"/>
        <w:widowControl w:val="0"/>
        <w:kinsoku/>
        <w:wordWrap/>
        <w:overflowPunct/>
        <w:topLinePunct w:val="0"/>
        <w:autoSpaceDE/>
        <w:autoSpaceDN/>
        <w:bidi w:val="0"/>
        <w:adjustRightInd/>
        <w:snapToGrid w:val="0"/>
        <w:spacing w:line="580" w:lineRule="exact"/>
        <w:ind w:firstLine="640"/>
        <w:textAlignment w:val="auto"/>
        <w:rPr>
          <w:rFonts w:ascii="仿宋" w:hAnsi="仿宋" w:eastAsia="仿宋"/>
          <w:b/>
          <w:sz w:val="32"/>
          <w:szCs w:val="32"/>
        </w:rPr>
      </w:pP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outlineLvl w:val="1"/>
        <w:rPr>
          <w:rStyle w:val="29"/>
          <w:rFonts w:ascii="黑体" w:hAnsi="黑体" w:eastAsia="黑体"/>
          <w:b w:val="0"/>
        </w:rPr>
      </w:pPr>
      <w:bookmarkStart w:id="20" w:name="_Toc15377209"/>
      <w:bookmarkStart w:id="21" w:name="_Toc15396607"/>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20"/>
      <w:bookmarkEnd w:id="21"/>
    </w:p>
    <w:p>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outlineLvl w:val="2"/>
        <w:rPr>
          <w:rFonts w:ascii="仿宋" w:hAnsi="仿宋" w:eastAsia="仿宋"/>
          <w:b/>
          <w:sz w:val="32"/>
          <w:szCs w:val="32"/>
        </w:rPr>
      </w:pPr>
      <w:bookmarkStart w:id="22" w:name="_Toc15377210"/>
      <w:r>
        <w:rPr>
          <w:rFonts w:hint="eastAsia" w:ascii="仿宋" w:hAnsi="仿宋" w:eastAsia="仿宋"/>
          <w:b/>
          <w:sz w:val="32"/>
          <w:szCs w:val="32"/>
        </w:rPr>
        <w:t>（一）一般公共预算财政拨款支出决算总体情况</w:t>
      </w:r>
      <w:bookmarkEnd w:id="22"/>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 w:eastAsia="仿宋_GB2312"/>
          <w:sz w:val="32"/>
        </w:rPr>
      </w:pPr>
      <w:r>
        <w:rPr>
          <w:rFonts w:hint="eastAsia" w:ascii="仿宋" w:hAnsi="仿宋" w:eastAsia="仿宋"/>
          <w:sz w:val="32"/>
          <w:szCs w:val="32"/>
        </w:rPr>
        <w:t>2023年度一般公共预算财政拨款支出</w:t>
      </w:r>
      <w:r>
        <w:rPr>
          <w:rFonts w:ascii="仿宋" w:hAnsi="仿宋" w:eastAsia="仿宋"/>
          <w:b/>
          <w:sz w:val="32"/>
          <w:szCs w:val="32"/>
        </w:rPr>
        <w:t>891.61</w:t>
      </w:r>
      <w:r>
        <w:rPr>
          <w:rFonts w:hint="eastAsia" w:ascii="仿宋" w:hAnsi="仿宋" w:eastAsia="仿宋"/>
          <w:sz w:val="32"/>
          <w:szCs w:val="32"/>
        </w:rPr>
        <w:t>万元，占本年支出合计的</w:t>
      </w:r>
      <w:r>
        <w:rPr>
          <w:rFonts w:ascii="仿宋" w:hAnsi="仿宋" w:eastAsia="仿宋"/>
          <w:b/>
          <w:sz w:val="32"/>
          <w:szCs w:val="32"/>
        </w:rPr>
        <w:t>87.16</w:t>
      </w:r>
      <w:r>
        <w:rPr>
          <w:rFonts w:ascii="仿宋" w:hAnsi="仿宋" w:eastAsia="仿宋"/>
          <w:sz w:val="32"/>
          <w:szCs w:val="32"/>
        </w:rPr>
        <w:t>%</w:t>
      </w:r>
      <w:r>
        <w:rPr>
          <w:rFonts w:hint="eastAsia" w:ascii="仿宋" w:hAnsi="仿宋" w:eastAsia="仿宋"/>
          <w:sz w:val="32"/>
          <w:szCs w:val="32"/>
        </w:rPr>
        <w:t>。与2022年度相比，一般公共预算财政拨款支出增加</w:t>
      </w:r>
      <w:r>
        <w:rPr>
          <w:rFonts w:hint="eastAsia" w:ascii="仿宋" w:hAnsi="仿宋" w:eastAsia="仿宋"/>
          <w:sz w:val="32"/>
          <w:szCs w:val="32"/>
          <w:lang w:val="en-US" w:eastAsia="zh-CN"/>
        </w:rPr>
        <w:t>42.74</w:t>
      </w:r>
      <w:r>
        <w:rPr>
          <w:rFonts w:hint="eastAsia" w:ascii="仿宋" w:hAnsi="仿宋" w:eastAsia="仿宋"/>
          <w:sz w:val="32"/>
          <w:szCs w:val="32"/>
        </w:rPr>
        <w:t>万元，增长</w:t>
      </w:r>
      <w:r>
        <w:rPr>
          <w:rFonts w:hint="eastAsia" w:ascii="仿宋" w:hAnsi="仿宋" w:eastAsia="仿宋"/>
          <w:sz w:val="32"/>
          <w:szCs w:val="32"/>
          <w:lang w:val="en-US" w:eastAsia="zh-CN"/>
        </w:rPr>
        <w:t>5.03</w:t>
      </w:r>
      <w:r>
        <w:rPr>
          <w:rFonts w:ascii="仿宋" w:hAnsi="仿宋" w:eastAsia="仿宋"/>
          <w:sz w:val="32"/>
          <w:szCs w:val="32"/>
        </w:rPr>
        <w:t>%</w:t>
      </w:r>
      <w:r>
        <w:rPr>
          <w:rFonts w:hint="eastAsia" w:ascii="仿宋" w:hAnsi="仿宋" w:eastAsia="仿宋"/>
          <w:sz w:val="32"/>
          <w:szCs w:val="32"/>
        </w:rPr>
        <w:t>。主要变动原因是</w:t>
      </w:r>
      <w:r>
        <w:rPr>
          <w:rFonts w:hint="eastAsia" w:ascii="仿宋_GB2312" w:hAnsi="仿宋" w:eastAsia="仿宋_GB2312"/>
          <w:sz w:val="32"/>
        </w:rPr>
        <w:t>单位人员增加，业务量增加，公用经费增加。</w:t>
      </w:r>
    </w:p>
    <w:p>
      <w:pPr>
        <w:pStyle w:val="2"/>
      </w:pPr>
    </w:p>
    <w:p>
      <w:pPr>
        <w:pStyle w:val="2"/>
        <w:ind w:left="0" w:leftChars="0" w:firstLine="0" w:firstLineChars="0"/>
        <w:jc w:val="center"/>
      </w:pPr>
      <w:r>
        <w:drawing>
          <wp:inline distT="0" distB="0" distL="114300" distR="114300">
            <wp:extent cx="4800600" cy="2743200"/>
            <wp:effectExtent l="7620" t="7620" r="11430" b="11430"/>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keepNext w:val="0"/>
        <w:keepLines w:val="0"/>
        <w:pageBreakBefore w:val="0"/>
        <w:widowControl w:val="0"/>
        <w:kinsoku/>
        <w:wordWrap/>
        <w:overflowPunct/>
        <w:topLinePunct w:val="0"/>
        <w:autoSpaceDE/>
        <w:autoSpaceDN/>
        <w:bidi w:val="0"/>
        <w:adjustRightInd/>
        <w:snapToGrid/>
        <w:spacing w:line="580" w:lineRule="exact"/>
        <w:ind w:left="0" w:leftChars="0"/>
        <w:jc w:val="center"/>
        <w:textAlignment w:val="auto"/>
        <w:rPr>
          <w:rFonts w:hint="eastAsia" w:ascii="仿宋" w:hAnsi="仿宋" w:eastAsia="仿宋"/>
          <w:sz w:val="32"/>
          <w:szCs w:val="32"/>
        </w:rPr>
      </w:pPr>
      <w:r>
        <w:rPr>
          <w:rFonts w:hint="eastAsia" w:ascii="仿宋" w:hAnsi="仿宋" w:eastAsia="仿宋"/>
          <w:sz w:val="32"/>
          <w:szCs w:val="32"/>
        </w:rPr>
        <w:t>（图5：一般公共预算财政拨款支出决算变动情况）</w:t>
      </w:r>
    </w:p>
    <w:p>
      <w:pPr>
        <w:pStyle w:val="2"/>
        <w:keepNext w:val="0"/>
        <w:keepLines w:val="0"/>
        <w:pageBreakBefore w:val="0"/>
        <w:widowControl w:val="0"/>
        <w:kinsoku/>
        <w:wordWrap/>
        <w:overflowPunct/>
        <w:topLinePunct w:val="0"/>
        <w:autoSpaceDE/>
        <w:autoSpaceDN/>
        <w:bidi w:val="0"/>
        <w:adjustRightInd/>
        <w:snapToGrid/>
        <w:spacing w:beforeLines="0" w:afterLines="0" w:line="580" w:lineRule="exact"/>
        <w:ind w:left="480" w:leftChars="0"/>
        <w:textAlignment w:val="auto"/>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textAlignment w:val="auto"/>
        <w:outlineLvl w:val="2"/>
        <w:rPr>
          <w:rFonts w:ascii="仿宋" w:hAnsi="仿宋" w:eastAsia="仿宋"/>
          <w:b/>
          <w:sz w:val="32"/>
          <w:szCs w:val="32"/>
        </w:rPr>
      </w:pPr>
      <w:bookmarkStart w:id="23" w:name="_Toc15377211"/>
      <w:r>
        <w:rPr>
          <w:rFonts w:hint="eastAsia" w:ascii="仿宋" w:hAnsi="仿宋" w:eastAsia="仿宋"/>
          <w:b/>
          <w:sz w:val="32"/>
          <w:szCs w:val="32"/>
        </w:rPr>
        <w:t>（二）一般公共预算财政拨款支出决算结构情况</w:t>
      </w:r>
      <w:bookmarkEnd w:id="23"/>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textAlignment w:val="auto"/>
        <w:rPr>
          <w:rFonts w:hint="eastAsia" w:ascii="仿宋" w:hAnsi="仿宋" w:eastAsia="仿宋"/>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891.61</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lang w:val="en-US" w:eastAsia="zh-CN"/>
        </w:rPr>
        <w:t>121.45</w:t>
      </w:r>
      <w:r>
        <w:rPr>
          <w:rFonts w:hint="eastAsia" w:ascii="仿宋" w:hAnsi="仿宋" w:eastAsia="仿宋"/>
          <w:sz w:val="32"/>
          <w:szCs w:val="32"/>
        </w:rPr>
        <w:t>万元，占</w:t>
      </w:r>
      <w:r>
        <w:rPr>
          <w:rFonts w:hint="eastAsia" w:ascii="仿宋" w:hAnsi="仿宋" w:eastAsia="仿宋"/>
          <w:sz w:val="32"/>
          <w:szCs w:val="32"/>
          <w:lang w:val="en-US" w:eastAsia="zh-CN"/>
        </w:rPr>
        <w:t>11.87</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lang w:val="en-US" w:eastAsia="zh-CN"/>
        </w:rPr>
        <w:t>17.61</w:t>
      </w:r>
      <w:r>
        <w:rPr>
          <w:rFonts w:hint="eastAsia" w:ascii="仿宋" w:hAnsi="仿宋" w:eastAsia="仿宋"/>
          <w:sz w:val="32"/>
          <w:szCs w:val="32"/>
        </w:rPr>
        <w:t>万元，占</w:t>
      </w:r>
      <w:r>
        <w:rPr>
          <w:rFonts w:hint="eastAsia" w:ascii="仿宋" w:hAnsi="仿宋" w:eastAsia="仿宋"/>
          <w:sz w:val="32"/>
          <w:szCs w:val="32"/>
          <w:lang w:val="en-US" w:eastAsia="zh-CN"/>
        </w:rPr>
        <w:t>1.72</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lang w:eastAsia="zh-CN"/>
        </w:rPr>
        <w:t>交通运输</w:t>
      </w:r>
      <w:r>
        <w:rPr>
          <w:rFonts w:hint="eastAsia" w:ascii="仿宋" w:hAnsi="仿宋" w:eastAsia="仿宋"/>
          <w:b/>
          <w:bCs/>
          <w:sz w:val="32"/>
          <w:szCs w:val="32"/>
        </w:rPr>
        <w:t>支出</w:t>
      </w:r>
      <w:r>
        <w:rPr>
          <w:rFonts w:hint="eastAsia" w:ascii="仿宋" w:hAnsi="仿宋" w:eastAsia="仿宋"/>
          <w:sz w:val="32"/>
          <w:szCs w:val="32"/>
          <w:lang w:val="en-US" w:eastAsia="zh-CN"/>
        </w:rPr>
        <w:t>703.81</w:t>
      </w:r>
      <w:r>
        <w:rPr>
          <w:rFonts w:hint="eastAsia" w:ascii="仿宋" w:hAnsi="仿宋" w:eastAsia="仿宋"/>
          <w:sz w:val="32"/>
          <w:szCs w:val="32"/>
        </w:rPr>
        <w:t>万元，占</w:t>
      </w:r>
      <w:r>
        <w:rPr>
          <w:rFonts w:hint="eastAsia" w:ascii="仿宋" w:hAnsi="仿宋" w:eastAsia="仿宋"/>
          <w:sz w:val="32"/>
          <w:szCs w:val="32"/>
          <w:lang w:val="en-US" w:eastAsia="zh-CN"/>
        </w:rPr>
        <w:t>68.8</w:t>
      </w:r>
      <w:r>
        <w:rPr>
          <w:rFonts w:ascii="仿宋" w:hAnsi="仿宋" w:eastAsia="仿宋"/>
          <w:sz w:val="32"/>
          <w:szCs w:val="32"/>
        </w:rPr>
        <w:t>%</w:t>
      </w:r>
      <w:r>
        <w:rPr>
          <w:rFonts w:hint="eastAsia" w:ascii="仿宋" w:hAnsi="仿宋" w:eastAsia="仿宋"/>
          <w:sz w:val="32"/>
          <w:szCs w:val="32"/>
          <w:lang w:val="en-US" w:eastAsia="zh-CN"/>
        </w:rPr>
        <w:t>;</w:t>
      </w:r>
      <w:r>
        <w:rPr>
          <w:rFonts w:hint="eastAsia" w:ascii="仿宋" w:hAnsi="仿宋" w:eastAsia="仿宋"/>
          <w:b/>
          <w:bCs/>
          <w:sz w:val="32"/>
          <w:szCs w:val="32"/>
        </w:rPr>
        <w:t>住房保障支出</w:t>
      </w:r>
      <w:r>
        <w:rPr>
          <w:rFonts w:hint="eastAsia" w:ascii="仿宋" w:hAnsi="仿宋" w:eastAsia="仿宋"/>
          <w:sz w:val="32"/>
          <w:szCs w:val="32"/>
          <w:lang w:val="en-US" w:eastAsia="zh-CN"/>
        </w:rPr>
        <w:t>48.74</w:t>
      </w:r>
      <w:r>
        <w:rPr>
          <w:rFonts w:hint="eastAsia" w:ascii="仿宋" w:hAnsi="仿宋" w:eastAsia="仿宋"/>
          <w:sz w:val="32"/>
          <w:szCs w:val="32"/>
        </w:rPr>
        <w:t>万元，占</w:t>
      </w:r>
      <w:r>
        <w:rPr>
          <w:rFonts w:hint="eastAsia" w:ascii="仿宋" w:hAnsi="仿宋" w:eastAsia="仿宋"/>
          <w:sz w:val="32"/>
          <w:szCs w:val="32"/>
          <w:lang w:val="en-US" w:eastAsia="zh-CN"/>
        </w:rPr>
        <w:t>4.76</w:t>
      </w:r>
      <w:r>
        <w:rPr>
          <w:rFonts w:ascii="仿宋" w:hAnsi="仿宋" w:eastAsia="仿宋"/>
          <w:sz w:val="32"/>
          <w:szCs w:val="32"/>
        </w:rPr>
        <w:t>%</w:t>
      </w:r>
      <w:r>
        <w:rPr>
          <w:rFonts w:hint="eastAsia" w:ascii="仿宋" w:hAnsi="仿宋" w:eastAsia="仿宋"/>
          <w:sz w:val="32"/>
          <w:szCs w:val="32"/>
        </w:rPr>
        <w:t>。</w:t>
      </w:r>
    </w:p>
    <w:p>
      <w:pPr>
        <w:pStyle w:val="2"/>
      </w:pPr>
    </w:p>
    <w:p>
      <w:pPr>
        <w:jc w:val="center"/>
      </w:pPr>
      <w:r>
        <w:drawing>
          <wp:inline distT="0" distB="0" distL="114300" distR="114300">
            <wp:extent cx="4572000" cy="2571750"/>
            <wp:effectExtent l="0" t="0" r="0" b="0"/>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jc w:val="center"/>
        <w:rPr>
          <w:rFonts w:ascii="仿宋" w:hAnsi="仿宋" w:eastAsia="仿宋"/>
          <w:sz w:val="32"/>
          <w:szCs w:val="32"/>
        </w:rPr>
      </w:pPr>
      <w:r>
        <w:rPr>
          <w:rFonts w:hint="eastAsia" w:ascii="仿宋" w:hAnsi="仿宋" w:eastAsia="仿宋"/>
          <w:sz w:val="32"/>
          <w:szCs w:val="32"/>
        </w:rPr>
        <w:t>（图6：一般公共预算财政拨款支出决算结构）</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textAlignment w:val="auto"/>
        <w:outlineLvl w:val="2"/>
        <w:rPr>
          <w:rFonts w:ascii="仿宋" w:hAnsi="仿宋" w:eastAsia="仿宋"/>
          <w:b/>
          <w:sz w:val="32"/>
          <w:szCs w:val="32"/>
        </w:rPr>
      </w:pPr>
      <w:bookmarkStart w:id="24" w:name="_Toc15377212"/>
      <w:r>
        <w:rPr>
          <w:rFonts w:hint="eastAsia" w:ascii="仿宋" w:hAnsi="仿宋" w:eastAsia="仿宋"/>
          <w:b/>
          <w:sz w:val="32"/>
          <w:szCs w:val="32"/>
        </w:rPr>
        <w:t>（三）一般公共预算财政拨款支出决算具体情况</w:t>
      </w:r>
      <w:bookmarkEnd w:id="24"/>
    </w:p>
    <w:p>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textAlignment w:val="auto"/>
        <w:outlineLvl w:val="2"/>
        <w:rPr>
          <w:rStyle w:val="17"/>
          <w:rFonts w:hint="eastAsia" w:ascii="仿宋" w:hAnsi="仿宋" w:eastAsia="仿宋"/>
          <w:bCs/>
          <w:sz w:val="32"/>
          <w:szCs w:val="32"/>
        </w:rPr>
      </w:pPr>
      <w:bookmarkStart w:id="25" w:name="_Toc15378460"/>
      <w:bookmarkStart w:id="26" w:name="_Toc15377444"/>
      <w:bookmarkStart w:id="27" w:name="_Toc15377213"/>
      <w:r>
        <w:rPr>
          <w:rFonts w:hint="eastAsia" w:ascii="仿宋" w:hAnsi="仿宋" w:eastAsia="仿宋"/>
          <w:b/>
          <w:sz w:val="32"/>
          <w:szCs w:val="32"/>
        </w:rPr>
        <w:t>2023年度一般公共预算支出决算数为</w:t>
      </w:r>
      <w:r>
        <w:rPr>
          <w:rFonts w:ascii="仿宋" w:hAnsi="仿宋" w:eastAsia="仿宋"/>
          <w:b/>
          <w:sz w:val="32"/>
          <w:szCs w:val="32"/>
        </w:rPr>
        <w:t>891.61</w:t>
      </w:r>
      <w:r>
        <w:rPr>
          <w:rFonts w:hint="eastAsia" w:ascii="仿宋" w:hAnsi="仿宋" w:eastAsia="仿宋"/>
          <w:b/>
          <w:sz w:val="32"/>
          <w:szCs w:val="32"/>
          <w:lang w:eastAsia="zh-CN"/>
        </w:rPr>
        <w:t>万元</w:t>
      </w:r>
      <w:r>
        <w:rPr>
          <w:rFonts w:hint="eastAsia" w:ascii="仿宋" w:hAnsi="仿宋" w:eastAsia="仿宋"/>
          <w:sz w:val="32"/>
          <w:szCs w:val="32"/>
        </w:rPr>
        <w:t>，</w:t>
      </w:r>
      <w:r>
        <w:rPr>
          <w:rStyle w:val="17"/>
          <w:rFonts w:hint="eastAsia" w:ascii="仿宋" w:hAnsi="仿宋" w:eastAsia="仿宋"/>
          <w:bCs/>
          <w:sz w:val="32"/>
          <w:szCs w:val="32"/>
        </w:rPr>
        <w:t>完成预算</w:t>
      </w:r>
      <w:r>
        <w:rPr>
          <w:rStyle w:val="17"/>
          <w:rFonts w:hint="eastAsia" w:ascii="仿宋" w:hAnsi="仿宋" w:eastAsia="仿宋"/>
          <w:bCs/>
          <w:sz w:val="32"/>
          <w:szCs w:val="32"/>
          <w:lang w:val="en-US" w:eastAsia="zh-CN"/>
        </w:rPr>
        <w:t>100</w:t>
      </w:r>
      <w:r>
        <w:rPr>
          <w:rStyle w:val="17"/>
          <w:rFonts w:ascii="仿宋" w:hAnsi="仿宋" w:eastAsia="仿宋"/>
          <w:bCs/>
          <w:sz w:val="32"/>
          <w:szCs w:val="32"/>
        </w:rPr>
        <w:t>%</w:t>
      </w:r>
      <w:r>
        <w:rPr>
          <w:rStyle w:val="17"/>
          <w:rFonts w:hint="eastAsia" w:ascii="仿宋" w:hAnsi="仿宋" w:eastAsia="仿宋"/>
          <w:bCs/>
          <w:sz w:val="32"/>
          <w:szCs w:val="32"/>
        </w:rPr>
        <w:t>。其中：</w:t>
      </w:r>
      <w:bookmarkEnd w:id="25"/>
      <w:bookmarkEnd w:id="26"/>
      <w:bookmarkEnd w:id="27"/>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Style w:val="34"/>
          <w:rFonts w:hint="eastAsia" w:ascii="仿宋" w:hAnsi="仿宋" w:eastAsia="仿宋"/>
          <w:b w:val="0"/>
          <w:color w:val="auto"/>
          <w:sz w:val="32"/>
        </w:rPr>
      </w:pPr>
      <w:r>
        <w:rPr>
          <w:rStyle w:val="34"/>
          <w:rFonts w:hint="eastAsia" w:ascii="仿宋" w:hAnsi="仿宋" w:eastAsia="仿宋"/>
          <w:color w:val="auto"/>
          <w:sz w:val="32"/>
          <w:lang w:val="en-US" w:eastAsia="zh-CN"/>
        </w:rPr>
        <w:t>1.</w:t>
      </w:r>
      <w:r>
        <w:rPr>
          <w:rStyle w:val="34"/>
          <w:rFonts w:hint="eastAsia" w:ascii="仿宋" w:hAnsi="仿宋" w:eastAsia="仿宋"/>
          <w:color w:val="auto"/>
          <w:sz w:val="32"/>
        </w:rPr>
        <w:t>社会保障和就业支出（类）行政事业单位养老支出（款）机关事业单位基本养老保险缴费支出（项）：</w:t>
      </w:r>
      <w:r>
        <w:rPr>
          <w:rStyle w:val="34"/>
          <w:rFonts w:hint="eastAsia" w:ascii="仿宋" w:hAnsi="仿宋" w:eastAsia="仿宋"/>
          <w:b w:val="0"/>
          <w:color w:val="auto"/>
          <w:sz w:val="32"/>
        </w:rPr>
        <w:t>支出决算为</w:t>
      </w:r>
      <w:r>
        <w:rPr>
          <w:rStyle w:val="34"/>
          <w:rFonts w:hint="eastAsia" w:ascii="仿宋" w:hAnsi="仿宋" w:eastAsia="仿宋"/>
          <w:b w:val="0"/>
          <w:color w:val="auto"/>
          <w:sz w:val="32"/>
          <w:lang w:val="en-US" w:eastAsia="zh-CN"/>
        </w:rPr>
        <w:t>64.12</w:t>
      </w:r>
      <w:r>
        <w:rPr>
          <w:rStyle w:val="34"/>
          <w:rFonts w:hint="eastAsia" w:ascii="仿宋" w:hAnsi="仿宋" w:eastAsia="仿宋"/>
          <w:b w:val="0"/>
          <w:color w:val="auto"/>
          <w:sz w:val="32"/>
        </w:rPr>
        <w:t>万元，完成预算100%，与预算持平。</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
          <w:color w:val="auto"/>
          <w:sz w:val="32"/>
        </w:rPr>
      </w:pPr>
      <w:r>
        <w:rPr>
          <w:rStyle w:val="34"/>
          <w:rFonts w:hint="eastAsia" w:ascii="仿宋" w:hAnsi="仿宋" w:eastAsia="仿宋"/>
          <w:color w:val="auto"/>
          <w:sz w:val="32"/>
          <w:lang w:val="en-US" w:eastAsia="zh-CN"/>
        </w:rPr>
        <w:t>2.</w:t>
      </w:r>
      <w:r>
        <w:rPr>
          <w:rStyle w:val="34"/>
          <w:rFonts w:hint="eastAsia" w:ascii="仿宋" w:hAnsi="仿宋" w:eastAsia="仿宋"/>
          <w:color w:val="auto"/>
          <w:sz w:val="32"/>
        </w:rPr>
        <w:t>社会保障和就业支出（类）行政事业单位养老支出（款）机关事业单位职业年金缴费支出（项）：</w:t>
      </w:r>
      <w:r>
        <w:rPr>
          <w:rStyle w:val="34"/>
          <w:rFonts w:hint="eastAsia" w:ascii="仿宋" w:hAnsi="仿宋" w:eastAsia="仿宋"/>
          <w:b w:val="0"/>
          <w:color w:val="auto"/>
          <w:sz w:val="32"/>
        </w:rPr>
        <w:t>支出决算为</w:t>
      </w:r>
      <w:r>
        <w:rPr>
          <w:rStyle w:val="34"/>
          <w:rFonts w:hint="eastAsia" w:ascii="仿宋" w:hAnsi="仿宋" w:eastAsia="仿宋"/>
          <w:b w:val="0"/>
          <w:color w:val="auto"/>
          <w:sz w:val="32"/>
          <w:lang w:val="en-US" w:eastAsia="zh-CN"/>
        </w:rPr>
        <w:t>17.31</w:t>
      </w:r>
      <w:r>
        <w:rPr>
          <w:rStyle w:val="34"/>
          <w:rFonts w:hint="eastAsia" w:ascii="仿宋" w:hAnsi="仿宋" w:eastAsia="仿宋"/>
          <w:b w:val="0"/>
          <w:color w:val="auto"/>
          <w:sz w:val="32"/>
        </w:rPr>
        <w:t>万元，完成预算100%，与预算持平。</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Style w:val="34"/>
          <w:rFonts w:hint="eastAsia" w:ascii="仿宋" w:hAnsi="仿宋" w:eastAsia="仿宋"/>
          <w:color w:val="auto"/>
          <w:sz w:val="32"/>
          <w:lang w:val="en-US" w:eastAsia="zh-CN"/>
        </w:rPr>
      </w:pPr>
      <w:r>
        <w:rPr>
          <w:rStyle w:val="34"/>
          <w:rFonts w:hint="eastAsia" w:ascii="仿宋" w:hAnsi="仿宋" w:eastAsia="仿宋"/>
          <w:color w:val="auto"/>
          <w:sz w:val="32"/>
          <w:lang w:val="en-US" w:eastAsia="zh-CN"/>
        </w:rPr>
        <w:t>3.</w:t>
      </w:r>
      <w:r>
        <w:rPr>
          <w:rStyle w:val="34"/>
          <w:rFonts w:hint="eastAsia" w:ascii="仿宋" w:hAnsi="仿宋" w:eastAsia="仿宋"/>
          <w:color w:val="auto"/>
          <w:sz w:val="32"/>
        </w:rPr>
        <w:t>社会保障和就业支出（类）</w:t>
      </w:r>
      <w:r>
        <w:rPr>
          <w:rStyle w:val="34"/>
          <w:rFonts w:hint="eastAsia" w:ascii="仿宋" w:hAnsi="仿宋" w:eastAsia="仿宋"/>
          <w:color w:val="auto"/>
          <w:sz w:val="32"/>
          <w:lang w:eastAsia="zh-CN"/>
        </w:rPr>
        <w:t>抚恤</w:t>
      </w:r>
      <w:r>
        <w:rPr>
          <w:rStyle w:val="34"/>
          <w:rFonts w:hint="eastAsia" w:ascii="仿宋" w:hAnsi="仿宋" w:eastAsia="仿宋"/>
          <w:color w:val="auto"/>
          <w:sz w:val="32"/>
        </w:rPr>
        <w:t>（款）</w:t>
      </w:r>
      <w:r>
        <w:rPr>
          <w:rStyle w:val="34"/>
          <w:rFonts w:hint="eastAsia" w:ascii="仿宋" w:hAnsi="仿宋" w:eastAsia="仿宋"/>
          <w:color w:val="auto"/>
          <w:sz w:val="32"/>
          <w:lang w:eastAsia="zh-CN"/>
        </w:rPr>
        <w:t>死亡抚恤</w:t>
      </w:r>
      <w:r>
        <w:rPr>
          <w:rStyle w:val="34"/>
          <w:rFonts w:hint="eastAsia" w:ascii="仿宋" w:hAnsi="仿宋" w:eastAsia="仿宋"/>
          <w:color w:val="auto"/>
          <w:sz w:val="32"/>
        </w:rPr>
        <w:t>（项）：</w:t>
      </w:r>
      <w:r>
        <w:rPr>
          <w:rStyle w:val="34"/>
          <w:rFonts w:hint="eastAsia" w:ascii="仿宋" w:hAnsi="仿宋" w:eastAsia="仿宋"/>
          <w:b w:val="0"/>
          <w:color w:val="auto"/>
          <w:sz w:val="32"/>
        </w:rPr>
        <w:t>支出决算为</w:t>
      </w:r>
      <w:r>
        <w:rPr>
          <w:rStyle w:val="34"/>
          <w:rFonts w:hint="eastAsia" w:ascii="仿宋" w:hAnsi="仿宋" w:eastAsia="仿宋"/>
          <w:b w:val="0"/>
          <w:color w:val="auto"/>
          <w:sz w:val="32"/>
          <w:lang w:val="en-US" w:eastAsia="zh-CN"/>
        </w:rPr>
        <w:t>22.36</w:t>
      </w:r>
      <w:r>
        <w:rPr>
          <w:rStyle w:val="34"/>
          <w:rFonts w:hint="eastAsia" w:ascii="仿宋" w:hAnsi="仿宋" w:eastAsia="仿宋"/>
          <w:b w:val="0"/>
          <w:color w:val="auto"/>
          <w:sz w:val="32"/>
        </w:rPr>
        <w:t>万元，完成预算100%，与预算持平。</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
          <w:color w:val="auto"/>
          <w:sz w:val="32"/>
        </w:rPr>
      </w:pPr>
      <w:r>
        <w:rPr>
          <w:rStyle w:val="34"/>
          <w:rFonts w:hint="eastAsia" w:ascii="仿宋" w:hAnsi="仿宋" w:eastAsia="仿宋"/>
          <w:color w:val="auto"/>
          <w:sz w:val="32"/>
          <w:lang w:val="en-US" w:eastAsia="zh-CN"/>
        </w:rPr>
        <w:t>4.</w:t>
      </w:r>
      <w:r>
        <w:rPr>
          <w:rStyle w:val="34"/>
          <w:rFonts w:hint="eastAsia" w:ascii="仿宋" w:hAnsi="仿宋" w:eastAsia="仿宋"/>
          <w:color w:val="auto"/>
          <w:sz w:val="32"/>
        </w:rPr>
        <w:t>社会保障和就业支出（类）其他社会保障和就业支出</w:t>
      </w:r>
      <w:r>
        <w:rPr>
          <w:rStyle w:val="34"/>
          <w:rFonts w:hint="eastAsia" w:ascii="仿宋" w:hAnsi="仿宋" w:eastAsia="仿宋"/>
          <w:color w:val="auto"/>
          <w:sz w:val="32"/>
          <w:lang w:eastAsia="zh-CN"/>
        </w:rPr>
        <w:t>（款） 其他社会保障和就业支出（项）：</w:t>
      </w:r>
      <w:r>
        <w:rPr>
          <w:rStyle w:val="34"/>
          <w:rFonts w:hint="eastAsia" w:ascii="仿宋" w:hAnsi="仿宋" w:eastAsia="仿宋"/>
          <w:b w:val="0"/>
          <w:color w:val="000000"/>
          <w:sz w:val="32"/>
          <w:lang w:eastAsia="zh-CN"/>
        </w:rPr>
        <w:t>支出决算为</w:t>
      </w:r>
      <w:r>
        <w:rPr>
          <w:rStyle w:val="34"/>
          <w:rFonts w:hint="eastAsia" w:ascii="仿宋" w:hAnsi="仿宋" w:eastAsia="仿宋"/>
          <w:b w:val="0"/>
          <w:color w:val="000000"/>
          <w:sz w:val="32"/>
          <w:lang w:val="en-US" w:eastAsia="zh-CN"/>
        </w:rPr>
        <w:t>2.91万元，</w:t>
      </w:r>
      <w:r>
        <w:rPr>
          <w:rStyle w:val="34"/>
          <w:rFonts w:hint="eastAsia" w:ascii="仿宋" w:hAnsi="仿宋" w:eastAsia="仿宋"/>
          <w:b w:val="0"/>
          <w:color w:val="000000"/>
          <w:sz w:val="32"/>
        </w:rPr>
        <w:t>完成预算100%，与预算持平。</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Style w:val="34"/>
          <w:rFonts w:hint="default" w:ascii="仿宋" w:hAnsi="仿宋" w:eastAsia="仿宋" w:cstheme="minorBidi"/>
          <w:color w:val="000000"/>
          <w:kern w:val="2"/>
          <w:sz w:val="32"/>
          <w:szCs w:val="24"/>
          <w:lang w:val="en-US" w:eastAsia="zh-CN" w:bidi="ar-SA"/>
        </w:rPr>
      </w:pPr>
      <w:r>
        <w:rPr>
          <w:rStyle w:val="34"/>
          <w:rFonts w:hint="eastAsia" w:ascii="仿宋" w:hAnsi="仿宋" w:eastAsia="仿宋"/>
          <w:color w:val="000000"/>
          <w:sz w:val="32"/>
          <w:lang w:val="en-US" w:eastAsia="zh-CN"/>
        </w:rPr>
        <w:t>5.</w:t>
      </w:r>
      <w:r>
        <w:rPr>
          <w:rStyle w:val="34"/>
          <w:rFonts w:hint="eastAsia" w:ascii="仿宋" w:hAnsi="仿宋" w:eastAsia="仿宋"/>
          <w:color w:val="000000"/>
          <w:sz w:val="32"/>
        </w:rPr>
        <w:t>卫生健康支出（类）行政单位医疗（款）行政单位医疗（项）</w:t>
      </w:r>
      <w:r>
        <w:rPr>
          <w:rStyle w:val="34"/>
          <w:rFonts w:hint="eastAsia" w:ascii="仿宋" w:hAnsi="仿宋" w:eastAsia="仿宋"/>
          <w:color w:val="auto"/>
          <w:sz w:val="32"/>
        </w:rPr>
        <w:t>：</w:t>
      </w:r>
      <w:r>
        <w:rPr>
          <w:rStyle w:val="34"/>
          <w:rFonts w:hint="eastAsia" w:ascii="仿宋" w:hAnsi="仿宋" w:eastAsia="仿宋"/>
          <w:b w:val="0"/>
          <w:color w:val="auto"/>
          <w:sz w:val="32"/>
        </w:rPr>
        <w:t>支出决算为</w:t>
      </w:r>
      <w:r>
        <w:rPr>
          <w:rStyle w:val="34"/>
          <w:rFonts w:hint="eastAsia" w:ascii="仿宋" w:hAnsi="仿宋" w:eastAsia="仿宋"/>
          <w:b w:val="0"/>
          <w:color w:val="auto"/>
          <w:sz w:val="32"/>
          <w:lang w:val="en-US" w:eastAsia="zh-CN"/>
        </w:rPr>
        <w:t>15.27</w:t>
      </w:r>
      <w:r>
        <w:rPr>
          <w:rStyle w:val="34"/>
          <w:rFonts w:hint="eastAsia" w:ascii="仿宋" w:hAnsi="仿宋" w:eastAsia="仿宋"/>
          <w:b w:val="0"/>
          <w:color w:val="auto"/>
          <w:sz w:val="32"/>
        </w:rPr>
        <w:t>万元，完成预算100%，与预算持平</w:t>
      </w:r>
      <w:r>
        <w:rPr>
          <w:rFonts w:hint="eastAsia" w:ascii="仿宋" w:hAnsi="仿宋" w:eastAsia="仿宋"/>
          <w:color w:val="auto"/>
          <w:sz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
          <w:color w:val="000000"/>
          <w:sz w:val="32"/>
        </w:rPr>
      </w:pPr>
      <w:r>
        <w:rPr>
          <w:rStyle w:val="34"/>
          <w:rFonts w:hint="eastAsia" w:ascii="仿宋" w:hAnsi="仿宋" w:eastAsia="仿宋"/>
          <w:color w:val="000000"/>
          <w:sz w:val="32"/>
          <w:lang w:val="en-US" w:eastAsia="zh-CN"/>
        </w:rPr>
        <w:t>6.</w:t>
      </w:r>
      <w:r>
        <w:rPr>
          <w:rStyle w:val="34"/>
          <w:rFonts w:hint="eastAsia" w:ascii="仿宋" w:hAnsi="仿宋" w:eastAsia="仿宋"/>
          <w:color w:val="000000"/>
          <w:sz w:val="32"/>
        </w:rPr>
        <w:t>卫生健康支出（类）行政单位医疗（款）</w:t>
      </w:r>
      <w:r>
        <w:rPr>
          <w:rStyle w:val="34"/>
          <w:rFonts w:hint="eastAsia" w:ascii="仿宋" w:hAnsi="仿宋" w:eastAsia="仿宋"/>
          <w:color w:val="000000"/>
          <w:sz w:val="32"/>
          <w:lang w:eastAsia="zh-CN"/>
        </w:rPr>
        <w:t>公务员医疗补助</w:t>
      </w:r>
      <w:r>
        <w:rPr>
          <w:rStyle w:val="34"/>
          <w:rFonts w:hint="eastAsia" w:ascii="仿宋" w:hAnsi="仿宋" w:eastAsia="仿宋"/>
          <w:color w:val="000000"/>
          <w:sz w:val="32"/>
        </w:rPr>
        <w:t>（项）</w:t>
      </w:r>
      <w:r>
        <w:rPr>
          <w:rStyle w:val="34"/>
          <w:rFonts w:hint="eastAsia" w:ascii="仿宋" w:hAnsi="仿宋" w:eastAsia="仿宋"/>
          <w:color w:val="auto"/>
          <w:sz w:val="32"/>
        </w:rPr>
        <w:t>：</w:t>
      </w:r>
      <w:r>
        <w:rPr>
          <w:rStyle w:val="34"/>
          <w:rFonts w:hint="eastAsia" w:ascii="仿宋" w:hAnsi="仿宋" w:eastAsia="仿宋"/>
          <w:b w:val="0"/>
          <w:color w:val="auto"/>
          <w:sz w:val="32"/>
        </w:rPr>
        <w:t>支出决算为</w:t>
      </w:r>
      <w:r>
        <w:rPr>
          <w:rStyle w:val="34"/>
          <w:rFonts w:hint="eastAsia" w:ascii="仿宋" w:hAnsi="仿宋" w:eastAsia="仿宋"/>
          <w:b w:val="0"/>
          <w:color w:val="auto"/>
          <w:sz w:val="32"/>
          <w:lang w:val="en-US" w:eastAsia="zh-CN"/>
        </w:rPr>
        <w:t>2.34</w:t>
      </w:r>
      <w:r>
        <w:rPr>
          <w:rStyle w:val="34"/>
          <w:rFonts w:hint="eastAsia" w:ascii="仿宋" w:hAnsi="仿宋" w:eastAsia="仿宋"/>
          <w:b w:val="0"/>
          <w:color w:val="auto"/>
          <w:sz w:val="32"/>
        </w:rPr>
        <w:t>万元，完成预算100%，与预算持平</w:t>
      </w:r>
      <w:r>
        <w:rPr>
          <w:rFonts w:hint="eastAsia" w:ascii="仿宋" w:hAnsi="仿宋" w:eastAsia="仿宋"/>
          <w:color w:val="auto"/>
          <w:sz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
          <w:color w:val="000000"/>
          <w:sz w:val="32"/>
        </w:rPr>
      </w:pPr>
      <w:r>
        <w:rPr>
          <w:rStyle w:val="34"/>
          <w:rFonts w:hint="eastAsia" w:ascii="仿宋" w:hAnsi="仿宋" w:eastAsia="仿宋"/>
          <w:color w:val="000000"/>
          <w:sz w:val="32"/>
          <w:lang w:val="en-US" w:eastAsia="zh-CN"/>
        </w:rPr>
        <w:t>7.</w:t>
      </w:r>
      <w:r>
        <w:rPr>
          <w:rStyle w:val="34"/>
          <w:rFonts w:hint="eastAsia" w:ascii="仿宋" w:hAnsi="仿宋" w:eastAsia="仿宋"/>
          <w:color w:val="000000"/>
          <w:sz w:val="32"/>
        </w:rPr>
        <w:t>交通运输支出（类）公路水路运输（款）行政运行（项）：</w:t>
      </w:r>
      <w:r>
        <w:rPr>
          <w:rStyle w:val="34"/>
          <w:rFonts w:hint="eastAsia" w:ascii="仿宋" w:hAnsi="仿宋" w:eastAsia="仿宋"/>
          <w:b w:val="0"/>
          <w:color w:val="000000"/>
          <w:sz w:val="32"/>
        </w:rPr>
        <w:t>支出决算为</w:t>
      </w:r>
      <w:r>
        <w:rPr>
          <w:rStyle w:val="34"/>
          <w:rFonts w:hint="eastAsia" w:ascii="仿宋" w:hAnsi="仿宋" w:eastAsia="仿宋"/>
          <w:b w:val="0"/>
          <w:color w:val="000000"/>
          <w:sz w:val="32"/>
          <w:lang w:val="en-US" w:eastAsia="zh-CN"/>
        </w:rPr>
        <w:t>678.71</w:t>
      </w:r>
      <w:r>
        <w:rPr>
          <w:rStyle w:val="34"/>
          <w:rFonts w:hint="eastAsia" w:ascii="仿宋" w:hAnsi="仿宋" w:eastAsia="仿宋"/>
          <w:b w:val="0"/>
          <w:color w:val="000000"/>
          <w:sz w:val="32"/>
        </w:rPr>
        <w:t>万元，完成预算100%，与预算持平</w:t>
      </w:r>
      <w:r>
        <w:rPr>
          <w:rFonts w:hint="eastAsia" w:ascii="仿宋" w:hAnsi="仿宋" w:eastAsia="仿宋"/>
          <w:color w:val="000000"/>
          <w:sz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
          <w:color w:val="000000"/>
          <w:sz w:val="32"/>
        </w:rPr>
      </w:pPr>
      <w:r>
        <w:rPr>
          <w:rStyle w:val="34"/>
          <w:rFonts w:hint="eastAsia" w:ascii="仿宋" w:hAnsi="仿宋" w:eastAsia="仿宋"/>
          <w:color w:val="000000"/>
          <w:sz w:val="32"/>
          <w:lang w:val="en-US" w:eastAsia="zh-CN"/>
        </w:rPr>
        <w:t>8.</w:t>
      </w:r>
      <w:r>
        <w:rPr>
          <w:rStyle w:val="34"/>
          <w:rFonts w:hint="eastAsia" w:ascii="仿宋" w:hAnsi="仿宋" w:eastAsia="仿宋"/>
          <w:color w:val="000000"/>
          <w:sz w:val="32"/>
        </w:rPr>
        <w:t>交通运输支出（类）公路水路运输（款）一般行政管理事务（项）</w:t>
      </w:r>
      <w:r>
        <w:rPr>
          <w:rStyle w:val="34"/>
          <w:rFonts w:hint="eastAsia" w:ascii="仿宋" w:hAnsi="仿宋" w:eastAsia="仿宋"/>
          <w:b w:val="0"/>
          <w:color w:val="000000"/>
          <w:sz w:val="32"/>
        </w:rPr>
        <w:t>支出决算为</w:t>
      </w:r>
      <w:r>
        <w:rPr>
          <w:rStyle w:val="34"/>
          <w:rFonts w:hint="eastAsia" w:ascii="仿宋" w:hAnsi="仿宋" w:eastAsia="仿宋"/>
          <w:b w:val="0"/>
          <w:color w:val="000000"/>
          <w:sz w:val="32"/>
          <w:lang w:val="en-US" w:eastAsia="zh-CN"/>
        </w:rPr>
        <w:t>10.10</w:t>
      </w:r>
      <w:r>
        <w:rPr>
          <w:rStyle w:val="34"/>
          <w:rFonts w:hint="eastAsia" w:ascii="仿宋" w:hAnsi="仿宋" w:eastAsia="仿宋"/>
          <w:b w:val="0"/>
          <w:color w:val="000000"/>
          <w:sz w:val="32"/>
        </w:rPr>
        <w:t>万元，完成预算100%，与预算持平</w:t>
      </w:r>
      <w:r>
        <w:rPr>
          <w:rFonts w:hint="eastAsia" w:ascii="仿宋" w:hAnsi="仿宋" w:eastAsia="仿宋"/>
          <w:color w:val="000000"/>
          <w:sz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Style w:val="34"/>
          <w:rFonts w:hint="default" w:ascii="仿宋" w:hAnsi="仿宋" w:eastAsia="仿宋" w:cstheme="minorBidi"/>
          <w:b w:val="0"/>
          <w:color w:val="000000"/>
          <w:sz w:val="32"/>
          <w:lang w:val="en-US" w:eastAsia="zh-CN"/>
        </w:rPr>
      </w:pPr>
      <w:r>
        <w:rPr>
          <w:rStyle w:val="34"/>
          <w:rFonts w:hint="eastAsia" w:ascii="仿宋" w:hAnsi="仿宋" w:eastAsia="仿宋"/>
          <w:color w:val="000000"/>
          <w:sz w:val="32"/>
          <w:lang w:val="en-US" w:eastAsia="zh-CN"/>
        </w:rPr>
        <w:t>9.</w:t>
      </w:r>
      <w:r>
        <w:rPr>
          <w:rStyle w:val="34"/>
          <w:rFonts w:hint="eastAsia" w:ascii="仿宋" w:hAnsi="仿宋" w:eastAsia="仿宋"/>
          <w:color w:val="000000"/>
          <w:sz w:val="32"/>
        </w:rPr>
        <w:t>交通运输支出（类）公路水路运输（款）水路运输管理支出（项）</w:t>
      </w:r>
      <w:r>
        <w:rPr>
          <w:rStyle w:val="34"/>
          <w:rFonts w:hint="eastAsia" w:ascii="仿宋" w:hAnsi="仿宋" w:eastAsia="仿宋"/>
          <w:b w:val="0"/>
          <w:color w:val="000000"/>
          <w:sz w:val="32"/>
        </w:rPr>
        <w:t>支出决算为</w:t>
      </w:r>
      <w:r>
        <w:rPr>
          <w:rStyle w:val="34"/>
          <w:rFonts w:hint="eastAsia" w:ascii="仿宋" w:hAnsi="仿宋" w:eastAsia="仿宋"/>
          <w:b w:val="0"/>
          <w:color w:val="000000"/>
          <w:sz w:val="32"/>
          <w:lang w:val="en-US" w:eastAsia="zh-CN"/>
        </w:rPr>
        <w:t>15</w:t>
      </w:r>
      <w:r>
        <w:rPr>
          <w:rStyle w:val="34"/>
          <w:rFonts w:hint="eastAsia" w:ascii="仿宋" w:hAnsi="仿宋" w:eastAsia="仿宋"/>
          <w:b w:val="0"/>
          <w:color w:val="000000"/>
          <w:sz w:val="32"/>
        </w:rPr>
        <w:t>万元，完成预算100%，与预算持平</w:t>
      </w:r>
      <w:r>
        <w:rPr>
          <w:rFonts w:hint="eastAsia" w:ascii="仿宋" w:hAnsi="仿宋" w:eastAsia="仿宋"/>
          <w:color w:val="000000"/>
          <w:sz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Style w:val="34"/>
          <w:rFonts w:hint="default" w:ascii="仿宋" w:hAnsi="仿宋" w:eastAsia="仿宋" w:cstheme="minorBidi"/>
          <w:b w:val="0"/>
          <w:color w:val="000000"/>
          <w:sz w:val="32"/>
          <w:lang w:val="en-US" w:eastAsia="zh-CN"/>
        </w:rPr>
      </w:pPr>
      <w:r>
        <w:rPr>
          <w:rStyle w:val="34"/>
          <w:rFonts w:hint="eastAsia" w:ascii="仿宋" w:hAnsi="仿宋" w:eastAsia="仿宋" w:cstheme="minorBidi"/>
          <w:color w:val="000000"/>
          <w:kern w:val="2"/>
          <w:sz w:val="32"/>
          <w:lang w:val="en-US" w:eastAsia="zh-CN"/>
        </w:rPr>
        <w:t>10.住房保障支出（类）住房改革支出（款）住房公积金（项）</w:t>
      </w:r>
      <w:r>
        <w:rPr>
          <w:rStyle w:val="34"/>
          <w:rFonts w:hint="eastAsia" w:ascii="仿宋" w:hAnsi="仿宋" w:eastAsia="仿宋" w:cstheme="minorBidi"/>
          <w:b w:val="0"/>
          <w:color w:val="000000"/>
          <w:sz w:val="32"/>
          <w:lang w:val="en-US" w:eastAsia="zh-CN"/>
        </w:rPr>
        <w:t>支出决算为48.74万元，完成预算100%，与预算持平。</w:t>
      </w:r>
    </w:p>
    <w:p>
      <w:pPr>
        <w:keepNext w:val="0"/>
        <w:keepLines w:val="0"/>
        <w:pageBreakBefore w:val="0"/>
        <w:widowControl w:val="0"/>
        <w:tabs>
          <w:tab w:val="right" w:pos="8306"/>
        </w:tabs>
        <w:kinsoku/>
        <w:wordWrap/>
        <w:overflowPunct/>
        <w:topLinePunct w:val="0"/>
        <w:autoSpaceDE/>
        <w:autoSpaceDN/>
        <w:bidi w:val="0"/>
        <w:adjustRightInd/>
        <w:snapToGrid/>
        <w:spacing w:line="580" w:lineRule="exact"/>
        <w:ind w:left="0" w:leftChars="0" w:firstLine="640"/>
        <w:textAlignment w:val="auto"/>
        <w:outlineLvl w:val="1"/>
        <w:rPr>
          <w:rStyle w:val="29"/>
        </w:rPr>
      </w:pPr>
      <w:bookmarkStart w:id="28" w:name="_Toc15396608"/>
      <w:bookmarkStart w:id="29"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28"/>
      <w:bookmarkEnd w:id="29"/>
      <w:r>
        <w:rPr>
          <w:rStyle w:val="29"/>
          <w:rFonts w:ascii="黑体" w:hAnsi="黑体" w:eastAsia="黑体"/>
          <w:b w:val="0"/>
        </w:rPr>
        <w:tab/>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5"/>
        <w:textAlignment w:val="auto"/>
        <w:rPr>
          <w:rFonts w:ascii="仿宋" w:hAnsi="仿宋" w:eastAsia="仿宋"/>
          <w:sz w:val="32"/>
          <w:szCs w:val="32"/>
        </w:rPr>
      </w:pPr>
      <w:r>
        <w:rPr>
          <w:rFonts w:hint="eastAsia" w:ascii="仿宋" w:hAnsi="仿宋" w:eastAsia="仿宋"/>
          <w:sz w:val="32"/>
          <w:szCs w:val="32"/>
        </w:rPr>
        <w:t>2023年度一般公共预算财政拨款基本支出</w:t>
      </w:r>
      <w:r>
        <w:rPr>
          <w:rFonts w:ascii="仿宋" w:hAnsi="仿宋" w:eastAsia="仿宋"/>
          <w:b/>
          <w:sz w:val="32"/>
          <w:szCs w:val="32"/>
        </w:rPr>
        <w:t>866.51</w:t>
      </w:r>
      <w:r>
        <w:rPr>
          <w:rFonts w:hint="eastAsia" w:ascii="仿宋" w:hAnsi="仿宋" w:eastAsia="仿宋"/>
          <w:sz w:val="32"/>
          <w:szCs w:val="32"/>
        </w:rPr>
        <w:t>万元，其中：</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5"/>
        <w:textAlignment w:val="auto"/>
        <w:rPr>
          <w:rFonts w:ascii="仿宋" w:hAnsi="仿宋" w:eastAsia="仿宋"/>
          <w:sz w:val="32"/>
          <w:szCs w:val="32"/>
        </w:rPr>
      </w:pPr>
      <w:r>
        <w:rPr>
          <w:rFonts w:hint="eastAsia" w:ascii="仿宋" w:hAnsi="仿宋" w:eastAsia="仿宋"/>
          <w:sz w:val="32"/>
          <w:szCs w:val="32"/>
        </w:rPr>
        <w:t>人员经费</w:t>
      </w:r>
      <w:r>
        <w:rPr>
          <w:rFonts w:ascii="仿宋" w:hAnsi="仿宋" w:eastAsia="仿宋"/>
          <w:b/>
          <w:sz w:val="32"/>
          <w:szCs w:val="32"/>
        </w:rPr>
        <w:t>717.94</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
          <w:sz w:val="32"/>
          <w:szCs w:val="32"/>
        </w:rPr>
        <w:t>148.57</w:t>
      </w:r>
      <w:r>
        <w:rPr>
          <w:rFonts w:hint="eastAsia" w:ascii="仿宋" w:hAnsi="仿宋" w:eastAsia="仿宋"/>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textAlignment w:val="auto"/>
        <w:rPr>
          <w:rFonts w:ascii="仿宋" w:hAnsi="仿宋" w:eastAsia="仿宋"/>
          <w:b/>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textAlignment w:val="auto"/>
        <w:outlineLvl w:val="1"/>
        <w:rPr>
          <w:rStyle w:val="29"/>
          <w:rFonts w:ascii="黑体" w:hAnsi="黑体" w:eastAsia="黑体"/>
          <w:b w:val="0"/>
        </w:rPr>
      </w:pPr>
      <w:bookmarkStart w:id="30" w:name="_Toc15377215"/>
      <w:bookmarkStart w:id="31" w:name="_Toc15396609"/>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30"/>
      <w:bookmarkEnd w:id="31"/>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textAlignment w:val="auto"/>
        <w:outlineLvl w:val="2"/>
        <w:rPr>
          <w:rFonts w:ascii="仿宋" w:hAnsi="仿宋" w:eastAsia="仿宋"/>
          <w:b/>
          <w:sz w:val="32"/>
          <w:szCs w:val="32"/>
        </w:rPr>
      </w:pPr>
      <w:bookmarkStart w:id="32" w:name="_Toc15377216"/>
      <w:r>
        <w:rPr>
          <w:rFonts w:hint="eastAsia" w:ascii="仿宋" w:hAnsi="仿宋" w:eastAsia="仿宋"/>
          <w:b/>
          <w:sz w:val="32"/>
          <w:szCs w:val="32"/>
        </w:rPr>
        <w:t>（一）“三公”经费财政拨款支出决算总体情况说明</w:t>
      </w:r>
      <w:bookmarkEnd w:id="32"/>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textAlignment w:val="auto"/>
        <w:rPr>
          <w:rFonts w:ascii="仿宋" w:hAnsi="仿宋" w:eastAsia="仿宋"/>
          <w:sz w:val="32"/>
          <w:szCs w:val="32"/>
        </w:rPr>
      </w:pPr>
      <w:r>
        <w:rPr>
          <w:rFonts w:hint="eastAsia" w:ascii="仿宋" w:hAnsi="仿宋" w:eastAsia="仿宋"/>
          <w:sz w:val="32"/>
          <w:szCs w:val="32"/>
        </w:rPr>
        <w:t>2023年度“三公”经费财政拨款支出决算为</w:t>
      </w:r>
      <w:r>
        <w:rPr>
          <w:rFonts w:ascii="仿宋" w:hAnsi="仿宋" w:eastAsia="仿宋"/>
          <w:b/>
          <w:sz w:val="32"/>
          <w:szCs w:val="32"/>
        </w:rPr>
        <w:t>16.89</w:t>
      </w:r>
      <w:r>
        <w:rPr>
          <w:rFonts w:hint="eastAsia" w:ascii="仿宋" w:hAnsi="仿宋" w:eastAsia="仿宋"/>
          <w:sz w:val="32"/>
          <w:szCs w:val="32"/>
        </w:rPr>
        <w:t>万元，完成预算</w:t>
      </w:r>
      <w:r>
        <w:rPr>
          <w:rFonts w:hint="eastAsia" w:ascii="仿宋" w:hAnsi="仿宋" w:eastAsia="仿宋"/>
          <w:b/>
          <w:sz w:val="32"/>
          <w:szCs w:val="32"/>
          <w:lang w:val="en-US" w:eastAsia="zh-CN"/>
        </w:rPr>
        <w:t>100</w:t>
      </w:r>
      <w:r>
        <w:rPr>
          <w:rFonts w:ascii="仿宋" w:hAnsi="仿宋" w:eastAsia="仿宋"/>
          <w:sz w:val="32"/>
          <w:szCs w:val="32"/>
        </w:rPr>
        <w:t>%</w:t>
      </w:r>
      <w:r>
        <w:rPr>
          <w:rFonts w:hint="eastAsia" w:ascii="仿宋" w:hAnsi="仿宋" w:eastAsia="仿宋"/>
          <w:sz w:val="32"/>
          <w:szCs w:val="32"/>
          <w:lang w:eastAsia="zh-CN"/>
        </w:rPr>
        <w:t>，</w:t>
      </w:r>
      <w:r>
        <w:rPr>
          <w:rFonts w:hint="eastAsia" w:ascii="仿宋" w:hAnsi="仿宋" w:eastAsia="仿宋"/>
          <w:sz w:val="32"/>
          <w:szCs w:val="32"/>
        </w:rPr>
        <w:t>较上年度减少</w:t>
      </w:r>
      <w:r>
        <w:rPr>
          <w:rFonts w:hint="eastAsia" w:ascii="仿宋" w:hAnsi="仿宋" w:eastAsia="仿宋"/>
          <w:sz w:val="32"/>
          <w:szCs w:val="32"/>
          <w:lang w:val="en-US" w:eastAsia="zh-CN"/>
        </w:rPr>
        <w:t>3.14</w:t>
      </w:r>
      <w:r>
        <w:rPr>
          <w:rFonts w:hint="eastAsia" w:ascii="仿宋" w:hAnsi="仿宋" w:eastAsia="仿宋"/>
          <w:sz w:val="32"/>
          <w:szCs w:val="32"/>
        </w:rPr>
        <w:t>万元，下降</w:t>
      </w:r>
      <w:r>
        <w:rPr>
          <w:rFonts w:hint="eastAsia" w:ascii="仿宋" w:hAnsi="仿宋" w:eastAsia="仿宋"/>
          <w:sz w:val="32"/>
          <w:szCs w:val="32"/>
          <w:lang w:val="en-US" w:eastAsia="zh-CN"/>
        </w:rPr>
        <w:t>15.68</w:t>
      </w:r>
      <w:r>
        <w:rPr>
          <w:rFonts w:hint="eastAsia" w:ascii="仿宋" w:hAnsi="仿宋" w:eastAsia="仿宋"/>
          <w:sz w:val="32"/>
          <w:szCs w:val="32"/>
        </w:rPr>
        <w:t>%。决算数与预算数持平。</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textAlignment w:val="auto"/>
        <w:outlineLvl w:val="2"/>
        <w:rPr>
          <w:rFonts w:ascii="仿宋" w:hAnsi="仿宋" w:eastAsia="仿宋"/>
          <w:b/>
          <w:sz w:val="32"/>
          <w:szCs w:val="32"/>
        </w:rPr>
      </w:pPr>
      <w:bookmarkStart w:id="33" w:name="_Toc15377217"/>
      <w:r>
        <w:rPr>
          <w:rFonts w:hint="eastAsia" w:ascii="仿宋" w:hAnsi="仿宋" w:eastAsia="仿宋"/>
          <w:b/>
          <w:sz w:val="32"/>
          <w:szCs w:val="32"/>
        </w:rPr>
        <w:t>（二）“三公”经费财政拨款支出决算具体情况说明</w:t>
      </w:r>
      <w:bookmarkEnd w:id="33"/>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textAlignment w:val="auto"/>
        <w:rPr>
          <w:rFonts w:hint="eastAsia" w:ascii="仿宋" w:hAnsi="仿宋" w:eastAsia="仿宋"/>
          <w:sz w:val="32"/>
          <w:szCs w:val="32"/>
        </w:rPr>
      </w:pPr>
      <w:r>
        <w:rPr>
          <w:rFonts w:hint="eastAsia" w:ascii="仿宋" w:hAnsi="仿宋" w:eastAsia="仿宋"/>
          <w:sz w:val="32"/>
          <w:szCs w:val="32"/>
        </w:rPr>
        <w:t>2023年度“三公”经费财政拨款支出决算中，因公出国（境）费支出决算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
          <w:sz w:val="32"/>
          <w:szCs w:val="32"/>
        </w:rPr>
        <w:t>16.13</w:t>
      </w:r>
      <w:r>
        <w:rPr>
          <w:rFonts w:hint="eastAsia" w:ascii="仿宋" w:hAnsi="仿宋" w:eastAsia="仿宋"/>
          <w:sz w:val="32"/>
          <w:szCs w:val="32"/>
        </w:rPr>
        <w:t>万元，占</w:t>
      </w:r>
      <w:r>
        <w:rPr>
          <w:rFonts w:ascii="仿宋" w:hAnsi="仿宋" w:eastAsia="仿宋"/>
          <w:b/>
          <w:sz w:val="32"/>
          <w:szCs w:val="32"/>
        </w:rPr>
        <w:t>95.47</w:t>
      </w:r>
      <w:r>
        <w:rPr>
          <w:rFonts w:ascii="仿宋" w:hAnsi="仿宋" w:eastAsia="仿宋"/>
          <w:sz w:val="32"/>
          <w:szCs w:val="32"/>
        </w:rPr>
        <w:t>%</w:t>
      </w:r>
      <w:r>
        <w:rPr>
          <w:rFonts w:hint="eastAsia" w:ascii="仿宋" w:hAnsi="仿宋" w:eastAsia="仿宋"/>
          <w:sz w:val="32"/>
          <w:szCs w:val="32"/>
        </w:rPr>
        <w:t>；公务接待费支出决算</w:t>
      </w:r>
      <w:r>
        <w:rPr>
          <w:rFonts w:ascii="仿宋" w:hAnsi="仿宋" w:eastAsia="仿宋"/>
          <w:b/>
          <w:sz w:val="32"/>
          <w:szCs w:val="32"/>
        </w:rPr>
        <w:t>0.77</w:t>
      </w:r>
      <w:r>
        <w:rPr>
          <w:rFonts w:hint="eastAsia" w:ascii="仿宋" w:hAnsi="仿宋" w:eastAsia="仿宋"/>
          <w:sz w:val="32"/>
          <w:szCs w:val="32"/>
        </w:rPr>
        <w:t>万元，占</w:t>
      </w:r>
      <w:r>
        <w:rPr>
          <w:rFonts w:ascii="仿宋" w:hAnsi="仿宋" w:eastAsia="仿宋"/>
          <w:b/>
          <w:sz w:val="32"/>
          <w:szCs w:val="32"/>
        </w:rPr>
        <w:t>4.52</w:t>
      </w:r>
      <w:r>
        <w:rPr>
          <w:rFonts w:ascii="仿宋" w:hAnsi="仿宋" w:eastAsia="仿宋"/>
          <w:sz w:val="32"/>
          <w:szCs w:val="32"/>
        </w:rPr>
        <w:t>%</w:t>
      </w:r>
      <w:r>
        <w:rPr>
          <w:rFonts w:hint="eastAsia" w:ascii="仿宋" w:hAnsi="仿宋" w:eastAsia="仿宋"/>
          <w:sz w:val="32"/>
          <w:szCs w:val="32"/>
        </w:rPr>
        <w:t>。具体情况如下：</w:t>
      </w:r>
    </w:p>
    <w:p>
      <w:pPr>
        <w:keepNext w:val="0"/>
        <w:keepLines w:val="0"/>
        <w:pageBreakBefore w:val="0"/>
        <w:widowControl w:val="0"/>
        <w:kinsoku/>
        <w:wordWrap/>
        <w:overflowPunct/>
        <w:topLinePunct w:val="0"/>
        <w:autoSpaceDE/>
        <w:autoSpaceDN/>
        <w:bidi w:val="0"/>
        <w:adjustRightInd/>
        <w:snapToGrid/>
        <w:spacing w:line="580" w:lineRule="exact"/>
        <w:ind w:left="0" w:leftChars="0"/>
        <w:textAlignment w:val="auto"/>
        <w:rPr>
          <w:rFonts w:hint="eastAsia"/>
        </w:rPr>
      </w:pPr>
    </w:p>
    <w:p>
      <w:pPr>
        <w:jc w:val="center"/>
      </w:pPr>
      <w:r>
        <w:drawing>
          <wp:inline distT="0" distB="0" distL="114300" distR="114300">
            <wp:extent cx="4572000" cy="2743200"/>
            <wp:effectExtent l="0" t="0" r="0" b="0"/>
            <wp:docPr id="8"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jc w:val="center"/>
        <w:rPr>
          <w:rFonts w:hint="eastAsia" w:ascii="仿宋" w:hAnsi="仿宋" w:eastAsia="仿宋"/>
          <w:sz w:val="32"/>
          <w:szCs w:val="32"/>
        </w:rPr>
      </w:pPr>
      <w:r>
        <w:rPr>
          <w:rFonts w:hint="eastAsia" w:ascii="仿宋" w:hAnsi="仿宋" w:eastAsia="仿宋"/>
          <w:sz w:val="32"/>
          <w:szCs w:val="32"/>
        </w:rPr>
        <w:t>（图7：“三公”经费财政拨款支出结构）</w:t>
      </w:r>
    </w:p>
    <w:p>
      <w:pPr>
        <w:pStyle w:val="2"/>
      </w:pPr>
    </w:p>
    <w:p>
      <w:pPr>
        <w:keepNext w:val="0"/>
        <w:keepLines w:val="0"/>
        <w:pageBreakBefore w:val="0"/>
        <w:widowControl w:val="0"/>
        <w:kinsoku/>
        <w:wordWrap/>
        <w:overflowPunct/>
        <w:topLinePunct w:val="0"/>
        <w:bidi w:val="0"/>
        <w:adjustRightInd w:val="0"/>
        <w:snapToGrid/>
        <w:spacing w:line="580" w:lineRule="exact"/>
        <w:ind w:left="0" w:leftChars="0" w:firstLine="640"/>
        <w:textAlignment w:val="auto"/>
        <w:rPr>
          <w:rFonts w:hint="default" w:ascii="仿宋_GB2312" w:eastAsia="仿宋_GB2312"/>
          <w:sz w:val="32"/>
          <w:szCs w:val="32"/>
          <w:lang w:val="en-US" w:eastAsia="zh-CN"/>
        </w:rPr>
      </w:pPr>
      <w:bookmarkStart w:id="34" w:name="_Toc15396610"/>
      <w:bookmarkStart w:id="35" w:name="_Toc15377218"/>
      <w:r>
        <w:rPr>
          <w:rFonts w:ascii="仿宋_GB2312" w:eastAsia="仿宋_GB2312"/>
          <w:b/>
          <w:sz w:val="32"/>
          <w:szCs w:val="32"/>
        </w:rPr>
        <w:t>1.</w:t>
      </w:r>
      <w:r>
        <w:rPr>
          <w:rFonts w:hint="eastAsia" w:ascii="仿宋_GB2312" w:eastAsia="仿宋_GB2312"/>
          <w:b/>
          <w:sz w:val="32"/>
          <w:szCs w:val="32"/>
        </w:rPr>
        <w:t>因公出国（境）经费支出</w:t>
      </w:r>
      <w:r>
        <w:rPr>
          <w:rFonts w:ascii="仿宋" w:hAnsi="仿宋" w:eastAsia="仿宋"/>
          <w:b/>
          <w:sz w:val="32"/>
          <w:szCs w:val="32"/>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ascii="仿宋" w:hAnsi="仿宋" w:eastAsia="仿宋"/>
          <w:bCs/>
          <w:sz w:val="32"/>
          <w:szCs w:val="32"/>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b/>
          <w:sz w:val="32"/>
          <w:szCs w:val="32"/>
        </w:rPr>
        <w:t>0</w:t>
      </w:r>
      <w:r>
        <w:rPr>
          <w:rFonts w:hint="eastAsia" w:ascii="仿宋_GB2312" w:eastAsia="仿宋_GB2312"/>
          <w:sz w:val="32"/>
          <w:szCs w:val="32"/>
        </w:rPr>
        <w:t>次，出国（境）</w:t>
      </w:r>
      <w:r>
        <w:rPr>
          <w:rFonts w:ascii="仿宋_GB2312" w:eastAsia="仿宋_GB2312"/>
          <w:b/>
          <w:sz w:val="32"/>
          <w:szCs w:val="32"/>
        </w:rPr>
        <w:t>0</w:t>
      </w:r>
      <w:r>
        <w:rPr>
          <w:rFonts w:hint="eastAsia" w:ascii="仿宋_GB2312" w:eastAsia="仿宋_GB2312"/>
          <w:sz w:val="32"/>
          <w:szCs w:val="32"/>
        </w:rPr>
        <w:t>人。因公出国（境）支出决算</w:t>
      </w:r>
      <w:r>
        <w:rPr>
          <w:rFonts w:hint="eastAsia" w:ascii="仿宋_GB2312" w:eastAsia="仿宋_GB2312"/>
          <w:sz w:val="32"/>
          <w:szCs w:val="32"/>
          <w:lang w:eastAsia="zh-CN"/>
        </w:rPr>
        <w:t>与</w:t>
      </w:r>
      <w:r>
        <w:rPr>
          <w:rFonts w:hint="eastAsia" w:ascii="仿宋_GB2312" w:eastAsia="仿宋_GB2312"/>
          <w:sz w:val="32"/>
          <w:szCs w:val="32"/>
          <w:lang w:val="en-US" w:eastAsia="zh-CN"/>
        </w:rPr>
        <w:t>2022年持平。</w:t>
      </w:r>
    </w:p>
    <w:p>
      <w:pPr>
        <w:keepNext w:val="0"/>
        <w:keepLines w:val="0"/>
        <w:pageBreakBefore w:val="0"/>
        <w:widowControl w:val="0"/>
        <w:kinsoku/>
        <w:wordWrap/>
        <w:overflowPunct/>
        <w:topLinePunct w:val="0"/>
        <w:bidi w:val="0"/>
        <w:adjustRightInd w:val="0"/>
        <w:snapToGrid/>
        <w:spacing w:line="580" w:lineRule="exact"/>
        <w:ind w:left="0" w:leftChars="0" w:firstLine="533" w:firstLineChars="166"/>
        <w:jc w:val="both"/>
        <w:textAlignment w:val="auto"/>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ascii="仿宋" w:hAnsi="仿宋" w:eastAsia="仿宋"/>
          <w:b/>
          <w:sz w:val="32"/>
          <w:szCs w:val="32"/>
        </w:rPr>
        <w:t>16.13</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hAnsi="仿宋_GB2312" w:eastAsia="仿宋_GB2312"/>
          <w:color w:val="000000"/>
          <w:kern w:val="2"/>
          <w:sz w:val="32"/>
          <w:lang w:val="zh-CN"/>
        </w:rPr>
        <w:t>公务用车购置及运行维护费支出决算比202</w:t>
      </w:r>
      <w:r>
        <w:rPr>
          <w:rFonts w:hint="eastAsia" w:ascii="仿宋_GB2312" w:hAnsi="仿宋_GB2312" w:eastAsia="仿宋_GB2312"/>
          <w:color w:val="000000"/>
          <w:kern w:val="2"/>
          <w:sz w:val="32"/>
          <w:lang w:val="en-US" w:eastAsia="zh-CN"/>
        </w:rPr>
        <w:t>2</w:t>
      </w:r>
      <w:r>
        <w:rPr>
          <w:rFonts w:hint="eastAsia" w:ascii="仿宋_GB2312" w:hAnsi="仿宋_GB2312" w:eastAsia="仿宋_GB2312"/>
          <w:color w:val="000000"/>
          <w:kern w:val="2"/>
          <w:sz w:val="32"/>
          <w:lang w:val="zh-CN"/>
        </w:rPr>
        <w:t>年减少</w:t>
      </w:r>
      <w:r>
        <w:rPr>
          <w:rFonts w:hint="eastAsia" w:ascii="仿宋_GB2312" w:hAnsi="仿宋_GB2312" w:eastAsia="仿宋_GB2312"/>
          <w:color w:val="000000"/>
          <w:kern w:val="2"/>
          <w:sz w:val="32"/>
          <w:lang w:val="en-US" w:eastAsia="zh-CN"/>
        </w:rPr>
        <w:t>3.29</w:t>
      </w:r>
      <w:r>
        <w:rPr>
          <w:rFonts w:hint="eastAsia" w:ascii="仿宋_GB2312" w:hAnsi="仿宋_GB2312" w:eastAsia="仿宋_GB2312"/>
          <w:color w:val="000000"/>
          <w:kern w:val="2"/>
          <w:sz w:val="32"/>
          <w:lang w:val="zh-CN"/>
        </w:rPr>
        <w:t>万元，下降</w:t>
      </w:r>
      <w:r>
        <w:rPr>
          <w:rFonts w:hint="eastAsia" w:ascii="仿宋_GB2312" w:hAnsi="仿宋_GB2312" w:eastAsia="仿宋_GB2312"/>
          <w:color w:val="000000"/>
          <w:kern w:val="2"/>
          <w:sz w:val="32"/>
          <w:lang w:val="en-US" w:eastAsia="zh-CN"/>
        </w:rPr>
        <w:t>16.94</w:t>
      </w:r>
      <w:r>
        <w:rPr>
          <w:rFonts w:hint="eastAsia" w:ascii="仿宋_GB2312" w:hAnsi="仿宋_GB2312" w:eastAsia="仿宋_GB2312"/>
          <w:color w:val="000000"/>
          <w:kern w:val="2"/>
          <w:sz w:val="32"/>
          <w:lang w:val="zh-CN"/>
        </w:rPr>
        <w:t>%。主要原因是本单位秉持节俭高效的原则,进一步加强公务用车管理,减少了费用支出。</w:t>
      </w:r>
    </w:p>
    <w:p>
      <w:pPr>
        <w:keepNext w:val="0"/>
        <w:keepLines w:val="0"/>
        <w:pageBreakBefore w:val="0"/>
        <w:widowControl w:val="0"/>
        <w:kinsoku/>
        <w:wordWrap/>
        <w:overflowPunct/>
        <w:topLinePunct w:val="0"/>
        <w:bidi w:val="0"/>
        <w:adjustRightInd w:val="0"/>
        <w:snapToGrid/>
        <w:spacing w:line="580" w:lineRule="exact"/>
        <w:ind w:left="0" w:leftChars="0" w:firstLine="531" w:firstLineChars="166"/>
        <w:jc w:val="both"/>
        <w:textAlignment w:val="auto"/>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万元。截至2023年</w:t>
      </w:r>
      <w:r>
        <w:rPr>
          <w:rFonts w:ascii="仿宋_GB2312" w:eastAsia="仿宋_GB2312"/>
          <w:sz w:val="32"/>
          <w:szCs w:val="32"/>
        </w:rPr>
        <w:t>12</w:t>
      </w:r>
      <w:r>
        <w:rPr>
          <w:rFonts w:hint="eastAsia" w:ascii="仿宋_GB2312" w:eastAsia="仿宋_GB2312"/>
          <w:sz w:val="32"/>
          <w:szCs w:val="32"/>
        </w:rPr>
        <w:t>月31日，</w:t>
      </w:r>
      <w:r>
        <w:rPr>
          <w:rFonts w:hint="eastAsia" w:ascii="仿宋_GB2312" w:hAnsi="仿宋_GB2312" w:eastAsia="仿宋_GB2312"/>
          <w:color w:val="000000"/>
          <w:kern w:val="2"/>
          <w:sz w:val="32"/>
          <w:lang w:val="zh-CN"/>
        </w:rPr>
        <w:t>本部门共有公务用车1</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辆，其中：轿车</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辆、越野车</w:t>
      </w:r>
      <w:r>
        <w:rPr>
          <w:rFonts w:hint="eastAsia" w:ascii="仿宋_GB2312" w:hAnsi="仿宋_GB2312" w:eastAsia="仿宋_GB2312"/>
          <w:color w:val="000000"/>
          <w:kern w:val="2"/>
          <w:sz w:val="32"/>
          <w:lang w:val="en-US" w:eastAsia="zh-CN"/>
        </w:rPr>
        <w:t>1</w:t>
      </w:r>
      <w:r>
        <w:rPr>
          <w:rFonts w:hint="eastAsia" w:ascii="仿宋_GB2312" w:hAnsi="仿宋_GB2312" w:eastAsia="仿宋_GB2312"/>
          <w:color w:val="000000"/>
          <w:kern w:val="2"/>
          <w:sz w:val="32"/>
          <w:lang w:val="zh-CN"/>
        </w:rPr>
        <w:t>辆、小型载客汽车</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辆、大中型载客汽车</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辆、其他车型</w:t>
      </w:r>
      <w:r>
        <w:rPr>
          <w:rFonts w:hint="eastAsia" w:ascii="仿宋_GB2312" w:hAnsi="仿宋_GB2312" w:eastAsia="仿宋_GB2312"/>
          <w:color w:val="000000"/>
          <w:kern w:val="2"/>
          <w:sz w:val="32"/>
          <w:lang w:val="en-US" w:eastAsia="zh-CN"/>
        </w:rPr>
        <w:t>12</w:t>
      </w:r>
      <w:r>
        <w:rPr>
          <w:rFonts w:hint="eastAsia" w:ascii="仿宋_GB2312" w:hAnsi="仿宋_GB2312" w:eastAsia="仿宋_GB2312"/>
          <w:color w:val="000000"/>
          <w:kern w:val="2"/>
          <w:sz w:val="32"/>
          <w:lang w:val="zh-CN"/>
        </w:rPr>
        <w:t>辆。</w:t>
      </w:r>
    </w:p>
    <w:p>
      <w:pPr>
        <w:keepNext w:val="0"/>
        <w:keepLines w:val="0"/>
        <w:pageBreakBefore w:val="0"/>
        <w:widowControl w:val="0"/>
        <w:kinsoku/>
        <w:wordWrap/>
        <w:overflowPunct/>
        <w:topLinePunct w:val="0"/>
        <w:bidi w:val="0"/>
        <w:adjustRightInd w:val="0"/>
        <w:snapToGrid/>
        <w:spacing w:line="580" w:lineRule="exact"/>
        <w:ind w:left="0" w:leftChars="0" w:firstLine="643"/>
        <w:jc w:val="both"/>
        <w:textAlignment w:val="auto"/>
        <w:rPr>
          <w:rFonts w:hint="eastAsia" w:ascii="仿宋_GB2312" w:hAnsi="仿宋_GB2312" w:eastAsia="仿宋_GB2312"/>
          <w:color w:val="000000"/>
          <w:kern w:val="2"/>
          <w:sz w:val="32"/>
          <w:lang w:val="zh-CN"/>
        </w:rPr>
      </w:pPr>
      <w:r>
        <w:rPr>
          <w:rFonts w:hint="eastAsia" w:ascii="仿宋_GB2312" w:eastAsia="仿宋_GB2312"/>
          <w:b/>
          <w:sz w:val="32"/>
          <w:szCs w:val="32"/>
        </w:rPr>
        <w:t>公务用车运行维护费支出</w:t>
      </w:r>
      <w:r>
        <w:rPr>
          <w:rFonts w:ascii="仿宋" w:hAnsi="仿宋" w:eastAsia="仿宋"/>
          <w:b/>
          <w:sz w:val="32"/>
          <w:szCs w:val="32"/>
        </w:rPr>
        <w:t>16.13</w:t>
      </w:r>
      <w:r>
        <w:rPr>
          <w:rFonts w:hint="eastAsia" w:ascii="仿宋_GB2312" w:eastAsia="仿宋_GB2312"/>
          <w:sz w:val="32"/>
          <w:szCs w:val="32"/>
        </w:rPr>
        <w:t>万元。</w:t>
      </w:r>
      <w:r>
        <w:rPr>
          <w:rFonts w:hint="eastAsia" w:ascii="仿宋_GB2312" w:hAnsi="仿宋_GB2312" w:eastAsia="仿宋_GB2312"/>
          <w:color w:val="000000"/>
          <w:kern w:val="2"/>
          <w:sz w:val="32"/>
          <w:lang w:val="zh-CN"/>
        </w:rPr>
        <w:t>主要用于跨区县联合执法、案件调查处理、行业指导、专项整治和督导、执法督导、现场检查等所需的公务用车燃料费、维修费、过路过桥费、保险费等支出。</w:t>
      </w:r>
    </w:p>
    <w:p>
      <w:pPr>
        <w:keepNext w:val="0"/>
        <w:keepLines w:val="0"/>
        <w:pageBreakBefore w:val="0"/>
        <w:widowControl w:val="0"/>
        <w:kinsoku/>
        <w:wordWrap/>
        <w:overflowPunct/>
        <w:topLinePunct w:val="0"/>
        <w:bidi w:val="0"/>
        <w:adjustRightInd w:val="0"/>
        <w:snapToGrid/>
        <w:spacing w:line="580" w:lineRule="exact"/>
        <w:ind w:left="0" w:leftChars="0" w:firstLine="640"/>
        <w:textAlignment w:val="auto"/>
        <w:rPr>
          <w:rFonts w:hint="default" w:ascii="仿宋_GB2312" w:eastAsia="仿宋_GB2312"/>
          <w:sz w:val="32"/>
          <w:szCs w:val="32"/>
          <w:lang w:val="en-US" w:eastAsia="zh-CN"/>
        </w:rPr>
      </w:pPr>
      <w:r>
        <w:rPr>
          <w:rFonts w:ascii="仿宋_GB2312" w:eastAsia="仿宋_GB2312"/>
          <w:b/>
          <w:sz w:val="32"/>
          <w:szCs w:val="32"/>
        </w:rPr>
        <w:t>3.</w:t>
      </w:r>
      <w:r>
        <w:rPr>
          <w:rFonts w:hint="eastAsia" w:ascii="仿宋_GB2312" w:eastAsia="仿宋_GB2312"/>
          <w:b/>
          <w:sz w:val="32"/>
          <w:szCs w:val="32"/>
        </w:rPr>
        <w:t>公务接待费支出</w:t>
      </w:r>
      <w:r>
        <w:rPr>
          <w:rFonts w:ascii="仿宋" w:hAnsi="仿宋" w:eastAsia="仿宋"/>
          <w:b/>
          <w:sz w:val="32"/>
          <w:szCs w:val="32"/>
        </w:rPr>
        <w:t>0.77</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公务接待费支出决算比2022年度增加</w:t>
      </w:r>
      <w:r>
        <w:rPr>
          <w:rFonts w:hint="eastAsia" w:ascii="仿宋_GB2312" w:eastAsia="仿宋_GB2312"/>
          <w:sz w:val="32"/>
          <w:szCs w:val="32"/>
          <w:lang w:val="en-US" w:eastAsia="zh-CN"/>
        </w:rPr>
        <w:t>0.16</w:t>
      </w:r>
      <w:r>
        <w:rPr>
          <w:rFonts w:hint="eastAsia" w:ascii="仿宋_GB2312" w:eastAsia="仿宋_GB2312"/>
          <w:sz w:val="32"/>
          <w:szCs w:val="32"/>
        </w:rPr>
        <w:t>万元，增长</w:t>
      </w:r>
      <w:r>
        <w:rPr>
          <w:rFonts w:hint="eastAsia" w:ascii="仿宋_GB2312" w:eastAsia="仿宋_GB2312"/>
          <w:sz w:val="32"/>
          <w:szCs w:val="32"/>
          <w:lang w:val="en-US" w:eastAsia="zh-CN"/>
        </w:rPr>
        <w:t>26.23</w:t>
      </w:r>
      <w:r>
        <w:rPr>
          <w:rFonts w:ascii="仿宋_GB2312" w:eastAsia="仿宋_GB2312"/>
          <w:sz w:val="32"/>
          <w:szCs w:val="32"/>
        </w:rPr>
        <w:t>%</w:t>
      </w:r>
      <w:r>
        <w:rPr>
          <w:rFonts w:hint="eastAsia" w:ascii="仿宋_GB2312" w:eastAsia="仿宋_GB2312"/>
          <w:sz w:val="32"/>
          <w:szCs w:val="32"/>
        </w:rPr>
        <w:t>。主要原因是</w:t>
      </w:r>
      <w:r>
        <w:rPr>
          <w:rFonts w:hint="eastAsia" w:ascii="仿宋_GB2312" w:hAnsi="Times New Roman" w:eastAsia="仿宋_GB2312"/>
          <w:sz w:val="32"/>
          <w:lang w:eastAsia="zh-CN"/>
        </w:rPr>
        <w:t>单位业务量增加，公务接待支出增加</w:t>
      </w:r>
      <w:r>
        <w:rPr>
          <w:rFonts w:hint="eastAsia" w:ascii="仿宋_GB2312" w:eastAsia="仿宋_GB2312"/>
          <w:sz w:val="32"/>
          <w:szCs w:val="32"/>
        </w:rPr>
        <w:t>。其中：</w:t>
      </w:r>
      <w:r>
        <w:rPr>
          <w:rFonts w:hint="eastAsia" w:ascii="仿宋_GB2312" w:eastAsia="仿宋_GB2312"/>
          <w:sz w:val="32"/>
          <w:szCs w:val="32"/>
          <w:lang w:val="en-US" w:eastAsia="zh-CN"/>
        </w:rPr>
        <w:t>2023年执法改造工程复核验收及省总队指导业务量增加，相应支出增加。</w:t>
      </w:r>
    </w:p>
    <w:p>
      <w:pPr>
        <w:keepNext w:val="0"/>
        <w:keepLines w:val="0"/>
        <w:pageBreakBefore w:val="0"/>
        <w:widowControl w:val="0"/>
        <w:kinsoku/>
        <w:wordWrap/>
        <w:overflowPunct/>
        <w:topLinePunct w:val="0"/>
        <w:bidi w:val="0"/>
        <w:adjustRightInd w:val="0"/>
        <w:snapToGrid/>
        <w:spacing w:line="580" w:lineRule="exact"/>
        <w:ind w:left="0" w:leftChars="0" w:firstLine="643"/>
        <w:jc w:val="both"/>
        <w:textAlignment w:val="auto"/>
        <w:rPr>
          <w:rFonts w:ascii="仿宋_GB2312" w:eastAsia="仿宋_GB2312"/>
          <w:sz w:val="32"/>
          <w:szCs w:val="32"/>
        </w:rPr>
      </w:pPr>
      <w:r>
        <w:rPr>
          <w:rFonts w:hint="eastAsia" w:ascii="仿宋" w:hAnsi="仿宋" w:eastAsia="仿宋"/>
          <w:b/>
          <w:sz w:val="32"/>
          <w:szCs w:val="32"/>
        </w:rPr>
        <w:t>国内公务接待支出</w:t>
      </w:r>
      <w:r>
        <w:rPr>
          <w:rFonts w:ascii="仿宋" w:hAnsi="仿宋" w:eastAsia="仿宋"/>
          <w:b/>
          <w:sz w:val="32"/>
          <w:szCs w:val="32"/>
        </w:rPr>
        <w:t>0.77</w:t>
      </w:r>
      <w:r>
        <w:rPr>
          <w:rFonts w:hint="eastAsia" w:ascii="仿宋_GB2312" w:eastAsia="仿宋_GB2312"/>
          <w:sz w:val="32"/>
          <w:szCs w:val="32"/>
        </w:rPr>
        <w:t>万元，主要用于</w:t>
      </w:r>
      <w:r>
        <w:rPr>
          <w:rFonts w:hint="eastAsia" w:ascii="仿宋_GB2312" w:hAnsi="仿宋_GB2312" w:eastAsia="仿宋_GB2312"/>
          <w:color w:val="000000"/>
          <w:kern w:val="2"/>
          <w:sz w:val="32"/>
          <w:highlight w:val="white"/>
          <w:lang w:val="en-US"/>
        </w:rPr>
        <w:t>执行公务、开展业务活动开支的交通费、住宿费、用餐费等</w:t>
      </w:r>
      <w:r>
        <w:rPr>
          <w:rFonts w:hint="eastAsia" w:ascii="仿宋_GB2312" w:eastAsia="仿宋_GB2312"/>
          <w:sz w:val="32"/>
          <w:szCs w:val="32"/>
        </w:rPr>
        <w:t>。国内公务接待</w:t>
      </w:r>
      <w:r>
        <w:rPr>
          <w:rFonts w:hint="eastAsia" w:ascii="仿宋_GB2312" w:eastAsia="仿宋_GB2312"/>
          <w:sz w:val="32"/>
          <w:szCs w:val="32"/>
          <w:lang w:val="en-US" w:eastAsia="zh-CN"/>
        </w:rPr>
        <w:t>6</w:t>
      </w:r>
      <w:r>
        <w:rPr>
          <w:rFonts w:hint="eastAsia" w:ascii="仿宋_GB2312" w:eastAsia="仿宋_GB2312"/>
          <w:sz w:val="32"/>
          <w:szCs w:val="32"/>
        </w:rPr>
        <w:t>批次，</w:t>
      </w:r>
      <w:r>
        <w:rPr>
          <w:rFonts w:hint="eastAsia" w:ascii="仿宋_GB2312" w:eastAsia="仿宋_GB2312"/>
          <w:sz w:val="32"/>
          <w:szCs w:val="32"/>
          <w:lang w:val="en-US" w:eastAsia="zh-CN"/>
        </w:rPr>
        <w:t>57</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0.77</w:t>
      </w:r>
      <w:r>
        <w:rPr>
          <w:rFonts w:hint="eastAsia" w:ascii="仿宋_GB2312" w:eastAsia="仿宋_GB2312"/>
          <w:sz w:val="32"/>
          <w:szCs w:val="32"/>
        </w:rPr>
        <w:t>万元，具体内容包括：</w:t>
      </w:r>
      <w:r>
        <w:rPr>
          <w:rFonts w:hint="eastAsia" w:ascii="仿宋_GB2312" w:hAnsi="仿宋_GB2312" w:eastAsia="仿宋_GB2312"/>
          <w:color w:val="000000"/>
          <w:kern w:val="2"/>
          <w:sz w:val="32"/>
          <w:highlight w:val="white"/>
          <w:lang w:val="en-US" w:eastAsia="zh-CN"/>
        </w:rPr>
        <w:t>考察调研、学习交流开支的用餐费</w:t>
      </w:r>
      <w:r>
        <w:rPr>
          <w:rFonts w:hint="eastAsia" w:ascii="仿宋_GB2312" w:hAnsi="仿宋_GB2312" w:eastAsia="仿宋_GB2312"/>
          <w:color w:val="000000"/>
          <w:kern w:val="2"/>
          <w:sz w:val="32"/>
          <w:highlight w:val="white"/>
          <w:lang w:val="en-US"/>
        </w:rPr>
        <w:t>。</w:t>
      </w:r>
    </w:p>
    <w:p>
      <w:pPr>
        <w:keepNext w:val="0"/>
        <w:keepLines w:val="0"/>
        <w:pageBreakBefore w:val="0"/>
        <w:widowControl w:val="0"/>
        <w:kinsoku/>
        <w:wordWrap/>
        <w:overflowPunct/>
        <w:topLinePunct w:val="0"/>
        <w:bidi w:val="0"/>
        <w:adjustRightInd w:val="0"/>
        <w:snapToGrid/>
        <w:spacing w:line="580" w:lineRule="exact"/>
        <w:ind w:left="0" w:leftChars="0" w:firstLine="643" w:firstLineChars="200"/>
        <w:textAlignment w:val="auto"/>
        <w:rPr>
          <w:rFonts w:ascii="黑体" w:eastAsia="黑体"/>
          <w:sz w:val="32"/>
          <w:szCs w:val="32"/>
        </w:rPr>
      </w:pPr>
      <w:r>
        <w:rPr>
          <w:rFonts w:hint="eastAsia" w:ascii="仿宋" w:hAnsi="仿宋" w:eastAsia="仿宋"/>
          <w:b/>
          <w:sz w:val="32"/>
          <w:szCs w:val="32"/>
        </w:rPr>
        <w:t>外事接待支出</w:t>
      </w:r>
      <w:r>
        <w:rPr>
          <w:rFonts w:ascii="仿宋" w:hAnsi="仿宋" w:eastAsia="仿宋"/>
          <w:b/>
          <w:sz w:val="32"/>
          <w:szCs w:val="32"/>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keepNext w:val="0"/>
        <w:keepLines w:val="0"/>
        <w:pageBreakBefore w:val="0"/>
        <w:widowControl w:val="0"/>
        <w:kinsoku/>
        <w:wordWrap/>
        <w:overflowPunct/>
        <w:topLinePunct w:val="0"/>
        <w:bidi w:val="0"/>
        <w:adjustRightInd w:val="0"/>
        <w:snapToGrid/>
        <w:spacing w:line="580" w:lineRule="exact"/>
        <w:ind w:left="0" w:leftChars="0" w:firstLine="640"/>
        <w:textAlignment w:val="auto"/>
        <w:outlineLvl w:val="1"/>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34"/>
      <w:bookmarkEnd w:id="35"/>
    </w:p>
    <w:p>
      <w:pPr>
        <w:keepNext w:val="0"/>
        <w:keepLines w:val="0"/>
        <w:pageBreakBefore w:val="0"/>
        <w:widowControl w:val="0"/>
        <w:kinsoku/>
        <w:wordWrap/>
        <w:overflowPunct/>
        <w:topLinePunct w:val="0"/>
        <w:bidi w:val="0"/>
        <w:adjustRightInd w:val="0"/>
        <w:snapToGrid/>
        <w:spacing w:line="580" w:lineRule="exact"/>
        <w:ind w:left="0" w:leftChars="0" w:firstLine="640"/>
        <w:textAlignment w:val="auto"/>
        <w:rPr>
          <w:rFonts w:ascii="仿宋_GB2312" w:eastAsia="仿宋_GB2312"/>
          <w:sz w:val="32"/>
          <w:szCs w:val="32"/>
        </w:rPr>
      </w:pPr>
      <w:r>
        <w:rPr>
          <w:rFonts w:hint="eastAsia" w:ascii="仿宋_GB2312" w:eastAsia="仿宋_GB2312"/>
          <w:sz w:val="32"/>
          <w:szCs w:val="32"/>
        </w:rPr>
        <w:t>2023年度政府性基金预算财政拨款支出</w:t>
      </w:r>
      <w:r>
        <w:rPr>
          <w:rFonts w:ascii="仿宋" w:hAnsi="仿宋" w:eastAsia="仿宋"/>
          <w:b/>
          <w:sz w:val="32"/>
          <w:szCs w:val="32"/>
        </w:rPr>
        <w:t>131.32</w:t>
      </w:r>
      <w:r>
        <w:rPr>
          <w:rFonts w:hint="eastAsia" w:ascii="仿宋_GB2312" w:eastAsia="仿宋_GB2312"/>
          <w:sz w:val="32"/>
          <w:szCs w:val="32"/>
        </w:rPr>
        <w:t>万元。</w:t>
      </w:r>
    </w:p>
    <w:p>
      <w:pPr>
        <w:keepNext w:val="0"/>
        <w:keepLines w:val="0"/>
        <w:pageBreakBefore w:val="0"/>
        <w:widowControl w:val="0"/>
        <w:numPr>
          <w:ilvl w:val="0"/>
          <w:numId w:val="3"/>
        </w:numPr>
        <w:kinsoku/>
        <w:wordWrap/>
        <w:overflowPunct/>
        <w:topLinePunct w:val="0"/>
        <w:bidi w:val="0"/>
        <w:adjustRightInd w:val="0"/>
        <w:snapToGrid/>
        <w:spacing w:line="580" w:lineRule="exact"/>
        <w:ind w:left="0" w:leftChars="0" w:firstLine="640"/>
        <w:textAlignment w:val="auto"/>
        <w:outlineLvl w:val="1"/>
        <w:rPr>
          <w:rStyle w:val="29"/>
          <w:rFonts w:ascii="黑体" w:hAnsi="黑体" w:eastAsia="黑体"/>
          <w:b w:val="0"/>
        </w:rPr>
      </w:pPr>
      <w:bookmarkStart w:id="36" w:name="_Toc15396611"/>
      <w:bookmarkStart w:id="37" w:name="_Toc15377219"/>
      <w:r>
        <w:rPr>
          <w:rStyle w:val="29"/>
          <w:rFonts w:hint="eastAsia" w:ascii="黑体" w:hAnsi="黑体" w:eastAsia="黑体"/>
          <w:b w:val="0"/>
        </w:rPr>
        <w:t>国有资本经营预算支出决算情况说明</w:t>
      </w:r>
      <w:bookmarkEnd w:id="36"/>
      <w:bookmarkEnd w:id="37"/>
    </w:p>
    <w:p>
      <w:pPr>
        <w:keepNext w:val="0"/>
        <w:keepLines w:val="0"/>
        <w:pageBreakBefore w:val="0"/>
        <w:widowControl w:val="0"/>
        <w:kinsoku/>
        <w:wordWrap/>
        <w:overflowPunct/>
        <w:topLinePunct w:val="0"/>
        <w:bidi w:val="0"/>
        <w:adjustRightInd w:val="0"/>
        <w:snapToGrid/>
        <w:spacing w:line="580" w:lineRule="exact"/>
        <w:ind w:left="0" w:leftChars="0" w:firstLine="640"/>
        <w:textAlignment w:val="auto"/>
        <w:rPr>
          <w:rFonts w:ascii="方正小标宋简体" w:hAnsi="方正小标宋简体" w:eastAsia="方正小标宋简体" w:cs="方正小标宋简体"/>
          <w:sz w:val="44"/>
          <w:szCs w:val="44"/>
        </w:rPr>
      </w:pPr>
      <w:r>
        <w:rPr>
          <w:rFonts w:hint="eastAsia" w:ascii="仿宋_GB2312" w:eastAsia="仿宋_GB2312"/>
          <w:sz w:val="32"/>
          <w:szCs w:val="32"/>
        </w:rPr>
        <w:t>2023年度国有资本经营预算财政拨款支出</w:t>
      </w:r>
      <w:r>
        <w:rPr>
          <w:rFonts w:ascii="仿宋" w:hAnsi="仿宋" w:eastAsia="仿宋"/>
          <w:b/>
          <w:sz w:val="32"/>
          <w:szCs w:val="32"/>
        </w:rPr>
        <w:t>0</w:t>
      </w:r>
      <w:r>
        <w:rPr>
          <w:rFonts w:hint="eastAsia" w:ascii="仿宋_GB2312" w:eastAsia="仿宋_GB2312"/>
          <w:sz w:val="32"/>
          <w:szCs w:val="32"/>
        </w:rPr>
        <w:t>万元。</w:t>
      </w:r>
    </w:p>
    <w:p>
      <w:pPr>
        <w:keepNext w:val="0"/>
        <w:keepLines w:val="0"/>
        <w:pageBreakBefore w:val="0"/>
        <w:widowControl w:val="0"/>
        <w:numPr>
          <w:ilvl w:val="0"/>
          <w:numId w:val="3"/>
        </w:numPr>
        <w:kinsoku/>
        <w:wordWrap/>
        <w:overflowPunct/>
        <w:topLinePunct w:val="0"/>
        <w:bidi w:val="0"/>
        <w:adjustRightInd w:val="0"/>
        <w:snapToGrid/>
        <w:spacing w:line="580" w:lineRule="exact"/>
        <w:ind w:left="0" w:leftChars="0" w:firstLine="640"/>
        <w:textAlignment w:val="auto"/>
        <w:outlineLvl w:val="1"/>
        <w:rPr>
          <w:rStyle w:val="29"/>
          <w:rFonts w:ascii="黑体" w:hAnsi="黑体" w:eastAsia="黑体"/>
          <w:b w:val="0"/>
        </w:rPr>
      </w:pPr>
      <w:bookmarkStart w:id="38" w:name="_Toc15396612"/>
      <w:bookmarkStart w:id="39" w:name="_Toc15377221"/>
      <w:r>
        <w:rPr>
          <w:rStyle w:val="29"/>
          <w:rFonts w:hint="eastAsia" w:ascii="黑体" w:hAnsi="黑体" w:eastAsia="黑体"/>
          <w:b w:val="0"/>
        </w:rPr>
        <w:t>其他重要事项的情况说明</w:t>
      </w:r>
      <w:bookmarkEnd w:id="38"/>
      <w:bookmarkEnd w:id="39"/>
    </w:p>
    <w:p>
      <w:pPr>
        <w:keepNext w:val="0"/>
        <w:keepLines w:val="0"/>
        <w:pageBreakBefore w:val="0"/>
        <w:widowControl w:val="0"/>
        <w:kinsoku/>
        <w:wordWrap/>
        <w:overflowPunct/>
        <w:topLinePunct w:val="0"/>
        <w:bidi w:val="0"/>
        <w:adjustRightInd w:val="0"/>
        <w:snapToGrid/>
        <w:spacing w:line="580" w:lineRule="exact"/>
        <w:ind w:left="0" w:leftChars="0" w:firstLine="643" w:firstLineChars="200"/>
        <w:textAlignment w:val="auto"/>
        <w:outlineLvl w:val="2"/>
        <w:rPr>
          <w:rFonts w:ascii="仿宋" w:hAnsi="仿宋" w:eastAsia="仿宋"/>
          <w:sz w:val="32"/>
          <w:szCs w:val="32"/>
        </w:rPr>
      </w:pPr>
      <w:bookmarkStart w:id="40" w:name="_Toc15377222"/>
      <w:r>
        <w:rPr>
          <w:rFonts w:hint="eastAsia" w:ascii="仿宋" w:hAnsi="仿宋" w:eastAsia="仿宋"/>
          <w:b/>
          <w:sz w:val="32"/>
          <w:szCs w:val="32"/>
        </w:rPr>
        <w:t>（一）机关运行经费支出情况</w:t>
      </w:r>
      <w:bookmarkEnd w:id="40"/>
    </w:p>
    <w:p>
      <w:pPr>
        <w:keepNext w:val="0"/>
        <w:keepLines w:val="0"/>
        <w:pageBreakBefore w:val="0"/>
        <w:widowControl w:val="0"/>
        <w:kinsoku/>
        <w:wordWrap/>
        <w:overflowPunct/>
        <w:topLinePunct w:val="0"/>
        <w:bidi w:val="0"/>
        <w:adjustRightInd w:val="0"/>
        <w:snapToGrid/>
        <w:spacing w:line="580" w:lineRule="exact"/>
        <w:ind w:left="0" w:leftChars="0" w:firstLine="640" w:firstLineChars="200"/>
        <w:textAlignment w:val="auto"/>
        <w:rPr>
          <w:rFonts w:ascii="仿宋_GB2312" w:eastAsia="仿宋_GB2312"/>
          <w:sz w:val="32"/>
          <w:szCs w:val="32"/>
        </w:rPr>
      </w:pPr>
      <w:r>
        <w:rPr>
          <w:rFonts w:hint="eastAsia" w:ascii="仿宋_GB2312" w:eastAsia="仿宋_GB2312"/>
          <w:sz w:val="32"/>
          <w:szCs w:val="32"/>
        </w:rPr>
        <w:t>2023年度，</w:t>
      </w:r>
      <w:r>
        <w:rPr>
          <w:rFonts w:ascii="仿宋_GB2312" w:eastAsia="仿宋_GB2312"/>
          <w:b/>
          <w:sz w:val="32"/>
          <w:szCs w:val="32"/>
        </w:rPr>
        <w:t>乐山市交通综合行政执法支队</w:t>
      </w:r>
      <w:r>
        <w:rPr>
          <w:rFonts w:hint="eastAsia" w:ascii="仿宋_GB2312" w:eastAsia="仿宋_GB2312"/>
          <w:sz w:val="32"/>
          <w:szCs w:val="32"/>
        </w:rPr>
        <w:t>机关运行经费支出</w:t>
      </w:r>
      <w:r>
        <w:rPr>
          <w:rFonts w:ascii="仿宋" w:hAnsi="仿宋" w:eastAsia="仿宋"/>
          <w:b/>
          <w:sz w:val="32"/>
          <w:szCs w:val="32"/>
        </w:rPr>
        <w:t>148.57</w:t>
      </w:r>
      <w:r>
        <w:rPr>
          <w:rFonts w:hint="eastAsia" w:ascii="仿宋_GB2312" w:eastAsia="仿宋_GB2312"/>
          <w:sz w:val="32"/>
          <w:szCs w:val="32"/>
        </w:rPr>
        <w:t>万元，比2022年度减少</w:t>
      </w:r>
      <w:r>
        <w:rPr>
          <w:rFonts w:hint="eastAsia" w:ascii="仿宋_GB2312" w:eastAsia="仿宋_GB2312"/>
          <w:sz w:val="32"/>
          <w:szCs w:val="32"/>
          <w:lang w:val="en-US" w:eastAsia="zh-CN"/>
        </w:rPr>
        <w:t>13.32</w:t>
      </w:r>
      <w:r>
        <w:rPr>
          <w:rFonts w:hint="eastAsia" w:ascii="仿宋_GB2312" w:eastAsia="仿宋_GB2312"/>
          <w:sz w:val="32"/>
          <w:szCs w:val="32"/>
        </w:rPr>
        <w:t>万元，下降</w:t>
      </w:r>
      <w:r>
        <w:rPr>
          <w:rFonts w:hint="eastAsia" w:ascii="仿宋_GB2312" w:eastAsia="仿宋_GB2312"/>
          <w:sz w:val="32"/>
          <w:szCs w:val="32"/>
          <w:lang w:val="en-US" w:eastAsia="zh-CN"/>
        </w:rPr>
        <w:t>8.23</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我单位厉行节约，</w:t>
      </w:r>
      <w:r>
        <w:rPr>
          <w:rFonts w:hint="eastAsia" w:ascii="仿宋_GB2312" w:eastAsia="仿宋_GB2312"/>
          <w:sz w:val="32"/>
          <w:szCs w:val="32"/>
        </w:rPr>
        <w:t>通过压缩一般性支出，减少不必要的开支，严格控制预算安排。</w:t>
      </w:r>
    </w:p>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firstLine="643" w:firstLineChars="200"/>
        <w:jc w:val="left"/>
        <w:textAlignment w:val="auto"/>
        <w:outlineLvl w:val="2"/>
        <w:rPr>
          <w:rFonts w:ascii="仿宋" w:hAnsi="仿宋" w:eastAsia="仿宋"/>
          <w:b/>
          <w:sz w:val="32"/>
          <w:szCs w:val="32"/>
        </w:rPr>
      </w:pPr>
      <w:bookmarkStart w:id="41" w:name="_Toc15377223"/>
      <w:r>
        <w:rPr>
          <w:rFonts w:hint="eastAsia" w:ascii="仿宋" w:hAnsi="仿宋" w:eastAsia="仿宋"/>
          <w:b/>
          <w:sz w:val="32"/>
          <w:szCs w:val="32"/>
        </w:rPr>
        <w:t>（二）政府采购支出情况</w:t>
      </w:r>
      <w:bookmarkEnd w:id="41"/>
    </w:p>
    <w:p>
      <w:pPr>
        <w:keepNext w:val="0"/>
        <w:keepLines w:val="0"/>
        <w:pageBreakBefore w:val="0"/>
        <w:widowControl w:val="0"/>
        <w:kinsoku/>
        <w:wordWrap/>
        <w:overflowPunct/>
        <w:topLinePunct w:val="0"/>
        <w:bidi w:val="0"/>
        <w:adjustRightInd w:val="0"/>
        <w:snapToGrid/>
        <w:spacing w:line="580" w:lineRule="exact"/>
        <w:ind w:left="0" w:leftChars="0" w:firstLine="640" w:firstLineChars="200"/>
        <w:textAlignment w:val="auto"/>
        <w:rPr>
          <w:rFonts w:ascii="仿宋_GB2312" w:eastAsia="仿宋_GB2312"/>
          <w:sz w:val="32"/>
          <w:szCs w:val="32"/>
        </w:rPr>
      </w:pPr>
      <w:r>
        <w:rPr>
          <w:rFonts w:hint="eastAsia" w:ascii="仿宋_GB2312" w:eastAsia="仿宋_GB2312"/>
          <w:sz w:val="32"/>
          <w:szCs w:val="32"/>
        </w:rPr>
        <w:t>2023年度，</w:t>
      </w:r>
      <w:r>
        <w:rPr>
          <w:rFonts w:ascii="仿宋_GB2312" w:eastAsia="仿宋_GB2312"/>
          <w:b/>
          <w:sz w:val="32"/>
          <w:szCs w:val="32"/>
        </w:rPr>
        <w:t>乐山市交通综合行政执法支队</w:t>
      </w:r>
      <w:r>
        <w:rPr>
          <w:rFonts w:hint="eastAsia" w:ascii="仿宋_GB2312" w:eastAsia="仿宋_GB2312"/>
          <w:sz w:val="32"/>
          <w:szCs w:val="32"/>
        </w:rPr>
        <w:t>政府采购支出总额</w:t>
      </w:r>
      <w:r>
        <w:rPr>
          <w:rFonts w:ascii="仿宋" w:hAnsi="仿宋" w:eastAsia="仿宋"/>
          <w:b/>
          <w:sz w:val="32"/>
          <w:szCs w:val="32"/>
        </w:rPr>
        <w:t>145.36</w:t>
      </w:r>
      <w:r>
        <w:rPr>
          <w:rFonts w:hint="eastAsia" w:ascii="仿宋_GB2312" w:eastAsia="仿宋_GB2312"/>
          <w:sz w:val="32"/>
          <w:szCs w:val="32"/>
        </w:rPr>
        <w:t>万元，其中：政府采购货物支出</w:t>
      </w:r>
      <w:r>
        <w:rPr>
          <w:rFonts w:ascii="仿宋" w:hAnsi="仿宋" w:eastAsia="仿宋"/>
          <w:b/>
          <w:sz w:val="32"/>
          <w:szCs w:val="32"/>
        </w:rPr>
        <w:t>8</w:t>
      </w:r>
      <w:r>
        <w:rPr>
          <w:rFonts w:hint="eastAsia" w:ascii="仿宋_GB2312" w:eastAsia="仿宋_GB2312"/>
          <w:sz w:val="32"/>
          <w:szCs w:val="32"/>
        </w:rPr>
        <w:t>万元、政府采购工程支出</w:t>
      </w:r>
      <w:r>
        <w:rPr>
          <w:rFonts w:ascii="仿宋" w:hAnsi="仿宋" w:eastAsia="仿宋"/>
          <w:b/>
          <w:sz w:val="32"/>
          <w:szCs w:val="32"/>
        </w:rPr>
        <w:t>131.32</w:t>
      </w:r>
      <w:r>
        <w:rPr>
          <w:rFonts w:hint="eastAsia" w:ascii="仿宋_GB2312" w:eastAsia="仿宋_GB2312"/>
          <w:sz w:val="32"/>
          <w:szCs w:val="32"/>
        </w:rPr>
        <w:t>万元、政府采购服务支出</w:t>
      </w:r>
      <w:r>
        <w:rPr>
          <w:rFonts w:ascii="仿宋" w:hAnsi="仿宋" w:eastAsia="仿宋"/>
          <w:b/>
          <w:sz w:val="32"/>
          <w:szCs w:val="32"/>
        </w:rPr>
        <w:t>6.04</w:t>
      </w:r>
      <w:r>
        <w:rPr>
          <w:rFonts w:hint="eastAsia" w:ascii="仿宋_GB2312" w:eastAsia="仿宋_GB2312"/>
          <w:sz w:val="32"/>
          <w:szCs w:val="32"/>
        </w:rPr>
        <w:t>万元。主要用于</w:t>
      </w:r>
      <w:r>
        <w:rPr>
          <w:rFonts w:hint="eastAsia" w:ascii="仿宋_GB2312" w:hAnsi="仿宋_GB2312" w:eastAsia="仿宋_GB2312"/>
          <w:color w:val="000000"/>
          <w:kern w:val="2"/>
          <w:sz w:val="32"/>
          <w:highlight w:val="white"/>
          <w:lang w:val="zh-CN"/>
        </w:rPr>
        <w:t>采购公务用车燃料费</w:t>
      </w:r>
      <w:r>
        <w:rPr>
          <w:rFonts w:hint="eastAsia" w:ascii="仿宋_GB2312" w:hAnsi="仿宋_GB2312" w:eastAsia="仿宋_GB2312"/>
          <w:color w:val="000000"/>
          <w:kern w:val="2"/>
          <w:sz w:val="32"/>
          <w:highlight w:val="white"/>
          <w:lang w:val="en-US" w:eastAsia="zh-CN"/>
        </w:rPr>
        <w:t>8万元，维修费4.16万元，保险费1.88万元，执法站所改造工程131.32万元</w:t>
      </w:r>
      <w:r>
        <w:rPr>
          <w:rFonts w:hint="eastAsia" w:ascii="仿宋_GB2312" w:eastAsia="仿宋_GB2312"/>
          <w:sz w:val="32"/>
          <w:szCs w:val="32"/>
        </w:rPr>
        <w:t>。授予中小企业合同金额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sz w:val="32"/>
          <w:szCs w:val="32"/>
        </w:rPr>
        <w:t>0%</w:t>
      </w:r>
      <w:r>
        <w:rPr>
          <w:rFonts w:hint="eastAsia" w:ascii="仿宋_GB2312" w:eastAsia="仿宋_GB2312"/>
          <w:sz w:val="32"/>
          <w:szCs w:val="32"/>
        </w:rPr>
        <w:t>，其中：授予小微企业合同金额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b/>
          <w:sz w:val="32"/>
          <w:szCs w:val="32"/>
        </w:rPr>
        <w:t>0</w:t>
      </w:r>
      <w:r>
        <w:rPr>
          <w:rFonts w:ascii="仿宋_GB2312" w:eastAsia="仿宋_GB2312"/>
          <w:sz w:val="32"/>
          <w:szCs w:val="32"/>
        </w:rPr>
        <w:t>%</w:t>
      </w:r>
      <w:r>
        <w:rPr>
          <w:rFonts w:hint="eastAsia" w:ascii="仿宋_GB2312" w:eastAsia="仿宋_GB2312"/>
          <w:sz w:val="32"/>
          <w:szCs w:val="32"/>
        </w:rPr>
        <w:t>。</w:t>
      </w:r>
    </w:p>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firstLine="643" w:firstLineChars="200"/>
        <w:jc w:val="left"/>
        <w:textAlignment w:val="auto"/>
        <w:outlineLvl w:val="2"/>
        <w:rPr>
          <w:rFonts w:ascii="仿宋" w:hAnsi="仿宋" w:eastAsia="仿宋"/>
          <w:b/>
          <w:sz w:val="32"/>
          <w:szCs w:val="32"/>
        </w:rPr>
      </w:pPr>
      <w:bookmarkStart w:id="42" w:name="_Toc15377224"/>
      <w:r>
        <w:rPr>
          <w:rFonts w:hint="eastAsia" w:ascii="仿宋" w:hAnsi="仿宋" w:eastAsia="仿宋"/>
          <w:b/>
          <w:sz w:val="32"/>
          <w:szCs w:val="32"/>
        </w:rPr>
        <w:t>（三）国有资产占有使用情况</w:t>
      </w:r>
      <w:bookmarkEnd w:id="42"/>
    </w:p>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firstLine="640" w:firstLineChars="200"/>
        <w:jc w:val="left"/>
        <w:textAlignment w:val="auto"/>
        <w:rPr>
          <w:rFonts w:ascii="仿宋_GB2312" w:eastAsia="仿宋_GB2312"/>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ascii="仿宋_GB2312" w:eastAsia="仿宋_GB2312"/>
          <w:b/>
          <w:sz w:val="32"/>
          <w:szCs w:val="32"/>
        </w:rPr>
        <w:t>乐山市交通综合行政执法支队</w:t>
      </w:r>
      <w:r>
        <w:rPr>
          <w:rFonts w:hint="eastAsia" w:ascii="仿宋_GB2312" w:eastAsia="仿宋_GB2312"/>
          <w:sz w:val="32"/>
          <w:szCs w:val="32"/>
        </w:rPr>
        <w:t>共有车辆</w:t>
      </w:r>
      <w:r>
        <w:rPr>
          <w:rFonts w:hint="eastAsia" w:ascii="仿宋_GB2312" w:eastAsia="仿宋_GB2312"/>
          <w:b/>
          <w:sz w:val="32"/>
          <w:szCs w:val="32"/>
        </w:rPr>
        <w:t>13</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13</w:t>
      </w:r>
      <w:r>
        <w:rPr>
          <w:rFonts w:hint="eastAsia" w:ascii="仿宋_GB2312" w:eastAsia="仿宋_GB2312"/>
          <w:sz w:val="32"/>
          <w:szCs w:val="32"/>
        </w:rPr>
        <w:t>辆，其他用车主要是用于案件调查、取证，执法检查</w:t>
      </w:r>
      <w:r>
        <w:rPr>
          <w:rFonts w:hint="eastAsia" w:ascii="仿宋_GB2312" w:eastAsia="仿宋_GB2312"/>
          <w:sz w:val="32"/>
          <w:szCs w:val="32"/>
          <w:lang w:eastAsia="zh-CN"/>
        </w:rPr>
        <w:t>等</w:t>
      </w:r>
      <w:r>
        <w:rPr>
          <w:rFonts w:hint="eastAsia" w:ascii="仿宋_GB2312" w:eastAsia="仿宋_GB2312"/>
          <w:sz w:val="32"/>
          <w:szCs w:val="32"/>
        </w:rPr>
        <w:t>。单价</w:t>
      </w:r>
      <w:r>
        <w:rPr>
          <w:rFonts w:ascii="仿宋_GB2312" w:eastAsia="仿宋_GB2312"/>
          <w:sz w:val="32"/>
          <w:szCs w:val="32"/>
        </w:rPr>
        <w:t>100</w:t>
      </w:r>
      <w:r>
        <w:rPr>
          <w:rFonts w:hint="eastAsia" w:ascii="仿宋_GB2312" w:eastAsia="仿宋_GB2312"/>
          <w:sz w:val="32"/>
          <w:szCs w:val="32"/>
        </w:rPr>
        <w:t>万元以上设备（不含车辆）</w:t>
      </w:r>
      <w:r>
        <w:rPr>
          <w:rFonts w:ascii="仿宋_GB2312" w:eastAsia="仿宋_GB2312"/>
          <w:b/>
          <w:sz w:val="32"/>
          <w:szCs w:val="32"/>
        </w:rPr>
        <w:t>0</w:t>
      </w:r>
      <w:r>
        <w:rPr>
          <w:rFonts w:hint="eastAsia" w:ascii="仿宋_GB2312" w:eastAsia="仿宋_GB2312"/>
          <w:sz w:val="32"/>
          <w:szCs w:val="32"/>
        </w:rPr>
        <w:t>台（套）。</w:t>
      </w:r>
    </w:p>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firstLine="643" w:firstLineChars="200"/>
        <w:jc w:val="left"/>
        <w:textAlignment w:val="auto"/>
        <w:outlineLvl w:val="2"/>
        <w:rPr>
          <w:rFonts w:ascii="仿宋" w:hAnsi="仿宋" w:eastAsia="仿宋"/>
          <w:b/>
          <w:sz w:val="32"/>
          <w:szCs w:val="32"/>
        </w:rPr>
      </w:pPr>
      <w:r>
        <w:rPr>
          <w:rFonts w:hint="eastAsia" w:ascii="仿宋" w:hAnsi="仿宋" w:eastAsia="仿宋"/>
          <w:b/>
          <w:sz w:val="32"/>
          <w:szCs w:val="32"/>
        </w:rPr>
        <w:t>（四）预算绩效管理情况</w:t>
      </w:r>
    </w:p>
    <w:p>
      <w:pPr>
        <w:keepNext w:val="0"/>
        <w:keepLines w:val="0"/>
        <w:pageBreakBefore w:val="0"/>
        <w:widowControl w:val="0"/>
        <w:kinsoku/>
        <w:wordWrap/>
        <w:overflowPunct/>
        <w:topLinePunct w:val="0"/>
        <w:bidi w:val="0"/>
        <w:adjustRightInd w:val="0"/>
        <w:snapToGrid/>
        <w:spacing w:line="580" w:lineRule="exact"/>
        <w:ind w:left="0" w:leftChars="0" w:firstLine="640" w:firstLineChars="200"/>
        <w:textAlignment w:val="auto"/>
        <w:rPr>
          <w:rFonts w:ascii="仿宋_GB2312" w:eastAsia="仿宋_GB2312"/>
          <w:sz w:val="32"/>
          <w:szCs w:val="32"/>
        </w:rPr>
      </w:pPr>
      <w:r>
        <w:rPr>
          <w:rFonts w:hint="eastAsia" w:ascii="仿宋_GB2312" w:eastAsia="仿宋_GB2312"/>
          <w:sz w:val="32"/>
          <w:szCs w:val="32"/>
        </w:rPr>
        <w:t>根据预算绩效管理要求，本单位在2023年度预算编制阶段，组织对</w:t>
      </w:r>
      <w:r>
        <w:rPr>
          <w:rFonts w:hint="eastAsia" w:ascii="仿宋_GB2312" w:hAnsi="仿宋_GB2312" w:eastAsia="仿宋_GB2312"/>
          <w:color w:val="auto"/>
          <w:kern w:val="2"/>
          <w:sz w:val="32"/>
          <w:lang w:val="en-US" w:eastAsia="zh-CN"/>
        </w:rPr>
        <w:t>执法站所标准化改造工程建设、被装购置费、物业管理费、交通船舶维护费</w:t>
      </w:r>
      <w:r>
        <w:rPr>
          <w:rFonts w:hint="eastAsia" w:ascii="仿宋_GB2312" w:eastAsia="仿宋_GB2312"/>
          <w:sz w:val="32"/>
          <w:szCs w:val="32"/>
          <w:lang w:val="en-US" w:eastAsia="zh-CN"/>
        </w:rPr>
        <w:t>4</w:t>
      </w:r>
      <w:r>
        <w:rPr>
          <w:rFonts w:hint="eastAsia" w:ascii="仿宋_GB2312" w:eastAsia="仿宋_GB2312"/>
          <w:sz w:val="32"/>
          <w:szCs w:val="32"/>
        </w:rPr>
        <w:t>个项目开展了预算事前绩效评估，对</w:t>
      </w:r>
      <w:r>
        <w:rPr>
          <w:rFonts w:hint="eastAsia" w:ascii="仿宋_GB2312" w:eastAsia="仿宋_GB2312"/>
          <w:sz w:val="32"/>
          <w:szCs w:val="32"/>
          <w:lang w:val="en-US" w:eastAsia="zh-CN"/>
        </w:rPr>
        <w:t>4</w:t>
      </w:r>
      <w:r>
        <w:rPr>
          <w:rFonts w:hint="eastAsia" w:ascii="仿宋_GB2312" w:eastAsia="仿宋_GB2312"/>
          <w:sz w:val="32"/>
          <w:szCs w:val="32"/>
        </w:rPr>
        <w:t>个项目编制了绩效目标，预算执行过程中，选取</w:t>
      </w:r>
      <w:r>
        <w:rPr>
          <w:rFonts w:hint="eastAsia" w:ascii="仿宋_GB2312" w:eastAsia="仿宋_GB2312"/>
          <w:sz w:val="32"/>
          <w:szCs w:val="32"/>
          <w:lang w:val="en-US" w:eastAsia="zh-CN"/>
        </w:rPr>
        <w:t>4</w:t>
      </w:r>
      <w:r>
        <w:rPr>
          <w:rFonts w:hint="eastAsia" w:ascii="仿宋_GB2312" w:eastAsia="仿宋_GB2312"/>
          <w:sz w:val="32"/>
          <w:szCs w:val="32"/>
        </w:rPr>
        <w:t>个项目开展绩效监控，组织对</w:t>
      </w:r>
      <w:r>
        <w:rPr>
          <w:rFonts w:hint="eastAsia" w:ascii="仿宋_GB2312" w:eastAsia="仿宋_GB2312"/>
          <w:sz w:val="32"/>
          <w:szCs w:val="32"/>
          <w:lang w:val="en-US" w:eastAsia="zh-CN"/>
        </w:rPr>
        <w:t>4</w:t>
      </w:r>
      <w:r>
        <w:rPr>
          <w:rFonts w:hint="eastAsia" w:ascii="仿宋_GB2312" w:eastAsia="仿宋_GB2312"/>
          <w:sz w:val="32"/>
          <w:szCs w:val="32"/>
        </w:rPr>
        <w:t>个项目开展绩效自评，绩效自评表详见第四部分附件。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br w:type="page"/>
      </w:r>
    </w:p>
    <w:p>
      <w:pPr>
        <w:keepNext w:val="0"/>
        <w:keepLines w:val="0"/>
        <w:pageBreakBefore w:val="0"/>
        <w:widowControl w:val="0"/>
        <w:numPr>
          <w:ilvl w:val="0"/>
          <w:numId w:val="4"/>
        </w:numPr>
        <w:kinsoku/>
        <w:wordWrap/>
        <w:overflowPunct/>
        <w:topLinePunct w:val="0"/>
        <w:bidi w:val="0"/>
        <w:adjustRightInd w:val="0"/>
        <w:snapToGrid/>
        <w:spacing w:line="580" w:lineRule="exact"/>
        <w:ind w:firstLine="660" w:firstLineChars="150"/>
        <w:jc w:val="center"/>
        <w:textAlignment w:val="auto"/>
        <w:outlineLvl w:val="0"/>
        <w:rPr>
          <w:rStyle w:val="28"/>
          <w:rFonts w:ascii="黑体" w:hAnsi="黑体" w:eastAsia="黑体"/>
          <w:b w:val="0"/>
        </w:rPr>
      </w:pPr>
      <w:bookmarkStart w:id="43" w:name="_Toc15377225"/>
      <w:bookmarkStart w:id="44" w:name="_Toc15396613"/>
      <w:r>
        <w:rPr>
          <w:rFonts w:hint="eastAsia" w:ascii="黑体" w:hAnsi="黑体" w:eastAsia="黑体"/>
          <w:sz w:val="44"/>
          <w:szCs w:val="44"/>
        </w:rPr>
        <w:t>名</w:t>
      </w:r>
      <w:r>
        <w:rPr>
          <w:rStyle w:val="28"/>
          <w:rFonts w:hint="eastAsia" w:ascii="黑体" w:hAnsi="黑体" w:eastAsia="黑体"/>
          <w:b w:val="0"/>
        </w:rPr>
        <w:t>词解释</w:t>
      </w:r>
      <w:bookmarkEnd w:id="43"/>
      <w:bookmarkEnd w:id="44"/>
    </w:p>
    <w:p>
      <w:pPr>
        <w:keepNext w:val="0"/>
        <w:keepLines w:val="0"/>
        <w:pageBreakBefore w:val="0"/>
        <w:widowControl w:val="0"/>
        <w:kinsoku/>
        <w:wordWrap/>
        <w:overflowPunct/>
        <w:topLinePunct w:val="0"/>
        <w:bidi w:val="0"/>
        <w:adjustRightInd w:val="0"/>
        <w:snapToGrid/>
        <w:spacing w:line="580" w:lineRule="exact"/>
        <w:jc w:val="left"/>
        <w:textAlignment w:val="auto"/>
        <w:rPr>
          <w:rFonts w:ascii="宋体"/>
          <w:b/>
          <w:sz w:val="44"/>
          <w:szCs w:val="44"/>
        </w:rPr>
      </w:pPr>
    </w:p>
    <w:p>
      <w:pPr>
        <w:keepNext w:val="0"/>
        <w:keepLines w:val="0"/>
        <w:pageBreakBefore w:val="0"/>
        <w:widowControl w:val="0"/>
        <w:kinsoku/>
        <w:wordWrap/>
        <w:overflowPunct/>
        <w:topLinePunct w:val="0"/>
        <w:bidi w:val="0"/>
        <w:adjustRightInd w:val="0"/>
        <w:snapToGrid/>
        <w:spacing w:line="580" w:lineRule="exact"/>
        <w:ind w:firstLine="640"/>
        <w:textAlignment w:val="auto"/>
        <w:rPr>
          <w:rFonts w:hint="eastAsia" w:ascii="仿宋_GB2312" w:hAnsi="仿宋_GB2312" w:eastAsia="仿宋_GB2312"/>
          <w:color w:val="000000"/>
          <w:sz w:val="32"/>
          <w:lang w:val="en-US"/>
        </w:rPr>
      </w:pPr>
      <w:r>
        <w:rPr>
          <w:rFonts w:hint="eastAsia" w:ascii="仿宋_GB2312" w:hAnsi="仿宋_GB2312" w:eastAsia="仿宋_GB2312"/>
          <w:color w:val="000000"/>
          <w:sz w:val="32"/>
          <w:lang w:val="en-US"/>
        </w:rPr>
        <w:t>1.财政拨款收入：指单位从同级财政部门取得的财政预算资金。</w:t>
      </w:r>
    </w:p>
    <w:p>
      <w:pPr>
        <w:keepNext w:val="0"/>
        <w:keepLines w:val="0"/>
        <w:pageBreakBefore w:val="0"/>
        <w:widowControl w:val="0"/>
        <w:kinsoku/>
        <w:wordWrap/>
        <w:overflowPunct/>
        <w:topLinePunct w:val="0"/>
        <w:bidi w:val="0"/>
        <w:adjustRightInd w:val="0"/>
        <w:snapToGrid/>
        <w:spacing w:line="580" w:lineRule="exact"/>
        <w:ind w:firstLine="640"/>
        <w:textAlignment w:val="auto"/>
        <w:rPr>
          <w:rFonts w:hint="eastAsia" w:ascii="仿宋_GB2312" w:hAnsi="仿宋_GB2312" w:eastAsia="仿宋_GB2312"/>
          <w:color w:val="000000"/>
          <w:sz w:val="32"/>
          <w:lang w:val="en-US"/>
        </w:rPr>
      </w:pPr>
      <w:r>
        <w:rPr>
          <w:rFonts w:hint="eastAsia" w:ascii="仿宋_GB2312" w:hAnsi="仿宋_GB2312" w:eastAsia="仿宋_GB2312"/>
          <w:color w:val="000000"/>
          <w:sz w:val="32"/>
          <w:lang w:val="en-US"/>
        </w:rPr>
        <w:t>2.其他收入：指单位取得的除上述收入以外的各项收入。主要是</w:t>
      </w:r>
      <w:r>
        <w:rPr>
          <w:rFonts w:hint="eastAsia" w:ascii="仿宋_GB2312" w:hAnsi="Times New Roman" w:eastAsia="仿宋_GB2312"/>
          <w:sz w:val="32"/>
        </w:rPr>
        <w:t>利息收入</w:t>
      </w:r>
      <w:r>
        <w:rPr>
          <w:rFonts w:hint="eastAsia" w:ascii="仿宋_GB2312" w:hAnsi="仿宋_GB2312" w:eastAsia="仿宋_GB2312"/>
          <w:color w:val="000000"/>
          <w:sz w:val="32"/>
          <w:lang w:val="en-US"/>
        </w:rPr>
        <w:t>。</w:t>
      </w:r>
    </w:p>
    <w:p>
      <w:pPr>
        <w:keepNext w:val="0"/>
        <w:keepLines w:val="0"/>
        <w:pageBreakBefore w:val="0"/>
        <w:widowControl w:val="0"/>
        <w:kinsoku/>
        <w:wordWrap/>
        <w:overflowPunct/>
        <w:topLinePunct w:val="0"/>
        <w:bidi w:val="0"/>
        <w:adjustRightInd w:val="0"/>
        <w:snapToGrid/>
        <w:spacing w:line="580" w:lineRule="exact"/>
        <w:ind w:firstLine="640"/>
        <w:textAlignment w:val="auto"/>
        <w:rPr>
          <w:rFonts w:hint="eastAsia" w:ascii="仿宋_GB2312" w:hAnsi="仿宋_GB2312" w:eastAsia="仿宋_GB2312"/>
          <w:color w:val="000000"/>
          <w:sz w:val="32"/>
          <w:lang w:val="en-US"/>
        </w:rPr>
      </w:pP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en-US"/>
        </w:rPr>
        <w:t xml:space="preserve">.使用非财政拨款结余：指事业单位使用以前年度积累的非财政拨款结余弥补当年收支差额的金额。 </w:t>
      </w:r>
    </w:p>
    <w:p>
      <w:pPr>
        <w:keepNext w:val="0"/>
        <w:keepLines w:val="0"/>
        <w:pageBreakBefore w:val="0"/>
        <w:widowControl w:val="0"/>
        <w:kinsoku/>
        <w:wordWrap/>
        <w:overflowPunct/>
        <w:topLinePunct w:val="0"/>
        <w:bidi w:val="0"/>
        <w:adjustRightInd w:val="0"/>
        <w:snapToGrid/>
        <w:spacing w:line="580" w:lineRule="exact"/>
        <w:ind w:firstLine="640"/>
        <w:textAlignment w:val="auto"/>
        <w:rPr>
          <w:rFonts w:hint="eastAsia" w:ascii="仿宋_GB2312" w:hAnsi="仿宋_GB2312" w:eastAsia="仿宋_GB2312"/>
          <w:color w:val="000000"/>
          <w:sz w:val="32"/>
          <w:lang w:val="en-US"/>
        </w:rPr>
      </w:pPr>
      <w:r>
        <w:rPr>
          <w:rFonts w:hint="eastAsia" w:ascii="仿宋_GB2312" w:hAnsi="仿宋_GB2312" w:eastAsia="仿宋_GB2312"/>
          <w:color w:val="000000"/>
          <w:sz w:val="32"/>
          <w:lang w:val="en-US" w:eastAsia="zh-CN"/>
        </w:rPr>
        <w:t>4</w:t>
      </w:r>
      <w:r>
        <w:rPr>
          <w:rFonts w:hint="eastAsia" w:ascii="仿宋_GB2312" w:hAnsi="仿宋_GB2312" w:eastAsia="仿宋_GB2312"/>
          <w:color w:val="000000"/>
          <w:sz w:val="32"/>
          <w:lang w:val="en-US"/>
        </w:rPr>
        <w:t xml:space="preserve">.年初结转和结余：指以前年度尚未完成、结转到本年按有关规定继续使用的资金。 </w:t>
      </w:r>
    </w:p>
    <w:p>
      <w:pPr>
        <w:keepNext w:val="0"/>
        <w:keepLines w:val="0"/>
        <w:pageBreakBefore w:val="0"/>
        <w:widowControl w:val="0"/>
        <w:kinsoku/>
        <w:wordWrap/>
        <w:overflowPunct/>
        <w:topLinePunct w:val="0"/>
        <w:bidi w:val="0"/>
        <w:adjustRightInd w:val="0"/>
        <w:snapToGrid/>
        <w:spacing w:line="580" w:lineRule="exact"/>
        <w:ind w:firstLine="640"/>
        <w:textAlignment w:val="auto"/>
        <w:rPr>
          <w:rFonts w:hint="eastAsia" w:ascii="仿宋_GB2312" w:hAnsi="仿宋_GB2312" w:eastAsia="仿宋_GB2312"/>
          <w:color w:val="000000"/>
          <w:sz w:val="32"/>
          <w:lang w:val="en-US"/>
        </w:rPr>
      </w:pPr>
      <w:r>
        <w:rPr>
          <w:rFonts w:hint="eastAsia" w:ascii="仿宋_GB2312" w:hAnsi="仿宋_GB2312" w:eastAsia="仿宋_GB2312"/>
          <w:color w:val="000000"/>
          <w:sz w:val="32"/>
          <w:lang w:val="en-US" w:eastAsia="zh-CN"/>
        </w:rPr>
        <w:t>5</w:t>
      </w:r>
      <w:r>
        <w:rPr>
          <w:rFonts w:hint="eastAsia" w:ascii="仿宋_GB2312" w:hAnsi="仿宋_GB2312" w:eastAsia="仿宋_GB2312"/>
          <w:color w:val="000000"/>
          <w:sz w:val="32"/>
          <w:lang w:val="en-US"/>
        </w:rPr>
        <w:t>.结余分配：指事业单位按照会计制度规定缴纳的所得税、提取的专用结余以及转入非财政拨款结余的金额等。</w:t>
      </w:r>
    </w:p>
    <w:p>
      <w:pPr>
        <w:keepNext w:val="0"/>
        <w:keepLines w:val="0"/>
        <w:pageBreakBefore w:val="0"/>
        <w:widowControl w:val="0"/>
        <w:kinsoku/>
        <w:wordWrap/>
        <w:overflowPunct/>
        <w:topLinePunct w:val="0"/>
        <w:bidi w:val="0"/>
        <w:adjustRightInd w:val="0"/>
        <w:snapToGrid/>
        <w:spacing w:line="580" w:lineRule="exact"/>
        <w:ind w:firstLine="640"/>
        <w:textAlignment w:val="auto"/>
        <w:rPr>
          <w:rFonts w:hint="eastAsia" w:ascii="仿宋_GB2312" w:hAnsi="仿宋_GB2312" w:eastAsia="仿宋_GB2312"/>
          <w:color w:val="000000"/>
          <w:sz w:val="32"/>
          <w:lang w:val="en-US"/>
        </w:rPr>
      </w:pPr>
      <w:r>
        <w:rPr>
          <w:rFonts w:hint="eastAsia" w:ascii="仿宋_GB2312" w:hAnsi="仿宋_GB2312" w:eastAsia="仿宋_GB2312"/>
          <w:color w:val="000000"/>
          <w:sz w:val="32"/>
          <w:lang w:val="en-US" w:eastAsia="zh-CN"/>
        </w:rPr>
        <w:t>6</w:t>
      </w:r>
      <w:r>
        <w:rPr>
          <w:rFonts w:hint="eastAsia" w:ascii="仿宋_GB2312" w:hAnsi="仿宋_GB2312" w:eastAsia="仿宋_GB2312"/>
          <w:color w:val="000000"/>
          <w:sz w:val="32"/>
          <w:lang w:val="en-US"/>
        </w:rPr>
        <w:t>.年末结转和结余：指单位按有关规定结转到下年或以后年度继续使用的资金。</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hint="eastAsia" w:ascii="仿宋_GB2312" w:hAnsi="仿宋_GB2312" w:eastAsia="仿宋_GB2312"/>
          <w:color w:val="000000"/>
          <w:kern w:val="2"/>
          <w:sz w:val="32"/>
          <w:lang w:val="en-US"/>
        </w:rPr>
      </w:pPr>
      <w:r>
        <w:rPr>
          <w:rFonts w:hint="eastAsia" w:ascii="仿宋_GB2312" w:hAnsi="仿宋_GB2312" w:eastAsia="仿宋_GB2312"/>
          <w:color w:val="000000"/>
          <w:kern w:val="2"/>
          <w:sz w:val="32"/>
          <w:lang w:val="en-US" w:eastAsia="zh-CN"/>
        </w:rPr>
        <w:t>7</w:t>
      </w:r>
      <w:r>
        <w:rPr>
          <w:rFonts w:hint="eastAsia" w:ascii="仿宋_GB2312" w:hAnsi="仿宋_GB2312" w:eastAsia="仿宋_GB2312"/>
          <w:color w:val="000000"/>
          <w:kern w:val="2"/>
          <w:sz w:val="32"/>
          <w:lang w:val="en-US"/>
        </w:rPr>
        <w:t>.</w:t>
      </w:r>
      <w:r>
        <w:rPr>
          <w:rFonts w:hint="eastAsia" w:ascii="仿宋_GB2312" w:hAnsi="Times New Roman" w:eastAsia="仿宋_GB2312"/>
          <w:color w:val="auto"/>
          <w:sz w:val="32"/>
        </w:rPr>
        <w:t>社会保障和就业支出（类）行政事业单位养老支出（款）机关事业单位基本养老保险缴费支出（项）：指机关事业单位实施养老保险制度由单位缴纳的基本养老保险费支出。</w:t>
      </w:r>
    </w:p>
    <w:p>
      <w:pPr>
        <w:keepNext w:val="0"/>
        <w:keepLines w:val="0"/>
        <w:pageBreakBefore w:val="0"/>
        <w:widowControl w:val="0"/>
        <w:kinsoku/>
        <w:wordWrap/>
        <w:overflowPunct/>
        <w:topLinePunct w:val="0"/>
        <w:bidi w:val="0"/>
        <w:adjustRightInd w:val="0"/>
        <w:snapToGrid/>
        <w:spacing w:line="580" w:lineRule="exact"/>
        <w:ind w:firstLine="640"/>
        <w:jc w:val="both"/>
        <w:textAlignment w:val="auto"/>
        <w:rPr>
          <w:rFonts w:hint="eastAsia" w:ascii="仿宋_GB2312" w:hAnsi="仿宋_GB2312" w:eastAsia="仿宋_GB2312"/>
          <w:color w:val="000000"/>
          <w:kern w:val="2"/>
          <w:sz w:val="32"/>
          <w:lang w:val="en-US"/>
        </w:rPr>
      </w:pPr>
      <w:r>
        <w:rPr>
          <w:rFonts w:hint="eastAsia" w:ascii="仿宋_GB2312" w:hAnsi="仿宋_GB2312" w:eastAsia="仿宋_GB2312"/>
          <w:color w:val="000000"/>
          <w:kern w:val="2"/>
          <w:sz w:val="32"/>
          <w:lang w:val="en-US" w:eastAsia="zh-CN"/>
        </w:rPr>
        <w:t>8</w:t>
      </w:r>
      <w:r>
        <w:rPr>
          <w:rFonts w:hint="eastAsia" w:ascii="仿宋_GB2312" w:hAnsi="仿宋_GB2312" w:eastAsia="仿宋_GB2312"/>
          <w:color w:val="000000"/>
          <w:kern w:val="2"/>
          <w:sz w:val="32"/>
          <w:lang w:val="en-US"/>
        </w:rPr>
        <w:t>.</w:t>
      </w:r>
      <w:r>
        <w:rPr>
          <w:rFonts w:hint="eastAsia" w:ascii="仿宋_GB2312" w:hAnsi="Times New Roman" w:eastAsia="仿宋_GB2312"/>
          <w:color w:val="auto"/>
          <w:sz w:val="32"/>
        </w:rPr>
        <w:t>社会保障和就业支出（类）行政事业单位养老支出（款）机关事业单位职业年金缴费支出（项）：指机关事业单位实施养老保险制度由单位实际缴纳的职业年金支出</w:t>
      </w:r>
      <w:r>
        <w:rPr>
          <w:rFonts w:hint="eastAsia" w:ascii="仿宋_GB2312" w:hAnsi="仿宋_GB2312" w:eastAsia="仿宋_GB2312"/>
          <w:color w:val="000000"/>
          <w:kern w:val="2"/>
          <w:sz w:val="32"/>
          <w:lang w:val="en-US"/>
        </w:rPr>
        <w:t>。</w:t>
      </w:r>
    </w:p>
    <w:p>
      <w:pPr>
        <w:keepNext w:val="0"/>
        <w:keepLines w:val="0"/>
        <w:pageBreakBefore w:val="0"/>
        <w:widowControl w:val="0"/>
        <w:kinsoku/>
        <w:wordWrap/>
        <w:overflowPunct/>
        <w:topLinePunct w:val="0"/>
        <w:bidi w:val="0"/>
        <w:adjustRightInd w:val="0"/>
        <w:snapToGrid/>
        <w:spacing w:line="580" w:lineRule="exact"/>
        <w:ind w:firstLine="640"/>
        <w:jc w:val="both"/>
        <w:textAlignment w:val="auto"/>
        <w:rPr>
          <w:rFonts w:hint="eastAsia" w:ascii="仿宋_GB2312" w:hAnsi="仿宋_GB2312" w:eastAsia="仿宋_GB2312"/>
          <w:color w:val="000000"/>
          <w:kern w:val="2"/>
          <w:sz w:val="32"/>
          <w:lang w:val="en-US" w:eastAsia="zh-CN"/>
        </w:rPr>
      </w:pPr>
      <w:r>
        <w:rPr>
          <w:rFonts w:hint="eastAsia" w:ascii="仿宋_GB2312" w:hAnsi="仿宋_GB2312" w:eastAsia="仿宋_GB2312"/>
          <w:color w:val="000000"/>
          <w:kern w:val="2"/>
          <w:sz w:val="32"/>
          <w:lang w:val="en-US" w:eastAsia="zh-CN"/>
        </w:rPr>
        <w:t>9</w:t>
      </w:r>
      <w:r>
        <w:rPr>
          <w:rFonts w:hint="eastAsia" w:ascii="仿宋_GB2312" w:hAnsi="仿宋_GB2312" w:eastAsia="仿宋_GB2312"/>
          <w:color w:val="000000"/>
          <w:kern w:val="2"/>
          <w:sz w:val="32"/>
          <w:lang w:val="en-US"/>
        </w:rPr>
        <w:t>.</w:t>
      </w:r>
      <w:r>
        <w:rPr>
          <w:rFonts w:hint="eastAsia" w:ascii="仿宋_GB2312" w:hAnsi="Times New Roman" w:eastAsia="仿宋_GB2312"/>
          <w:color w:val="auto"/>
          <w:sz w:val="32"/>
        </w:rPr>
        <w:t>社会保障和就业支出（类）行政事业单位养老支出（款）</w:t>
      </w:r>
      <w:r>
        <w:rPr>
          <w:rFonts w:hint="eastAsia" w:ascii="仿宋_GB2312" w:eastAsia="仿宋_GB2312"/>
          <w:color w:val="auto"/>
          <w:sz w:val="32"/>
          <w:lang w:eastAsia="zh-CN"/>
        </w:rPr>
        <w:t>抚恤金</w:t>
      </w:r>
      <w:r>
        <w:rPr>
          <w:rFonts w:hint="eastAsia" w:ascii="仿宋_GB2312" w:hAnsi="Times New Roman" w:eastAsia="仿宋_GB2312"/>
          <w:color w:val="auto"/>
          <w:sz w:val="32"/>
        </w:rPr>
        <w:t>（项）：指</w:t>
      </w:r>
      <w:r>
        <w:rPr>
          <w:rFonts w:hint="eastAsia" w:ascii="仿宋_GB2312" w:eastAsia="仿宋_GB2312"/>
          <w:color w:val="auto"/>
          <w:sz w:val="32"/>
          <w:lang w:eastAsia="zh-CN"/>
        </w:rPr>
        <w:t>规定用于烈士和牺牲、病故人员家属的一次性和定期抚恤金、丧葬补助费以及烈士褒扬金。</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Style w:val="34"/>
          <w:rFonts w:hint="eastAsia" w:ascii="仿宋" w:hAnsi="仿宋" w:eastAsia="仿宋"/>
          <w:color w:val="auto"/>
          <w:sz w:val="32"/>
          <w:lang w:val="en-US" w:eastAsia="zh-CN"/>
        </w:rPr>
      </w:pPr>
      <w:r>
        <w:rPr>
          <w:rFonts w:hint="eastAsia" w:ascii="仿宋_GB2312" w:hAnsi="仿宋_GB2312" w:eastAsia="仿宋_GB2312"/>
          <w:color w:val="000000"/>
          <w:kern w:val="2"/>
          <w:sz w:val="32"/>
          <w:lang w:val="en-US"/>
        </w:rPr>
        <w:t>1</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en-US"/>
        </w:rPr>
        <w:t>.</w:t>
      </w:r>
      <w:r>
        <w:rPr>
          <w:rFonts w:hint="eastAsia" w:ascii="仿宋_GB2312" w:hAnsi="Times New Roman" w:eastAsia="仿宋_GB2312"/>
          <w:color w:val="auto"/>
          <w:sz w:val="32"/>
        </w:rPr>
        <w:t>社会保障和就业支出（类）其他社会保障和就业支出</w:t>
      </w:r>
      <w:r>
        <w:rPr>
          <w:rFonts w:hint="eastAsia" w:ascii="仿宋_GB2312" w:hAnsi="Times New Roman" w:eastAsia="仿宋_GB2312"/>
          <w:color w:val="auto"/>
          <w:sz w:val="32"/>
          <w:lang w:eastAsia="zh-CN"/>
        </w:rPr>
        <w:t>（款） 其他社会保障和就业支出（项）：</w:t>
      </w:r>
      <w:r>
        <w:rPr>
          <w:rStyle w:val="34"/>
          <w:rFonts w:hint="eastAsia" w:ascii="仿宋" w:hAnsi="仿宋" w:eastAsia="仿宋"/>
          <w:b w:val="0"/>
          <w:color w:val="000000"/>
          <w:sz w:val="32"/>
          <w:lang w:eastAsia="zh-CN"/>
        </w:rPr>
        <w:t>指除上述项目以外其他用于社会保障和就业方面的支出。</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hint="eastAsia" w:ascii="仿宋_GB2312" w:hAnsi="Times New Roman" w:eastAsia="仿宋_GB2312"/>
          <w:color w:val="auto"/>
          <w:sz w:val="32"/>
        </w:rPr>
      </w:pPr>
      <w:r>
        <w:rPr>
          <w:rFonts w:hint="eastAsia" w:ascii="仿宋_GB2312" w:hAnsi="仿宋_GB2312" w:eastAsia="仿宋_GB2312"/>
          <w:color w:val="000000"/>
          <w:kern w:val="2"/>
          <w:sz w:val="32"/>
          <w:lang w:val="en-US" w:eastAsia="zh-CN"/>
        </w:rPr>
        <w:t>11.</w:t>
      </w:r>
      <w:r>
        <w:rPr>
          <w:rFonts w:hint="eastAsia" w:ascii="仿宋_GB2312" w:hAnsi="Times New Roman" w:eastAsia="仿宋_GB2312"/>
          <w:color w:val="auto"/>
          <w:sz w:val="32"/>
        </w:rPr>
        <w:t>卫生健康支出（类）行政单位医疗（款）行政单位医疗（项）：指财政部门安排的事业单位基本医疗保险缴费经费。</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hint="eastAsia"/>
        </w:rPr>
      </w:pPr>
      <w:r>
        <w:rPr>
          <w:rFonts w:hint="eastAsia" w:ascii="仿宋_GB2312" w:hAnsi="仿宋_GB2312" w:eastAsia="仿宋_GB2312"/>
          <w:color w:val="000000"/>
          <w:kern w:val="2"/>
          <w:sz w:val="32"/>
          <w:lang w:val="en-US" w:eastAsia="zh-CN"/>
        </w:rPr>
        <w:t>12.</w:t>
      </w:r>
      <w:r>
        <w:rPr>
          <w:rFonts w:hint="eastAsia" w:ascii="仿宋_GB2312" w:hAnsi="Times New Roman" w:eastAsia="仿宋_GB2312"/>
          <w:color w:val="auto"/>
          <w:sz w:val="32"/>
        </w:rPr>
        <w:t>卫生健康支出（类）行政单位医疗（款）</w:t>
      </w:r>
      <w:r>
        <w:rPr>
          <w:rFonts w:hint="eastAsia" w:ascii="仿宋_GB2312" w:eastAsia="仿宋_GB2312"/>
          <w:color w:val="auto"/>
          <w:sz w:val="32"/>
          <w:lang w:eastAsia="zh-CN"/>
        </w:rPr>
        <w:t>公务员医疗补助</w:t>
      </w:r>
      <w:r>
        <w:rPr>
          <w:rFonts w:hint="eastAsia" w:ascii="仿宋_GB2312" w:hAnsi="Times New Roman" w:eastAsia="仿宋_GB2312"/>
          <w:color w:val="auto"/>
          <w:sz w:val="32"/>
        </w:rPr>
        <w:t>（项）：指财政部门安排的</w:t>
      </w:r>
      <w:r>
        <w:rPr>
          <w:rFonts w:hint="eastAsia" w:ascii="仿宋_GB2312" w:eastAsia="仿宋_GB2312"/>
          <w:color w:val="auto"/>
          <w:sz w:val="32"/>
          <w:lang w:eastAsia="zh-CN"/>
        </w:rPr>
        <w:t>公务员医疗补助经费</w:t>
      </w:r>
      <w:r>
        <w:rPr>
          <w:rFonts w:hint="eastAsia" w:ascii="仿宋_GB2312" w:hAnsi="Times New Roman" w:eastAsia="仿宋_GB2312"/>
          <w:color w:val="auto"/>
          <w:sz w:val="32"/>
        </w:rPr>
        <w:t>。</w:t>
      </w:r>
    </w:p>
    <w:p>
      <w:pPr>
        <w:keepNext w:val="0"/>
        <w:keepLines w:val="0"/>
        <w:pageBreakBefore w:val="0"/>
        <w:widowControl w:val="0"/>
        <w:kinsoku/>
        <w:wordWrap/>
        <w:overflowPunct/>
        <w:topLinePunct w:val="0"/>
        <w:bidi w:val="0"/>
        <w:adjustRightInd w:val="0"/>
        <w:snapToGrid/>
        <w:spacing w:line="580" w:lineRule="exact"/>
        <w:ind w:firstLine="640"/>
        <w:jc w:val="both"/>
        <w:textAlignment w:val="auto"/>
        <w:rPr>
          <w:rFonts w:hint="eastAsia" w:ascii="仿宋_GB2312" w:hAnsi="仿宋_GB2312" w:eastAsia="仿宋_GB2312"/>
          <w:color w:val="000000"/>
          <w:kern w:val="2"/>
          <w:sz w:val="32"/>
          <w:lang w:val="en-US" w:eastAsia="zh-CN"/>
        </w:rPr>
      </w:pPr>
      <w:r>
        <w:rPr>
          <w:rFonts w:hint="eastAsia" w:ascii="仿宋_GB2312" w:hAnsi="Times New Roman" w:eastAsia="仿宋_GB2312"/>
          <w:color w:val="auto"/>
          <w:sz w:val="32"/>
          <w:lang w:val="en-US"/>
        </w:rPr>
        <w:t>1</w:t>
      </w:r>
      <w:r>
        <w:rPr>
          <w:rFonts w:hint="eastAsia" w:ascii="仿宋_GB2312" w:eastAsia="仿宋_GB2312"/>
          <w:color w:val="auto"/>
          <w:sz w:val="32"/>
          <w:lang w:val="en-US" w:eastAsia="zh-CN"/>
        </w:rPr>
        <w:t>3</w:t>
      </w:r>
      <w:r>
        <w:rPr>
          <w:rFonts w:hint="eastAsia" w:ascii="仿宋_GB2312" w:hAnsi="Times New Roman" w:eastAsia="仿宋_GB2312"/>
          <w:color w:val="auto"/>
          <w:sz w:val="32"/>
          <w:lang w:val="en-US"/>
        </w:rPr>
        <w:t>.</w:t>
      </w:r>
      <w:r>
        <w:rPr>
          <w:rFonts w:hint="eastAsia" w:ascii="仿宋_GB2312" w:hAnsi="Times New Roman" w:eastAsia="仿宋_GB2312"/>
          <w:color w:val="auto"/>
          <w:sz w:val="32"/>
          <w:lang w:val="en-US" w:eastAsia="zh-CN"/>
        </w:rPr>
        <w:t>城乡社区支出（类）国有土地使用权出让收入安排的支出（款）其他国有土地使用权出让收入安排的支出（项）</w:t>
      </w:r>
      <w:r>
        <w:rPr>
          <w:rFonts w:hint="eastAsia" w:ascii="仿宋_GB2312" w:hAnsi="仿宋_GB2312" w:eastAsia="仿宋_GB2312"/>
          <w:color w:val="000000"/>
          <w:kern w:val="2"/>
          <w:sz w:val="32"/>
          <w:lang w:val="en-US" w:eastAsia="zh-CN"/>
        </w:rPr>
        <w:t>：指土地出让收入用于其他方面的支出。</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hint="eastAsia" w:ascii="仿宋_GB2312" w:hAnsi="Times New Roman" w:eastAsia="仿宋_GB2312"/>
          <w:color w:val="auto"/>
          <w:sz w:val="32"/>
        </w:rPr>
      </w:pPr>
      <w:r>
        <w:rPr>
          <w:rFonts w:hint="eastAsia" w:ascii="仿宋_GB2312" w:hAnsi="Times New Roman" w:eastAsia="仿宋_GB2312"/>
          <w:color w:val="auto"/>
          <w:sz w:val="32"/>
          <w:lang w:val="en-US" w:eastAsia="zh-CN"/>
        </w:rPr>
        <w:t>1</w:t>
      </w:r>
      <w:r>
        <w:rPr>
          <w:rFonts w:hint="eastAsia" w:ascii="仿宋_GB2312" w:eastAsia="仿宋_GB2312"/>
          <w:color w:val="auto"/>
          <w:sz w:val="32"/>
          <w:lang w:val="en-US" w:eastAsia="zh-CN"/>
        </w:rPr>
        <w:t>4</w:t>
      </w:r>
      <w:r>
        <w:rPr>
          <w:rFonts w:hint="eastAsia" w:ascii="仿宋_GB2312" w:hAnsi="Times New Roman" w:eastAsia="仿宋_GB2312"/>
          <w:color w:val="auto"/>
          <w:sz w:val="32"/>
          <w:lang w:val="en-US" w:eastAsia="zh-CN"/>
        </w:rPr>
        <w:t>.</w:t>
      </w:r>
      <w:r>
        <w:rPr>
          <w:rFonts w:hint="eastAsia" w:ascii="仿宋_GB2312" w:hAnsi="Times New Roman" w:eastAsia="仿宋_GB2312"/>
          <w:color w:val="auto"/>
          <w:sz w:val="32"/>
        </w:rPr>
        <w:t>交通运输支出（类）公路水路运输（款）公路养护（项）：指公路养护支出。</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hint="eastAsia" w:ascii="仿宋_GB2312" w:hAnsi="Times New Roman" w:eastAsia="仿宋_GB2312"/>
          <w:color w:val="auto"/>
          <w:sz w:val="32"/>
        </w:rPr>
      </w:pPr>
      <w:r>
        <w:rPr>
          <w:rFonts w:hint="eastAsia" w:ascii="仿宋_GB2312" w:hAnsi="Times New Roman" w:eastAsia="仿宋_GB2312"/>
          <w:color w:val="auto"/>
          <w:sz w:val="32"/>
          <w:lang w:val="en-US" w:eastAsia="zh-CN"/>
        </w:rPr>
        <w:t>1</w:t>
      </w:r>
      <w:r>
        <w:rPr>
          <w:rFonts w:hint="eastAsia" w:ascii="仿宋_GB2312" w:eastAsia="仿宋_GB2312"/>
          <w:color w:val="auto"/>
          <w:sz w:val="32"/>
          <w:lang w:val="en-US" w:eastAsia="zh-CN"/>
        </w:rPr>
        <w:t>5</w:t>
      </w:r>
      <w:r>
        <w:rPr>
          <w:rFonts w:hint="eastAsia" w:ascii="仿宋_GB2312" w:hAnsi="Times New Roman" w:eastAsia="仿宋_GB2312"/>
          <w:color w:val="auto"/>
          <w:sz w:val="32"/>
        </w:rPr>
        <w:t>.交通运输支出（类）公路水路运输（款）行政运行（项）：指除上述项目以外其他用于公路水路运输方面的支出。</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hint="eastAsia" w:ascii="仿宋_GB2312" w:hAnsi="Times New Roman" w:eastAsia="仿宋_GB2312"/>
          <w:color w:val="auto"/>
          <w:sz w:val="32"/>
          <w:lang w:val="en-US" w:eastAsia="zh-CN"/>
        </w:rPr>
      </w:pPr>
      <w:r>
        <w:rPr>
          <w:rFonts w:hint="eastAsia" w:ascii="仿宋_GB2312" w:hAnsi="Times New Roman" w:eastAsia="仿宋_GB2312"/>
          <w:color w:val="auto"/>
          <w:sz w:val="32"/>
          <w:lang w:val="en-US" w:eastAsia="zh-CN"/>
        </w:rPr>
        <w:t>1</w:t>
      </w:r>
      <w:r>
        <w:rPr>
          <w:rFonts w:hint="eastAsia" w:ascii="仿宋_GB2312" w:eastAsia="仿宋_GB2312"/>
          <w:color w:val="auto"/>
          <w:sz w:val="32"/>
          <w:lang w:val="en-US" w:eastAsia="zh-CN"/>
        </w:rPr>
        <w:t>6</w:t>
      </w:r>
      <w:r>
        <w:rPr>
          <w:rFonts w:hint="eastAsia" w:ascii="仿宋_GB2312" w:hAnsi="Times New Roman" w:eastAsia="仿宋_GB2312"/>
          <w:color w:val="auto"/>
          <w:sz w:val="32"/>
          <w:lang w:val="en-US" w:eastAsia="zh-CN"/>
        </w:rPr>
        <w:t>.交通运输支出（类）公路水路运输（款）水路运输管理支出（项）：指水路运输管理方面的支出。</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hint="default"/>
          <w:sz w:val="24"/>
          <w:lang w:val="en-US" w:eastAsia="zh-CN"/>
        </w:rPr>
      </w:pPr>
      <w:r>
        <w:rPr>
          <w:rFonts w:hint="eastAsia" w:ascii="仿宋_GB2312" w:hAnsi="Times New Roman" w:eastAsia="仿宋_GB2312"/>
          <w:color w:val="auto"/>
          <w:sz w:val="32"/>
          <w:lang w:val="en-US" w:eastAsia="zh-CN"/>
        </w:rPr>
        <w:t>1</w:t>
      </w:r>
      <w:r>
        <w:rPr>
          <w:rFonts w:hint="eastAsia" w:ascii="仿宋_GB2312" w:eastAsia="仿宋_GB2312"/>
          <w:color w:val="auto"/>
          <w:sz w:val="32"/>
          <w:lang w:val="en-US" w:eastAsia="zh-CN"/>
        </w:rPr>
        <w:t>7</w:t>
      </w:r>
      <w:r>
        <w:rPr>
          <w:rFonts w:hint="eastAsia" w:ascii="仿宋_GB2312" w:hAnsi="Times New Roman" w:eastAsia="仿宋_GB2312"/>
          <w:color w:val="auto"/>
          <w:sz w:val="32"/>
          <w:lang w:val="en-US" w:eastAsia="zh-CN"/>
        </w:rPr>
        <w:t>.住房保障支出（类）住房改革支出（款）住房公积金（项）：行政事业单位按人力资源和社会保障部、</w:t>
      </w:r>
      <w:r>
        <w:rPr>
          <w:rFonts w:hint="eastAsia" w:ascii="仿宋_GB2312" w:hAnsi="Times New Roman" w:eastAsia="仿宋_GB2312"/>
          <w:color w:val="auto"/>
          <w:sz w:val="32"/>
        </w:rPr>
        <w:t>财政部规定的基本工资和津补贴以及规定比例为职工缴纳的住房公积金。</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18</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19</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r>
        <w:rPr>
          <w:rFonts w:ascii="仿宋_GB2312" w:eastAsia="仿宋_GB2312"/>
          <w:sz w:val="32"/>
          <w:szCs w:val="32"/>
        </w:rPr>
        <w:t xml:space="preserve"> </w:t>
      </w:r>
    </w:p>
    <w:p>
      <w:pPr>
        <w:pStyle w:val="26"/>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ascii="仿宋_GB2312" w:eastAsia="仿宋_GB2312"/>
          <w:color w:val="auto"/>
          <w:sz w:val="32"/>
          <w:szCs w:val="32"/>
        </w:rPr>
      </w:pPr>
      <w:r>
        <w:rPr>
          <w:rFonts w:hint="eastAsia" w:ascii="仿宋_GB2312" w:eastAsia="仿宋_GB2312"/>
          <w:sz w:val="32"/>
          <w:szCs w:val="32"/>
          <w:lang w:val="en-US" w:eastAsia="zh-CN"/>
        </w:rPr>
        <w:t>20.</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6"/>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21</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0"/>
        <w:rPr>
          <w:rStyle w:val="28"/>
          <w:rFonts w:ascii="黑体" w:hAnsi="黑体" w:eastAsia="黑体"/>
          <w:b w:val="0"/>
        </w:rPr>
      </w:pPr>
      <w:bookmarkStart w:id="45" w:name="_Toc15377226"/>
      <w:r>
        <w:rPr>
          <w:rFonts w:ascii="宋体"/>
          <w:b/>
          <w:sz w:val="44"/>
          <w:szCs w:val="44"/>
        </w:rPr>
        <w:br w:type="page"/>
      </w:r>
      <w:bookmarkStart w:id="46" w:name="_Toc15396614"/>
      <w:r>
        <w:rPr>
          <w:rFonts w:hint="eastAsia" w:ascii="黑体" w:hAnsi="黑体" w:eastAsia="黑体"/>
          <w:sz w:val="44"/>
          <w:szCs w:val="44"/>
        </w:rPr>
        <w:t>第</w:t>
      </w:r>
      <w:r>
        <w:rPr>
          <w:rStyle w:val="28"/>
          <w:rFonts w:hint="eastAsia" w:ascii="黑体" w:hAnsi="黑体" w:eastAsia="黑体"/>
          <w:b w:val="0"/>
        </w:rPr>
        <w:t>四部分 附件</w:t>
      </w:r>
      <w:bookmarkEnd w:id="46"/>
    </w:p>
    <w:p>
      <w:pPr>
        <w:keepNext w:val="0"/>
        <w:keepLines w:val="0"/>
        <w:pageBreakBefore w:val="0"/>
        <w:widowControl w:val="0"/>
        <w:kinsoku/>
        <w:wordWrap/>
        <w:overflowPunct/>
        <w:topLinePunct w:val="0"/>
        <w:autoSpaceDE/>
        <w:autoSpaceDN/>
        <w:bidi w:val="0"/>
        <w:adjustRightInd/>
        <w:snapToGrid/>
        <w:spacing w:line="580" w:lineRule="exact"/>
        <w:jc w:val="left"/>
        <w:textAlignment w:val="auto"/>
        <w:outlineLvl w:val="0"/>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0"/>
        <w:rPr>
          <w:rFonts w:hint="eastAsia"/>
          <w:sz w:val="32"/>
          <w:szCs w:val="32"/>
        </w:rPr>
      </w:pPr>
      <w:bookmarkStart w:id="47" w:name="_Toc15396618"/>
      <w:r>
        <w:rPr>
          <w:rFonts w:hint="eastAsia"/>
          <w:sz w:val="32"/>
          <w:szCs w:val="32"/>
        </w:rPr>
        <w:t>部门预算项目支出绩效自评表（2023年度）</w:t>
      </w:r>
    </w:p>
    <w:p>
      <w:pPr>
        <w:rPr>
          <w:rFonts w:hint="eastAsia" w:eastAsia="宋体"/>
          <w:lang w:eastAsia="zh-CN"/>
        </w:rPr>
      </w:pPr>
      <w:r>
        <w:rPr>
          <w:rFonts w:hint="eastAsia" w:eastAsia="宋体"/>
          <w:lang w:eastAsia="zh-CN"/>
        </w:rPr>
        <w:drawing>
          <wp:inline distT="0" distB="0" distL="114300" distR="114300">
            <wp:extent cx="5266055" cy="4365625"/>
            <wp:effectExtent l="0" t="0" r="10795" b="15875"/>
            <wp:docPr id="9" name="图片 9" descr="2023年市级项目支出绩效自评表（市交通综合行政执法支队4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023年市级项目支出绩效自评表（市交通综合行政执法支队4个）"/>
                    <pic:cNvPicPr>
                      <a:picLocks noChangeAspect="1"/>
                    </pic:cNvPicPr>
                  </pic:nvPicPr>
                  <pic:blipFill>
                    <a:blip r:embed="rId13"/>
                    <a:stretch>
                      <a:fillRect/>
                    </a:stretch>
                  </pic:blipFill>
                  <pic:spPr>
                    <a:xfrm>
                      <a:off x="0" y="0"/>
                      <a:ext cx="5266055" cy="4365625"/>
                    </a:xfrm>
                    <a:prstGeom prst="rect">
                      <a:avLst/>
                    </a:prstGeom>
                  </pic:spPr>
                </pic:pic>
              </a:graphicData>
            </a:graphic>
          </wp:inline>
        </w:drawing>
      </w:r>
    </w:p>
    <w:p>
      <w:pPr>
        <w:pStyle w:val="2"/>
        <w:rPr>
          <w:rFonts w:hint="eastAsia" w:eastAsia="宋体"/>
          <w:sz w:val="32"/>
          <w:szCs w:val="32"/>
          <w:lang w:eastAsia="zh-CN"/>
        </w:rPr>
      </w:pPr>
      <w:r>
        <w:rPr>
          <w:rFonts w:hint="eastAsia" w:eastAsia="宋体"/>
          <w:sz w:val="32"/>
          <w:szCs w:val="32"/>
          <w:lang w:eastAsia="zh-CN"/>
        </w:rPr>
        <w:drawing>
          <wp:inline distT="0" distB="0" distL="114300" distR="114300">
            <wp:extent cx="5272405" cy="4081780"/>
            <wp:effectExtent l="0" t="0" r="4445" b="13970"/>
            <wp:docPr id="10" name="图片 10" descr="2023年市级项目支出绩效自评表（市交通综合行政执法支队4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023年市级项目支出绩效自评表（市交通综合行政执法支队4个）"/>
                    <pic:cNvPicPr>
                      <a:picLocks noChangeAspect="1"/>
                    </pic:cNvPicPr>
                  </pic:nvPicPr>
                  <pic:blipFill>
                    <a:blip r:embed="rId14"/>
                    <a:stretch>
                      <a:fillRect/>
                    </a:stretch>
                  </pic:blipFill>
                  <pic:spPr>
                    <a:xfrm>
                      <a:off x="0" y="0"/>
                      <a:ext cx="5272405" cy="4081780"/>
                    </a:xfrm>
                    <a:prstGeom prst="rect">
                      <a:avLst/>
                    </a:prstGeom>
                  </pic:spPr>
                </pic:pic>
              </a:graphicData>
            </a:graphic>
          </wp:inline>
        </w:drawing>
      </w:r>
    </w:p>
    <w:p>
      <w:pPr>
        <w:rPr>
          <w:rFonts w:hint="eastAsia" w:eastAsia="宋体"/>
          <w:sz w:val="32"/>
          <w:szCs w:val="32"/>
          <w:lang w:eastAsia="zh-CN"/>
        </w:rPr>
      </w:pPr>
    </w:p>
    <w:p>
      <w:pPr>
        <w:pStyle w:val="2"/>
        <w:ind w:left="0" w:leftChars="0" w:firstLine="0" w:firstLineChars="0"/>
        <w:rPr>
          <w:rFonts w:hint="eastAsia"/>
          <w:lang w:eastAsia="zh-CN"/>
        </w:rPr>
      </w:pPr>
      <w:r>
        <w:rPr>
          <w:rFonts w:hint="eastAsia"/>
          <w:lang w:eastAsia="zh-CN"/>
        </w:rPr>
        <w:drawing>
          <wp:inline distT="0" distB="0" distL="114300" distR="114300">
            <wp:extent cx="5266055" cy="4365625"/>
            <wp:effectExtent l="0" t="0" r="10795" b="15875"/>
            <wp:docPr id="11" name="图片 11" descr="2023年市级项目支出绩效自评表（市交通综合行政执法支队4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023年市级项目支出绩效自评表（市交通综合行政执法支队4个）"/>
                    <pic:cNvPicPr>
                      <a:picLocks noChangeAspect="1"/>
                    </pic:cNvPicPr>
                  </pic:nvPicPr>
                  <pic:blipFill>
                    <a:blip r:embed="rId15"/>
                    <a:stretch>
                      <a:fillRect/>
                    </a:stretch>
                  </pic:blipFill>
                  <pic:spPr>
                    <a:xfrm>
                      <a:off x="0" y="0"/>
                      <a:ext cx="5266055" cy="4365625"/>
                    </a:xfrm>
                    <a:prstGeom prst="rect">
                      <a:avLst/>
                    </a:prstGeom>
                  </pic:spPr>
                </pic:pic>
              </a:graphicData>
            </a:graphic>
          </wp:inline>
        </w:drawing>
      </w:r>
    </w:p>
    <w:p>
      <w:pPr>
        <w:rPr>
          <w:rFonts w:hint="eastAsia"/>
          <w:lang w:eastAsia="zh-CN"/>
        </w:rPr>
      </w:pPr>
      <w:r>
        <w:rPr>
          <w:rFonts w:hint="eastAsia"/>
          <w:lang w:eastAsia="zh-CN"/>
        </w:rPr>
        <w:drawing>
          <wp:inline distT="0" distB="0" distL="114300" distR="114300">
            <wp:extent cx="5266055" cy="4443095"/>
            <wp:effectExtent l="0" t="0" r="10795" b="14605"/>
            <wp:docPr id="12" name="图片 12" descr="2023年市级项目支出绩效自评表（市交通综合行政执法支队4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023年市级项目支出绩效自评表（市交通综合行政执法支队4个）"/>
                    <pic:cNvPicPr>
                      <a:picLocks noChangeAspect="1"/>
                    </pic:cNvPicPr>
                  </pic:nvPicPr>
                  <pic:blipFill>
                    <a:blip r:embed="rId16"/>
                    <a:stretch>
                      <a:fillRect/>
                    </a:stretch>
                  </pic:blipFill>
                  <pic:spPr>
                    <a:xfrm>
                      <a:off x="0" y="0"/>
                      <a:ext cx="5266055" cy="4443095"/>
                    </a:xfrm>
                    <a:prstGeom prst="rect">
                      <a:avLst/>
                    </a:prstGeom>
                  </pic:spPr>
                </pic:pic>
              </a:graphicData>
            </a:graphic>
          </wp:inline>
        </w:drawing>
      </w:r>
    </w:p>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0"/>
        <w:rPr>
          <w:rFonts w:ascii="仿宋" w:hAnsi="仿宋" w:eastAsia="仿宋"/>
        </w:rPr>
      </w:pPr>
      <w:r>
        <w:rPr>
          <w:rFonts w:hint="eastAsia" w:ascii="黑体" w:hAnsi="黑体" w:eastAsia="黑体"/>
          <w:sz w:val="44"/>
          <w:szCs w:val="44"/>
        </w:rPr>
        <w:t>第</w:t>
      </w:r>
      <w:r>
        <w:rPr>
          <w:rStyle w:val="28"/>
          <w:rFonts w:hint="eastAsia" w:ascii="黑体" w:hAnsi="黑体" w:eastAsia="黑体"/>
          <w:b w:val="0"/>
        </w:rPr>
        <w:t>五部分 附表</w:t>
      </w:r>
      <w:bookmarkEnd w:id="45"/>
      <w:bookmarkEnd w:id="47"/>
      <w:bookmarkStart w:id="48" w:name="_Toc15396619"/>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r>
        <w:rPr>
          <w:rFonts w:hint="eastAsia" w:ascii="仿宋" w:hAnsi="仿宋" w:eastAsia="仿宋"/>
          <w:b w:val="0"/>
        </w:rPr>
        <w:t>一、收</w:t>
      </w:r>
      <w:r>
        <w:rPr>
          <w:rStyle w:val="29"/>
          <w:rFonts w:hint="eastAsia" w:ascii="仿宋" w:hAnsi="仿宋" w:eastAsia="仿宋"/>
          <w:b w:val="0"/>
          <w:bCs w:val="0"/>
        </w:rPr>
        <w:t>入支出决算总表</w:t>
      </w:r>
      <w:bookmarkEnd w:id="48"/>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bookmarkStart w:id="49" w:name="_Toc15396620"/>
      <w:r>
        <w:rPr>
          <w:rFonts w:hint="eastAsia" w:ascii="仿宋" w:hAnsi="仿宋" w:eastAsia="仿宋"/>
          <w:b w:val="0"/>
        </w:rPr>
        <w:t>二、收</w:t>
      </w:r>
      <w:r>
        <w:rPr>
          <w:rStyle w:val="29"/>
          <w:rFonts w:hint="eastAsia" w:ascii="仿宋" w:hAnsi="仿宋" w:eastAsia="仿宋"/>
          <w:b w:val="0"/>
          <w:bCs w:val="0"/>
        </w:rPr>
        <w:t>入决算表</w:t>
      </w:r>
      <w:bookmarkEnd w:id="49"/>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bookmarkStart w:id="50" w:name="_Toc15396621"/>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50"/>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b w:val="0"/>
        </w:rPr>
      </w:pPr>
      <w:bookmarkStart w:id="51" w:name="_Toc153966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51"/>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Style w:val="29"/>
          <w:rFonts w:ascii="仿宋" w:hAnsi="仿宋" w:eastAsia="仿宋"/>
          <w:b w:val="0"/>
          <w:bCs w:val="0"/>
        </w:rPr>
      </w:pPr>
      <w:bookmarkStart w:id="52" w:name="_Toc15396623"/>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52"/>
      <w:bookmarkStart w:id="53" w:name="_Toc15396624"/>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53"/>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bookmarkStart w:id="54" w:name="_Toc15396625"/>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54"/>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bookmarkStart w:id="55" w:name="_Toc15396626"/>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55"/>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bookmarkStart w:id="56" w:name="_Toc15396627"/>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56"/>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bookmarkStart w:id="57" w:name="_Toc15396628"/>
      <w:r>
        <w:rPr>
          <w:rStyle w:val="29"/>
          <w:rFonts w:hint="eastAsia" w:ascii="仿宋" w:hAnsi="仿宋" w:eastAsia="仿宋"/>
          <w:b w:val="0"/>
          <w:bCs w:val="0"/>
        </w:rPr>
        <w:t>十、</w:t>
      </w:r>
      <w:bookmarkEnd w:id="57"/>
      <w:r>
        <w:rPr>
          <w:rFonts w:hint="eastAsia" w:ascii="仿宋" w:hAnsi="仿宋" w:eastAsia="仿宋"/>
          <w:b w:val="0"/>
        </w:rPr>
        <w:t>政</w:t>
      </w:r>
      <w:r>
        <w:rPr>
          <w:rStyle w:val="29"/>
          <w:rFonts w:hint="eastAsia" w:ascii="仿宋" w:hAnsi="仿宋" w:eastAsia="仿宋"/>
          <w:b w:val="0"/>
          <w:bCs w:val="0"/>
        </w:rPr>
        <w:t>府性基金预算财政拨款收入支出决算表</w:t>
      </w:r>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bookmarkStart w:id="58" w:name="_Toc15396629"/>
      <w:r>
        <w:rPr>
          <w:rStyle w:val="29"/>
          <w:rFonts w:hint="eastAsia" w:ascii="仿宋" w:hAnsi="仿宋" w:eastAsia="仿宋"/>
          <w:b w:val="0"/>
          <w:bCs w:val="0"/>
        </w:rPr>
        <w:t>十一、</w:t>
      </w:r>
      <w:bookmarkEnd w:id="58"/>
      <w:r>
        <w:rPr>
          <w:rFonts w:hint="eastAsia" w:ascii="仿宋" w:hAnsi="仿宋" w:eastAsia="仿宋"/>
          <w:b w:val="0"/>
        </w:rPr>
        <w:t>国</w:t>
      </w:r>
      <w:r>
        <w:rPr>
          <w:rStyle w:val="29"/>
          <w:rFonts w:hint="eastAsia" w:ascii="仿宋" w:hAnsi="仿宋" w:eastAsia="仿宋"/>
          <w:b w:val="0"/>
          <w:bCs w:val="0"/>
        </w:rPr>
        <w:t>有资本经营预算财政拨款收入支出决算表</w:t>
      </w:r>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bookmarkStart w:id="59" w:name="_Toc15396630"/>
      <w:r>
        <w:rPr>
          <w:rStyle w:val="29"/>
          <w:rFonts w:hint="eastAsia" w:ascii="仿宋" w:hAnsi="仿宋" w:eastAsia="仿宋"/>
          <w:b w:val="0"/>
          <w:bCs w:val="0"/>
        </w:rPr>
        <w:t>十二、</w:t>
      </w:r>
      <w:bookmarkEnd w:id="59"/>
      <w:r>
        <w:rPr>
          <w:rStyle w:val="29"/>
          <w:rFonts w:hint="eastAsia" w:ascii="仿宋" w:hAnsi="仿宋" w:eastAsia="仿宋"/>
          <w:b w:val="0"/>
          <w:bCs w:val="0"/>
        </w:rPr>
        <w:t>国有资本经营预算财政拨款支出决算表</w:t>
      </w:r>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eastAsia="仿宋"/>
        </w:rPr>
      </w:pPr>
      <w:bookmarkStart w:id="60" w:name="_Toc15396631"/>
      <w:r>
        <w:rPr>
          <w:rStyle w:val="29"/>
          <w:rFonts w:hint="eastAsia" w:ascii="仿宋" w:hAnsi="仿宋" w:eastAsia="仿宋"/>
          <w:b w:val="0"/>
          <w:bCs w:val="0"/>
        </w:rPr>
        <w:t>十三、</w:t>
      </w:r>
      <w:bookmarkEnd w:id="60"/>
      <w:r>
        <w:rPr>
          <w:rStyle w:val="29"/>
          <w:rFonts w:hint="eastAsia" w:ascii="仿宋" w:hAnsi="仿宋" w:eastAsia="仿宋"/>
          <w:b w:val="0"/>
          <w:bCs w:val="0"/>
        </w:rPr>
        <w:t>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0"/>
          <w:jc w:val="center"/>
        </w:pPr>
        <w:r>
          <w:fldChar w:fldCharType="begin"/>
        </w:r>
        <w:r>
          <w:instrText xml:space="preserve">PAGE   \* MERGEFORMAT</w:instrText>
        </w:r>
        <w:r>
          <w:fldChar w:fldCharType="separate"/>
        </w:r>
        <w:r>
          <w:rPr>
            <w:lang w:val="zh-CN"/>
          </w:rPr>
          <w:t>2</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A232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DC2831"/>
    <w:rsid w:val="081B5E94"/>
    <w:rsid w:val="0A2032A3"/>
    <w:rsid w:val="0B8A37D8"/>
    <w:rsid w:val="0F5FFB2F"/>
    <w:rsid w:val="0FFFCF60"/>
    <w:rsid w:val="10C055FF"/>
    <w:rsid w:val="118107EC"/>
    <w:rsid w:val="11A25416"/>
    <w:rsid w:val="11DD6519"/>
    <w:rsid w:val="16BB723D"/>
    <w:rsid w:val="18015F3F"/>
    <w:rsid w:val="1BE8440E"/>
    <w:rsid w:val="1C810E42"/>
    <w:rsid w:val="1D155CEE"/>
    <w:rsid w:val="1FDBBF84"/>
    <w:rsid w:val="204C469C"/>
    <w:rsid w:val="20F57F95"/>
    <w:rsid w:val="240371BF"/>
    <w:rsid w:val="24CE2C15"/>
    <w:rsid w:val="25711CC6"/>
    <w:rsid w:val="25C741E6"/>
    <w:rsid w:val="262954FC"/>
    <w:rsid w:val="273036C8"/>
    <w:rsid w:val="276F80C0"/>
    <w:rsid w:val="27842671"/>
    <w:rsid w:val="29FD04D3"/>
    <w:rsid w:val="2ABE7A3E"/>
    <w:rsid w:val="2AFF09B6"/>
    <w:rsid w:val="2CA234A8"/>
    <w:rsid w:val="2EFA178C"/>
    <w:rsid w:val="2EFDF86C"/>
    <w:rsid w:val="2F9D17E1"/>
    <w:rsid w:val="30B46D73"/>
    <w:rsid w:val="319F7F4E"/>
    <w:rsid w:val="356A28F1"/>
    <w:rsid w:val="357C035A"/>
    <w:rsid w:val="368E000D"/>
    <w:rsid w:val="383D272C"/>
    <w:rsid w:val="39AE70AB"/>
    <w:rsid w:val="3A4DCE41"/>
    <w:rsid w:val="3BCB56FA"/>
    <w:rsid w:val="3C0C0783"/>
    <w:rsid w:val="3EE7C2F4"/>
    <w:rsid w:val="3F371B56"/>
    <w:rsid w:val="3F792ED8"/>
    <w:rsid w:val="3F9F3A96"/>
    <w:rsid w:val="3FECA4B2"/>
    <w:rsid w:val="3FF58C48"/>
    <w:rsid w:val="42672909"/>
    <w:rsid w:val="42FF6694"/>
    <w:rsid w:val="444C742E"/>
    <w:rsid w:val="48BF60AB"/>
    <w:rsid w:val="493C27E9"/>
    <w:rsid w:val="496F39ED"/>
    <w:rsid w:val="49FF41D3"/>
    <w:rsid w:val="4BE068DB"/>
    <w:rsid w:val="4BF6002B"/>
    <w:rsid w:val="4BFFC6BE"/>
    <w:rsid w:val="4ECE2238"/>
    <w:rsid w:val="51DB4B86"/>
    <w:rsid w:val="51F64DB0"/>
    <w:rsid w:val="55333C3E"/>
    <w:rsid w:val="5F265AD7"/>
    <w:rsid w:val="5F67802D"/>
    <w:rsid w:val="5F7DC4F2"/>
    <w:rsid w:val="5FB36814"/>
    <w:rsid w:val="5FBB8E56"/>
    <w:rsid w:val="5FFB5535"/>
    <w:rsid w:val="64CA39A1"/>
    <w:rsid w:val="69630ADE"/>
    <w:rsid w:val="69BD5F13"/>
    <w:rsid w:val="69FB0B4B"/>
    <w:rsid w:val="6A287C98"/>
    <w:rsid w:val="6BFFE1FB"/>
    <w:rsid w:val="6C2E725E"/>
    <w:rsid w:val="6C4A05C8"/>
    <w:rsid w:val="6D3B1A89"/>
    <w:rsid w:val="6DB7D8A3"/>
    <w:rsid w:val="6EC78701"/>
    <w:rsid w:val="6F7A5481"/>
    <w:rsid w:val="6FFE07A9"/>
    <w:rsid w:val="71BF4EC2"/>
    <w:rsid w:val="72734D90"/>
    <w:rsid w:val="73E75B71"/>
    <w:rsid w:val="7412278C"/>
    <w:rsid w:val="75DDCDA9"/>
    <w:rsid w:val="75FF44B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ToCaption"/>
    <w:basedOn w:val="1"/>
    <w:next w:val="1"/>
    <w:unhideWhenUsed/>
    <w:qFormat/>
    <w:uiPriority w:val="0"/>
    <w:pPr>
      <w:spacing w:beforeLines="0" w:afterLines="0"/>
      <w:ind w:left="200" w:leftChars="200" w:hanging="200" w:hangingChars="200"/>
    </w:pPr>
    <w:rPr>
      <w:rFonts w:hint="default"/>
      <w:sz w:val="24"/>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3"/>
    <w:qFormat/>
    <w:uiPriority w:val="9"/>
    <w:rPr>
      <w:rFonts w:ascii="Times New Roman" w:hAnsi="Times New Roman"/>
      <w:b/>
      <w:bCs/>
      <w:kern w:val="44"/>
      <w:sz w:val="44"/>
      <w:szCs w:val="44"/>
    </w:rPr>
  </w:style>
  <w:style w:type="character" w:customStyle="1" w:styleId="29">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9"/>
    <w:semiHidden/>
    <w:qFormat/>
    <w:uiPriority w:val="99"/>
    <w:rPr>
      <w:rFonts w:ascii="Times New Roman" w:hAnsi="Times New Roman"/>
      <w:kern w:val="2"/>
      <w:sz w:val="18"/>
      <w:szCs w:val="18"/>
    </w:rPr>
  </w:style>
  <w:style w:type="character" w:customStyle="1" w:styleId="32">
    <w:name w:val="标题 3 Char"/>
    <w:basedOn w:val="16"/>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4">
    <w:name w:val="17"/>
    <w:unhideWhenUsed/>
    <w:qFormat/>
    <w:uiPriority w:val="0"/>
    <w:rPr>
      <w:rFonts w:hint="default" w:ascii="Times New Roman" w:hAnsi="Times New Roman" w:eastAsia="Times New Roman"/>
      <w:b/>
      <w:sz w:val="24"/>
    </w:rPr>
  </w:style>
  <w:style w:type="paragraph" w:customStyle="1" w:styleId="35">
    <w:name w:val="BodyText1I2"/>
    <w:basedOn w:val="1"/>
    <w:unhideWhenUsed/>
    <w:qFormat/>
    <w:uiPriority w:val="0"/>
    <w:pPr>
      <w:spacing w:beforeLines="0" w:after="120" w:afterLines="0"/>
      <w:ind w:left="420" w:leftChars="200" w:firstLine="420" w:firstLineChars="200"/>
    </w:pPr>
    <w:rPr>
      <w:rFonts w:hint="default"/>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F:\&#26032;&#24314;&#25991;&#20214;&#22841;\&#24352;&#29840;\2024&#24180;\2023&#24180;&#20915;&#31639;&#20844;&#24320;\&#20915;&#31639;&#20844;&#24320;&#22270;&#20363;.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F:\&#26032;&#24314;&#25991;&#20214;&#22841;\&#24352;&#29840;\2024&#24180;\2023&#24180;&#20915;&#31639;&#20844;&#24320;\&#20915;&#31639;&#20844;&#24320;&#22270;&#20363;.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F:\&#26032;&#24314;&#25991;&#20214;&#22841;\&#24352;&#29840;\2024&#24180;\2023&#24180;&#20915;&#31639;&#20844;&#24320;\&#20915;&#31639;&#20844;&#24320;&#22270;&#2036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7"/>
    </mc:Choice>
    <mc:Fallback>
      <c:style val="7"/>
    </mc:Fallback>
  </mc:AlternateContent>
  <c:chart>
    <c:title>
      <c:tx>
        <c:rich>
          <a:bodyPr rot="0" spcFirstLastPara="1" vertOverflow="ellipsis" vert="horz" wrap="square" anchor="ctr" anchorCtr="1"/>
          <a:lstStyle/>
          <a:p>
            <a:pPr>
              <a:defRPr lang="zh-CN" sz="1600" b="1" i="0" u="none" strike="noStrike" kern="1200" baseline="0">
                <a:solidFill>
                  <a:schemeClr val="tx1">
                    <a:lumMod val="65000"/>
                    <a:lumOff val="35000"/>
                  </a:schemeClr>
                </a:solidFill>
                <a:latin typeface="+mn-lt"/>
                <a:ea typeface="+mn-ea"/>
                <a:cs typeface="+mn-cs"/>
              </a:defRPr>
            </a:pPr>
            <a:r>
              <a:rPr lang="zh-CN"/>
              <a:t>一般公共预算财政拨款支出决算变动情况</a:t>
            </a:r>
            <a:endParaRPr lang="zh-CN"/>
          </a:p>
        </c:rich>
      </c:tx>
      <c:layout/>
      <c:overlay val="0"/>
      <c:spPr>
        <a:noFill/>
        <a:ln>
          <a:noFill/>
        </a:ln>
        <a:effectLst/>
      </c:spPr>
    </c:title>
    <c:autoTitleDeleted val="0"/>
    <c:plotArea>
      <c:layout/>
      <c:barChart>
        <c:barDir val="col"/>
        <c:grouping val="clustered"/>
        <c:varyColors val="0"/>
        <c:ser>
          <c:idx val="0"/>
          <c:order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dLbl>
              <c:idx val="0"/>
              <c:layout>
                <c:manualLayout>
                  <c:x val="-0.00793650793650798"/>
                  <c:y val="0.11111111111111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238095238095239"/>
                  <c:y val="0.17592592592592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'[决算公开图例.xlsx]决算图例 (2)'!$A$79:$A$80</c:f>
              <c:strCache>
                <c:ptCount val="2"/>
                <c:pt idx="0">
                  <c:v>2022年</c:v>
                </c:pt>
                <c:pt idx="1">
                  <c:v>2023年</c:v>
                </c:pt>
              </c:strCache>
            </c:strRef>
          </c:cat>
          <c:val>
            <c:numRef>
              <c:f>'[决算公开图例.xlsx]决算图例 (2)'!$B$79:$B$80</c:f>
              <c:numCache>
                <c:formatCode>#,##0.00</c:formatCode>
                <c:ptCount val="2"/>
                <c:pt idx="0">
                  <c:v>848.87</c:v>
                </c:pt>
                <c:pt idx="1">
                  <c:v>891.61</c:v>
                </c:pt>
              </c:numCache>
            </c:numRef>
          </c:val>
        </c:ser>
        <c:dLbls>
          <c:showLegendKey val="0"/>
          <c:showVal val="0"/>
          <c:showCatName val="0"/>
          <c:showSerName val="0"/>
          <c:showPercent val="0"/>
          <c:showBubbleSize val="0"/>
        </c:dLbls>
        <c:gapWidth val="100"/>
        <c:overlap val="-24"/>
        <c:axId val="282728032"/>
        <c:axId val="282728424"/>
      </c:barChart>
      <c:catAx>
        <c:axId val="282728032"/>
        <c:scaling>
          <c:orientation val="minMax"/>
        </c:scaling>
        <c:delete val="0"/>
        <c:axPos val="b"/>
        <c:title>
          <c:tx>
            <c:rich>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r>
                  <a:rPr lang="zh-CN"/>
                  <a:t>单位：万元</a:t>
                </a:r>
                <a:endParaRPr lang="zh-CN"/>
              </a:p>
            </c:rich>
          </c:tx>
          <c:layout/>
          <c:overlay val="0"/>
          <c:spPr>
            <a:noFill/>
            <a:ln>
              <a:noFill/>
            </a:ln>
            <a:effectLst/>
          </c:spPr>
        </c:title>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82728424"/>
        <c:crosses val="autoZero"/>
        <c:auto val="1"/>
        <c:lblAlgn val="ctr"/>
        <c:lblOffset val="100"/>
        <c:noMultiLvlLbl val="0"/>
      </c:catAx>
      <c:valAx>
        <c:axId val="282728424"/>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82728032"/>
        <c:crosses val="autoZero"/>
        <c:crossBetween val="between"/>
      </c:valAx>
      <c:spPr>
        <a:noFill/>
        <a:ln>
          <a:noFill/>
        </a:ln>
        <a:effectLst/>
      </c:spPr>
    </c:plotArea>
    <c:plotVisOnly val="1"/>
    <c:dispBlanksAs val="gap"/>
    <c:showDLblsOverMax val="0"/>
  </c:chart>
  <c:spPr>
    <a:solidFill>
      <a:schemeClr val="bg1"/>
    </a:solidFill>
    <a:ln w="15875" cap="flat" cmpd="sng" algn="ctr">
      <a:solidFill>
        <a:schemeClr val="tx1"/>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zh-CN"/>
              <a:t>一般公共预算财政拨款支出决算结构</a:t>
            </a:r>
            <a:endParaRPr lang="zh-CN"/>
          </a:p>
        </c:rich>
      </c:tx>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680555555555555"/>
          <c:y val="0.243308544765238"/>
          <c:w val="0.813888888888889"/>
          <c:h val="0.439654418197725"/>
        </c:manualLayout>
      </c:layout>
      <c:pie3DChart>
        <c:varyColors val="1"/>
        <c:ser>
          <c:idx val="0"/>
          <c:order val="0"/>
          <c:spPr/>
          <c:explosion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c:spPr>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c:spPr>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c:spPr>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lt1">
                        <a:lumMod val="85000"/>
                      </a:schemeClr>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a:solidFill>
                        <a:schemeClr val="lt1">
                          <a:lumMod val="95000"/>
                          <a:alpha val="54000"/>
                        </a:schemeClr>
                      </a:solidFill>
                    </a:ln>
                    <a:effectLst/>
                  </c:spPr>
                </c15:leaderLines>
              </c:ext>
            </c:extLst>
          </c:dLbls>
          <c:cat>
            <c:strRef>
              <c:f>'[决算公开图例.xlsx]决算图例 (2)'!$A$98:$A$101</c:f>
              <c:strCache>
                <c:ptCount val="4"/>
                <c:pt idx="0">
                  <c:v>社会保障和就业支出</c:v>
                </c:pt>
                <c:pt idx="1">
                  <c:v>卫生健康支出</c:v>
                </c:pt>
                <c:pt idx="2">
                  <c:v>交通运输支出</c:v>
                </c:pt>
                <c:pt idx="3">
                  <c:v>住房保障支出</c:v>
                </c:pt>
              </c:strCache>
            </c:strRef>
          </c:cat>
          <c:val>
            <c:numRef>
              <c:f>'[决算公开图例.xlsx]决算图例 (2)'!$B$98:$B$101</c:f>
              <c:numCache>
                <c:formatCode>#,##0.00</c:formatCode>
                <c:ptCount val="4"/>
                <c:pt idx="0">
                  <c:v>121.45</c:v>
                </c:pt>
                <c:pt idx="1">
                  <c:v>17.61</c:v>
                </c:pt>
                <c:pt idx="2">
                  <c:v>703.81</c:v>
                </c:pt>
                <c:pt idx="3">
                  <c:v>48.74</c:v>
                </c:pt>
              </c:numCache>
            </c:numRef>
          </c:val>
        </c:ser>
        <c:dLbls>
          <c:showLegendKey val="0"/>
          <c:showVal val="0"/>
          <c:showCatName val="0"/>
          <c:showSerName val="0"/>
          <c:showPercent val="0"/>
          <c:showBubbleSize val="0"/>
        </c:dLbls>
      </c:pie3D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lt1">
                  <a:lumMod val="85000"/>
                </a:schemeClr>
              </a:solidFill>
              <a:latin typeface="+mn-lt"/>
              <a:ea typeface="+mn-ea"/>
              <a:cs typeface="+mn-cs"/>
            </a:defRPr>
          </a:pPr>
        </a:p>
      </c:txPr>
    </c:legend>
    <c:plotVisOnly val="1"/>
    <c:dispBlanksAs val="gap"/>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zh-CN"/>
              <a:t>“三公”经费财政拨款支出结构</a:t>
            </a:r>
            <a:endParaRPr lang="zh-CN"/>
          </a:p>
        </c:rich>
      </c:tx>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305555555555556"/>
          <c:y val="0.200925925925926"/>
          <c:w val="0.680870734908136"/>
          <c:h val="0.799074074074074"/>
        </c:manualLayout>
      </c:layout>
      <c:pie3DChart>
        <c:varyColors val="1"/>
        <c:ser>
          <c:idx val="0"/>
          <c:order val="0"/>
          <c:spPr/>
          <c:explosion val="0"/>
          <c:dPt>
            <c:idx val="0"/>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c:spPr>
          </c:dPt>
          <c:dPt>
            <c:idx val="1"/>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c:spPr>
          </c:dPt>
          <c:dPt>
            <c:idx val="2"/>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c:spPr>
          </c:dPt>
          <c:dLbls>
            <c:dLbl>
              <c:idx val="0"/>
              <c:layout>
                <c:manualLayout>
                  <c:x val="-0.247222222222222"/>
                  <c:y val="0.0833333333333333"/>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dLbl>
              <c:idx val="1"/>
              <c:layout>
                <c:manualLayout>
                  <c:x val="0.113888888888889"/>
                  <c:y val="-0.291666666666667"/>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dLbl>
              <c:idx val="2"/>
              <c:layout>
                <c:manualLayout>
                  <c:x val="-0.0222222222222223"/>
                  <c:y val="0.194444444444444"/>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lt1">
                        <a:lumMod val="85000"/>
                      </a:schemeClr>
                    </a:solidFill>
                    <a:latin typeface="+mn-lt"/>
                    <a:ea typeface="+mn-ea"/>
                    <a:cs typeface="+mn-cs"/>
                  </a:defRPr>
                </a:pPr>
              </a:p>
            </c:txPr>
            <c:dLblPos val="outEnd"/>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a:solidFill>
                        <a:schemeClr val="lt1">
                          <a:lumMod val="95000"/>
                          <a:alpha val="54000"/>
                        </a:schemeClr>
                      </a:solidFill>
                    </a:ln>
                    <a:effectLst/>
                  </c:spPr>
                </c15:leaderLines>
              </c:ext>
            </c:extLst>
          </c:dLbls>
          <c:cat>
            <c:strRef>
              <c:f>'[决算公开图例.xlsx]决算图例 (2)'!$A$118:$A$120</c:f>
              <c:strCache>
                <c:ptCount val="3"/>
                <c:pt idx="0">
                  <c:v>因公出国（境）费用</c:v>
                </c:pt>
                <c:pt idx="1">
                  <c:v>公务用车购置及运行费</c:v>
                </c:pt>
                <c:pt idx="2">
                  <c:v>公务接待费</c:v>
                </c:pt>
              </c:strCache>
            </c:strRef>
          </c:cat>
          <c:val>
            <c:numRef>
              <c:f>'[决算公开图例.xlsx]决算图例 (2)'!$B$118:$B$120</c:f>
              <c:numCache>
                <c:formatCode>General</c:formatCode>
                <c:ptCount val="3"/>
                <c:pt idx="0">
                  <c:v>0</c:v>
                </c:pt>
                <c:pt idx="1">
                  <c:v>16.13</c:v>
                </c:pt>
                <c:pt idx="2">
                  <c:v>0.77</c:v>
                </c:pt>
              </c:numCache>
            </c:numRef>
          </c:val>
        </c:ser>
        <c:dLbls>
          <c:showLegendKey val="0"/>
          <c:showVal val="0"/>
          <c:showCatName val="0"/>
          <c:showSerName val="0"/>
          <c:showPercent val="1"/>
          <c:showBubbleSize val="0"/>
        </c:dLbls>
      </c:pie3D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lt1">
                  <a:lumMod val="85000"/>
                </a:schemeClr>
              </a:solidFill>
              <a:latin typeface="+mn-lt"/>
              <a:ea typeface="+mn-ea"/>
              <a:cs typeface="+mn-cs"/>
            </a:defRPr>
          </a:pPr>
        </a:p>
      </c:txPr>
    </c:legend>
    <c:plotVisOnly val="1"/>
    <c:dispBlanksAs val="gap"/>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withinLinear" id="18">
  <a:schemeClr val="accent5"/>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2.xml><?xml version="1.0" encoding="utf-8"?>
<cs:chartStyle xmlns:cs="http://schemas.microsoft.com/office/drawing/2012/chartStyle" xmlns:a="http://schemas.openxmlformats.org/drawingml/2006/main" id="268">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3.xml><?xml version="1.0" encoding="utf-8"?>
<cs:chartStyle xmlns:cs="http://schemas.microsoft.com/office/drawing/2012/chartStyle" xmlns:a="http://schemas.openxmlformats.org/drawingml/2006/main" id="268">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3</Pages>
  <Words>900</Words>
  <Characters>5132</Characters>
  <Lines>42</Lines>
  <Paragraphs>12</Paragraphs>
  <TotalTime>42</TotalTime>
  <ScaleCrop>false</ScaleCrop>
  <LinksUpToDate>false</LinksUpToDate>
  <CharactersWithSpaces>6020</CharactersWithSpaces>
  <Application>WPS Office_11.8.2.8808_F1E327BC-269C-435d-A152-05C5408002CA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2024-09-25T07:55:00Z</dcterms:created>
  <dc:creator>曹颖</dc:creator>
  <cp:lastModifiedBy>瓦</cp:lastModifiedBy>
  <cp:lastPrinted>2023-08-03T02:35:00Z</cp:lastPrinted>
  <dcterms:modified xsi:type="dcterms:W3CDTF">2024-10-18T03:51:46Z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