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bookmarkEnd w:id="0"/>
    <w:p>
      <w:pPr>
        <w:adjustRightInd w:val="0"/>
        <w:snapToGrid w:val="0"/>
        <w:spacing w:line="360" w:lineRule="auto"/>
        <w:jc w:val="center"/>
        <w:outlineLvl w:val="0"/>
        <w:rPr>
          <w:rFonts w:hint="eastAsia" w:ascii="方正小标宋简体" w:hAnsi="方正小标宋简体" w:eastAsia="方正小标宋简体" w:cs="方正小标宋简体"/>
          <w:color w:val="000000"/>
          <w:sz w:val="72"/>
          <w:szCs w:val="72"/>
        </w:rPr>
      </w:pPr>
      <w:bookmarkStart w:id="1" w:name="_Toc15377425"/>
      <w:bookmarkStart w:id="2" w:name="_Toc15377193"/>
      <w:bookmarkStart w:id="3" w:name="_Toc15396597"/>
      <w:bookmarkStart w:id="4" w:name="_Toc15378441"/>
      <w:bookmarkStart w:id="5" w:name="_Toc15396475"/>
      <w:r>
        <w:rPr>
          <w:rFonts w:hint="eastAsia" w:ascii="方正小标宋简体" w:hAnsi="方正小标宋简体" w:eastAsia="方正小标宋简体" w:cs="方正小标宋简体"/>
          <w:color w:val="000000"/>
          <w:sz w:val="72"/>
          <w:szCs w:val="72"/>
        </w:rPr>
        <w:t>2019年度</w:t>
      </w:r>
      <w:bookmarkEnd w:id="1"/>
      <w:bookmarkEnd w:id="2"/>
      <w:bookmarkEnd w:id="3"/>
      <w:bookmarkEnd w:id="4"/>
      <w:bookmarkEnd w:id="5"/>
      <w:bookmarkStart w:id="6" w:name="_Toc15377194"/>
      <w:bookmarkStart w:id="7" w:name="_Toc15396476"/>
      <w:bookmarkStart w:id="8" w:name="_Toc15377426"/>
      <w:bookmarkStart w:id="9" w:name="_Toc15396598"/>
      <w:bookmarkStart w:id="10" w:name="_Toc15378442"/>
    </w:p>
    <w:p>
      <w:pPr>
        <w:adjustRightInd w:val="0"/>
        <w:snapToGrid w:val="0"/>
        <w:spacing w:line="360" w:lineRule="auto"/>
        <w:jc w:val="left"/>
        <w:outlineLvl w:val="0"/>
        <w:rPr>
          <w:rFonts w:hint="eastAsia" w:ascii="方正小标宋简体" w:hAnsi="方正小标宋简体" w:eastAsia="方正小标宋简体" w:cs="方正小标宋简体"/>
          <w:color w:val="000000"/>
          <w:spacing w:val="-23"/>
          <w:sz w:val="72"/>
          <w:szCs w:val="72"/>
          <w:lang w:eastAsia="zh-CN"/>
        </w:rPr>
      </w:pPr>
      <w:r>
        <w:rPr>
          <w:rFonts w:hint="eastAsia" w:ascii="方正小标宋简体" w:hAnsi="方正小标宋简体" w:eastAsia="方正小标宋简体" w:cs="方正小标宋简体"/>
          <w:color w:val="000000"/>
          <w:spacing w:val="-23"/>
          <w:sz w:val="72"/>
          <w:szCs w:val="72"/>
        </w:rPr>
        <w:t>乐山市</w:t>
      </w:r>
      <w:bookmarkStart w:id="11" w:name="_Toc15306268"/>
      <w:r>
        <w:rPr>
          <w:rFonts w:hint="eastAsia" w:ascii="方正小标宋简体" w:hAnsi="方正小标宋简体" w:eastAsia="方正小标宋简体" w:cs="方正小标宋简体"/>
          <w:color w:val="000000"/>
          <w:spacing w:val="-23"/>
          <w:sz w:val="72"/>
          <w:szCs w:val="72"/>
          <w:lang w:eastAsia="zh-CN"/>
        </w:rPr>
        <w:t>民族宗教事务委员会</w:t>
      </w:r>
    </w:p>
    <w:p>
      <w:pPr>
        <w:adjustRightInd w:val="0"/>
        <w:snapToGrid w:val="0"/>
        <w:spacing w:line="360" w:lineRule="auto"/>
        <w:ind w:firstLine="2880" w:firstLineChars="400"/>
        <w:jc w:val="both"/>
        <w:outlineLvl w:val="0"/>
        <w:rPr>
          <w:rFonts w:hint="eastAsia" w:ascii="方正小标宋简体" w:hAnsi="方正小标宋简体" w:eastAsia="方正小标宋简体" w:cs="方正小标宋简体"/>
          <w:color w:val="000000"/>
          <w:sz w:val="72"/>
          <w:szCs w:val="72"/>
        </w:rPr>
      </w:pPr>
      <w:r>
        <w:rPr>
          <w:rFonts w:hint="eastAsia" w:ascii="方正小标宋简体" w:hAnsi="方正小标宋简体" w:eastAsia="方正小标宋简体" w:cs="方正小标宋简体"/>
          <w:color w:val="000000"/>
          <w:sz w:val="72"/>
          <w:szCs w:val="72"/>
        </w:rPr>
        <w:t>部门决算</w:t>
      </w:r>
      <w:bookmarkEnd w:id="6"/>
      <w:bookmarkEnd w:id="7"/>
      <w:bookmarkEnd w:id="8"/>
      <w:bookmarkEnd w:id="9"/>
      <w:bookmarkEnd w:id="10"/>
      <w:bookmarkEnd w:id="11"/>
    </w:p>
    <w:p>
      <w:pPr>
        <w:widowControl/>
        <w:jc w:val="center"/>
        <w:rPr>
          <w:rFonts w:hint="eastAsia" w:ascii="方正小标宋简体" w:hAnsi="方正小标宋简体" w:eastAsia="方正小标宋简体" w:cs="方正小标宋简体"/>
          <w:color w:val="000000"/>
          <w:sz w:val="44"/>
          <w:szCs w:val="44"/>
        </w:rPr>
      </w:pPr>
      <w:r>
        <w:rPr>
          <w:rFonts w:ascii="方正小标宋简体" w:hAnsi="宋体" w:eastAsia="方正小标宋简体"/>
          <w:color w:val="000000"/>
          <w:sz w:val="36"/>
          <w:szCs w:val="36"/>
        </w:rPr>
        <w:br w:type="page"/>
      </w:r>
      <w:r>
        <w:rPr>
          <w:rFonts w:hint="eastAsia" w:ascii="方正小标宋简体" w:hAnsi="方正小标宋简体" w:eastAsia="方正小标宋简体" w:cs="方正小标宋简体"/>
          <w:color w:val="000000"/>
          <w:sz w:val="44"/>
          <w:szCs w:val="44"/>
        </w:rPr>
        <w:t>目录</w:t>
      </w:r>
    </w:p>
    <w:p>
      <w:pPr>
        <w:widowControl/>
        <w:jc w:val="center"/>
        <w:rPr>
          <w:rFonts w:ascii="黑体" w:hAnsi="黑体" w:eastAsia="黑体" w:cstheme="minorBidi"/>
          <w:sz w:val="28"/>
          <w:szCs w:val="28"/>
        </w:rPr>
      </w:pPr>
    </w:p>
    <w:p>
      <w:pPr>
        <w:pStyle w:val="10"/>
      </w:pPr>
      <w:r>
        <w:rPr>
          <w:rFonts w:hint="eastAsia"/>
        </w:rPr>
        <w:t>公开时间：2020年9月</w:t>
      </w:r>
      <w:r>
        <w:rPr>
          <w:rFonts w:hint="eastAsia"/>
          <w:lang w:val="en-US" w:eastAsia="zh-CN"/>
        </w:rPr>
        <w:t>24</w:t>
      </w:r>
      <w:r>
        <w:rPr>
          <w:rFonts w:hint="eastAsia"/>
        </w:rPr>
        <w:t>日</w:t>
      </w:r>
    </w:p>
    <w:p/>
    <w:p>
      <w:pPr>
        <w:pStyle w:val="10"/>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第一部分部门概况</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一、基本职能及主要工作</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w:t>
      </w:r>
    </w:p>
    <w:p>
      <w:pPr>
        <w:pStyle w:val="10"/>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第二部分度部门决算情况说明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四、财政拨款收入支出决算总体情况说明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七、“三公”经费财政拨款支出决算情况说明</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八、政府性基金预算支出决算情况说明</w:t>
      </w:r>
    </w:p>
    <w:p>
      <w:pPr>
        <w:pStyle w:val="11"/>
        <w:keepNext w:val="0"/>
        <w:keepLines w:val="0"/>
        <w:pageBreakBefore w:val="0"/>
        <w:kinsoku/>
        <w:wordWrap/>
        <w:overflowPunct/>
        <w:topLinePunct w:val="0"/>
        <w:autoSpaceDE/>
        <w:autoSpaceDN/>
        <w:bidi w:val="0"/>
        <w:adjustRightInd w:val="0"/>
        <w:snapToGrid w:val="0"/>
        <w:spacing w:line="560" w:lineRule="exact"/>
        <w:ind w:lef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九、国有资本经营预算支出决算情况说明</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rPr>
      </w:pPr>
      <w:r>
        <w:rPr>
          <w:rStyle w:val="18"/>
          <w:rFonts w:hint="eastAsia" w:ascii="仿宋_GB2312" w:hAnsi="仿宋_GB2312" w:eastAsia="仿宋_GB2312" w:cs="仿宋_GB2312"/>
          <w:color w:val="000000" w:themeColor="text1"/>
          <w:sz w:val="32"/>
          <w:szCs w:val="32"/>
          <w:u w:val="none"/>
          <w14:textFill>
            <w14:solidFill>
              <w14:schemeClr w14:val="tx1"/>
            </w14:solidFill>
          </w14:textFill>
        </w:rPr>
        <w:t>十、</w:t>
      </w:r>
      <w:r>
        <w:rPr>
          <w:rFonts w:hint="eastAsia" w:ascii="仿宋_GB2312" w:hAnsi="仿宋_GB2312" w:eastAsia="仿宋_GB2312" w:cs="仿宋_GB2312"/>
          <w:sz w:val="32"/>
          <w:szCs w:val="32"/>
        </w:rPr>
        <w:t>其他重要事项的情况说明</w:t>
      </w:r>
      <w:r>
        <w:rPr>
          <w:rFonts w:hint="eastAsia" w:ascii="仿宋_GB2312" w:hAnsi="仿宋_GB2312" w:eastAsia="仿宋_GB2312" w:cs="仿宋_GB2312"/>
          <w:sz w:val="32"/>
          <w:szCs w:val="32"/>
        </w:rPr>
        <w:tab/>
      </w:r>
    </w:p>
    <w:p>
      <w:pPr>
        <w:pStyle w:val="10"/>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第三部分名词解释</w:t>
      </w:r>
    </w:p>
    <w:p>
      <w:pPr>
        <w:pStyle w:val="10"/>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第四部分附件</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w:t>
      </w:r>
    </w:p>
    <w:p>
      <w:pPr>
        <w:pStyle w:val="10"/>
        <w:keepNext w:val="0"/>
        <w:keepLines w:val="0"/>
        <w:pageBreakBefore w:val="0"/>
        <w:kinsoku/>
        <w:wordWrap/>
        <w:overflowPunct/>
        <w:topLinePunct w:val="0"/>
        <w:autoSpaceDE/>
        <w:autoSpaceDN/>
        <w:bidi w:val="0"/>
        <w:adjustRightInd w:val="0"/>
        <w:snapToGrid w:val="0"/>
        <w:spacing w:before="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第五部分附表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五、财政拨款支出决算明细表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七、一般公共预算财政拨款支出决算明细表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八、一般公共预算财政拨款基本支出决算表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九、一般公共预算财政拨款项目支出决算表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十、一般公共预算财政拨款“三公”经费支出决算表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十一、政府性基金预算财政拨款收入支出决算表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十二、政府性基金预算财政拨款“三公”经费支出决算表</w:t>
      </w:r>
    </w:p>
    <w:p>
      <w:pPr>
        <w:pStyle w:val="11"/>
        <w:keepNext w:val="0"/>
        <w:keepLines w:val="0"/>
        <w:pageBreakBefore w:val="0"/>
        <w:kinsoku/>
        <w:wordWrap/>
        <w:overflowPunct/>
        <w:topLinePunct w:val="0"/>
        <w:autoSpaceDE/>
        <w:autoSpaceDN/>
        <w:bidi w:val="0"/>
        <w:adjustRightInd w:val="0"/>
        <w:snapToGrid w:val="0"/>
        <w:spacing w:line="560" w:lineRule="exact"/>
        <w:jc w:val="left"/>
        <w:textAlignment w:val="auto"/>
        <w:rPr>
          <w:rFonts w:hint="eastAsia" w:ascii="黑体" w:hAnsi="黑体" w:eastAsia="黑体"/>
          <w:b w:val="0"/>
        </w:rPr>
      </w:pPr>
      <w:r>
        <w:rPr>
          <w:rFonts w:hint="eastAsia" w:ascii="仿宋_GB2312" w:hAnsi="仿宋_GB2312" w:eastAsia="仿宋_GB2312" w:cs="仿宋_GB2312"/>
          <w:sz w:val="32"/>
          <w:szCs w:val="32"/>
        </w:rPr>
        <w:t>十三、国有资本经营预算支出决算表</w:t>
      </w:r>
      <w:bookmarkStart w:id="12" w:name="_Toc15396602"/>
      <w:bookmarkStart w:id="13" w:name="_Toc15377204"/>
    </w:p>
    <w:p>
      <w:pPr>
        <w:pStyle w:val="2"/>
        <w:jc w:val="center"/>
        <w:rPr>
          <w:rFonts w:hint="eastAsia" w:ascii="黑体" w:hAnsi="黑体" w:eastAsia="黑体"/>
          <w:b w:val="0"/>
        </w:rPr>
      </w:pPr>
    </w:p>
    <w:p>
      <w:pPr>
        <w:pStyle w:val="2"/>
        <w:jc w:val="both"/>
        <w:rPr>
          <w:rFonts w:hint="eastAsia" w:ascii="黑体" w:hAnsi="黑体" w:eastAsia="黑体"/>
          <w:b w:val="0"/>
        </w:rPr>
      </w:pPr>
    </w:p>
    <w:p>
      <w:pPr>
        <w:rPr>
          <w:rFonts w:hint="eastAsia"/>
        </w:rPr>
      </w:pPr>
    </w:p>
    <w:p>
      <w:pPr>
        <w:pStyle w:val="2"/>
        <w:ind w:firstLine="2200" w:firstLineChars="500"/>
        <w:jc w:val="both"/>
        <w:rPr>
          <w:rStyle w:val="33"/>
          <w:rFonts w:ascii="黑体" w:hAnsi="黑体" w:eastAsia="黑体"/>
          <w:b/>
          <w:bCs w:val="0"/>
        </w:rPr>
      </w:pPr>
      <w:r>
        <w:rPr>
          <w:rFonts w:hint="eastAsia" w:ascii="黑体" w:hAnsi="黑体" w:eastAsia="黑体"/>
          <w:b w:val="0"/>
        </w:rPr>
        <w:t xml:space="preserve">第一部分 </w:t>
      </w:r>
      <w:r>
        <w:rPr>
          <w:rStyle w:val="33"/>
          <w:rFonts w:hint="eastAsia" w:ascii="黑体" w:hAnsi="黑体" w:eastAsia="黑体"/>
          <w:b w:val="0"/>
          <w:bCs w:val="0"/>
        </w:rPr>
        <w:t>部门概况</w:t>
      </w:r>
    </w:p>
    <w:p>
      <w:pPr>
        <w:pStyle w:val="3"/>
        <w:pageBreakBefore w:val="0"/>
        <w:kinsoku/>
        <w:wordWrap/>
        <w:overflowPunct/>
        <w:topLinePunct w:val="0"/>
        <w:autoSpaceDE/>
        <w:autoSpaceDN/>
        <w:bidi w:val="0"/>
        <w:adjustRightInd/>
        <w:snapToGrid/>
        <w:spacing w:line="560" w:lineRule="exact"/>
        <w:ind w:firstLine="640" w:firstLineChars="200"/>
        <w:jc w:val="both"/>
        <w:textAlignment w:val="auto"/>
        <w:rPr>
          <w:rStyle w:val="34"/>
          <w:rFonts w:hint="eastAsia" w:ascii="黑体" w:hAnsi="黑体" w:eastAsia="黑体"/>
          <w:b w:val="0"/>
          <w:bCs w:val="0"/>
        </w:rPr>
      </w:pPr>
      <w:bookmarkStart w:id="14" w:name="_Toc15396600"/>
      <w:bookmarkStart w:id="15" w:name="_Toc15377197"/>
      <w:r>
        <w:rPr>
          <w:rFonts w:hint="eastAsia" w:ascii="黑体" w:hAnsi="黑体" w:eastAsia="黑体"/>
          <w:b w:val="0"/>
          <w:color w:val="000000"/>
        </w:rPr>
        <w:t>一、基</w:t>
      </w:r>
      <w:r>
        <w:rPr>
          <w:rStyle w:val="34"/>
          <w:rFonts w:hint="eastAsia" w:ascii="黑体" w:hAnsi="黑体" w:eastAsia="黑体"/>
          <w:b w:val="0"/>
          <w:bCs w:val="0"/>
        </w:rPr>
        <w:t>本职能及主要工作</w:t>
      </w:r>
      <w:bookmarkEnd w:id="14"/>
      <w:bookmarkEnd w:id="15"/>
      <w:bookmarkStart w:id="16" w:name="_Toc15377199"/>
      <w:bookmarkStart w:id="17" w:name="_Toc15378446"/>
    </w:p>
    <w:p>
      <w:pPr>
        <w:pStyle w:val="3"/>
        <w:pageBreakBefore w:val="0"/>
        <w:kinsoku/>
        <w:wordWrap/>
        <w:overflowPunct/>
        <w:topLinePunct w:val="0"/>
        <w:autoSpaceDE/>
        <w:autoSpaceDN/>
        <w:bidi w:val="0"/>
        <w:adjustRightInd/>
        <w:snapToGrid/>
        <w:spacing w:line="560" w:lineRule="exact"/>
        <w:ind w:firstLine="643" w:firstLineChars="200"/>
        <w:jc w:val="both"/>
        <w:textAlignment w:val="auto"/>
        <w:rPr>
          <w:rFonts w:hAnsi="仿宋"/>
          <w:b/>
          <w:bCs/>
          <w:color w:val="000000"/>
          <w:sz w:val="32"/>
          <w:szCs w:val="32"/>
        </w:rPr>
      </w:pPr>
      <w:r>
        <w:rPr>
          <w:rFonts w:hint="eastAsia" w:hAnsi="仿宋"/>
          <w:b/>
          <w:bCs/>
          <w:color w:val="000000"/>
          <w:sz w:val="32"/>
          <w:szCs w:val="32"/>
        </w:rPr>
        <w:t>（一）主要职能。</w:t>
      </w:r>
    </w:p>
    <w:p>
      <w:pPr>
        <w:pageBreakBefore w:val="0"/>
        <w:kinsoku/>
        <w:wordWrap/>
        <w:overflowPunct/>
        <w:topLinePunct w:val="0"/>
        <w:autoSpaceDE/>
        <w:autoSpaceDN/>
        <w:bidi w:val="0"/>
        <w:adjustRightInd/>
        <w:snapToGrid/>
        <w:spacing w:line="560" w:lineRule="exact"/>
        <w:ind w:firstLine="787" w:firstLineChars="246"/>
        <w:jc w:val="both"/>
        <w:textAlignment w:val="auto"/>
        <w:rPr>
          <w:rFonts w:ascii="仿宋_GB2312" w:hAnsi="仿宋" w:eastAsia="仿宋_GB2312"/>
          <w:sz w:val="32"/>
          <w:szCs w:val="32"/>
        </w:rPr>
      </w:pPr>
      <w:r>
        <w:rPr>
          <w:rFonts w:ascii="仿宋_GB2312" w:hAnsi="仿宋" w:eastAsia="仿宋_GB2312" w:cs="仿宋_GB2312"/>
          <w:sz w:val="32"/>
          <w:szCs w:val="32"/>
        </w:rPr>
        <w:t>1</w:t>
      </w:r>
      <w:r>
        <w:rPr>
          <w:rFonts w:hint="eastAsia" w:ascii="仿宋_GB2312" w:hAnsi="仿宋" w:eastAsia="仿宋_GB2312" w:cs="仿宋_GB2312"/>
          <w:sz w:val="32"/>
          <w:szCs w:val="32"/>
        </w:rPr>
        <w:t>、贯彻执行党和政府关于民族宗教工作的方针政策和法律法规，依法监督各县（市、区）、市级各部门、各企事业单位贯彻执行民族宗教政策法规；保障少数民族合法权益，联系民族自治县，督促指导民族区域自治法的贯彻落实。</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、组织开展民族宗教理论、民族宗教政策和民族宗教问题等重大课题的调查研究，提出全市民族宗教工作的政策和建议，拟订有关民族宗教事务管理的规范性文件并组织实施。</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、负责协调推动有关部门履行民族宗教工作相关职责，推进民族宗教事务法治化、社会化管理工作，促进民族宗教政策在经济发展和社会事业等相关领域的实施、衔接。</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、深入开展民族团结进步宣传教育活动和民族团结进步创建活动；协调推进本系统依法行政，落实行政执法责任制，依法治理宗教领域的非法、违法活动。</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5</w:t>
      </w:r>
      <w:r>
        <w:rPr>
          <w:rFonts w:hint="eastAsia" w:ascii="仿宋_GB2312" w:hAnsi="仿宋" w:eastAsia="仿宋_GB2312" w:cs="仿宋_GB2312"/>
          <w:sz w:val="32"/>
          <w:szCs w:val="32"/>
        </w:rPr>
        <w:t>、依法保障少数民族合法权益，保护公民宗教信仰自由和正常的宗教活动；协调处理民族宗教关系中的重大事宜，抵御境外利用民族宗教进行的分裂、渗透和破坏活动，维护社会稳定和国家统一。</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6</w:t>
      </w:r>
      <w:r>
        <w:rPr>
          <w:rFonts w:hint="eastAsia" w:ascii="仿宋_GB2312" w:hAnsi="仿宋" w:eastAsia="仿宋_GB2312" w:cs="仿宋_GB2312"/>
          <w:sz w:val="32"/>
          <w:szCs w:val="32"/>
        </w:rPr>
        <w:t>、分析民族地区经济运行情况，协助民族地区拟定经济发展规划，研究提出加快民族地区经济发展的特殊政策措施</w:t>
      </w:r>
      <w:r>
        <w:rPr>
          <w:rFonts w:ascii="仿宋_GB2312" w:hAnsi="仿宋" w:eastAsia="仿宋_GB2312" w:cs="仿宋_GB2312"/>
          <w:sz w:val="32"/>
          <w:szCs w:val="32"/>
        </w:rPr>
        <w:t>;</w:t>
      </w:r>
      <w:r>
        <w:rPr>
          <w:rFonts w:hint="eastAsia" w:ascii="仿宋_GB2312" w:hAnsi="仿宋" w:eastAsia="仿宋_GB2312" w:cs="仿宋_GB2312"/>
          <w:sz w:val="32"/>
          <w:szCs w:val="32"/>
        </w:rPr>
        <w:t>完善城市民族工作机制，健全城市民族工作功能；帮助散杂居少数民族加快经济和社会事业发展。</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7</w:t>
      </w:r>
      <w:r>
        <w:rPr>
          <w:rFonts w:hint="eastAsia" w:ascii="仿宋_GB2312" w:hAnsi="仿宋" w:eastAsia="仿宋_GB2312" w:cs="仿宋_GB2312"/>
          <w:sz w:val="32"/>
          <w:szCs w:val="32"/>
        </w:rPr>
        <w:t>、组织协调民族地区科技发展、对口支援、经济技术协作，配合承办民族地区扶贫开发事宜，研究少数民族和民族地区教育、文化、科技、卫生、体育、新闻出版等方面的特殊问题并提出相关意见，承办相应事务，协助开展少数民族和民族地区对外宣传工作，组织协调民族宗教工作领域对外交流与合作。</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8</w:t>
      </w:r>
      <w:r>
        <w:rPr>
          <w:rFonts w:hint="eastAsia" w:ascii="仿宋_GB2312" w:hAnsi="仿宋" w:eastAsia="仿宋_GB2312" w:cs="仿宋_GB2312"/>
          <w:sz w:val="32"/>
          <w:szCs w:val="32"/>
        </w:rPr>
        <w:t>、协助开展民族地区干部队伍建设的调查研究和少数民族干部的培养、教育和使用等工作，组织对少数民族合法权益维护、妇女儿童状况和散杂居少数民族情况的调查研究。</w:t>
      </w:r>
    </w:p>
    <w:p>
      <w:pPr>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ascii="仿宋_GB2312" w:hAnsi="仿宋" w:eastAsia="仿宋_GB2312"/>
          <w:sz w:val="32"/>
          <w:szCs w:val="32"/>
        </w:rPr>
      </w:pPr>
      <w:r>
        <w:rPr>
          <w:rFonts w:ascii="仿宋_GB2312" w:hAnsi="仿宋" w:eastAsia="仿宋_GB2312" w:cs="仿宋_GB2312"/>
          <w:sz w:val="32"/>
          <w:szCs w:val="32"/>
        </w:rPr>
        <w:t>9</w:t>
      </w:r>
      <w:r>
        <w:rPr>
          <w:rFonts w:hint="eastAsia" w:ascii="仿宋_GB2312" w:hAnsi="仿宋" w:eastAsia="仿宋_GB2312" w:cs="仿宋_GB2312"/>
          <w:sz w:val="32"/>
          <w:szCs w:val="32"/>
        </w:rPr>
        <w:t>、做好少数民族界代表人士、宗教界代表人士的联系和有关服务工作。</w:t>
      </w:r>
    </w:p>
    <w:p>
      <w:pPr>
        <w:pageBreakBefore w:val="0"/>
        <w:kinsoku/>
        <w:wordWrap/>
        <w:overflowPunct/>
        <w:topLinePunct w:val="0"/>
        <w:autoSpaceDE/>
        <w:autoSpaceDN/>
        <w:bidi w:val="0"/>
        <w:adjustRightInd/>
        <w:snapToGrid/>
        <w:spacing w:line="560" w:lineRule="exact"/>
        <w:ind w:firstLine="630"/>
        <w:jc w:val="both"/>
        <w:textAlignment w:val="auto"/>
        <w:rPr>
          <w:rFonts w:ascii="仿宋_GB2312" w:hAnsi="仿宋" w:eastAsia="仿宋_GB2312"/>
          <w:sz w:val="32"/>
          <w:szCs w:val="32"/>
        </w:rPr>
      </w:pPr>
      <w:r>
        <w:rPr>
          <w:rFonts w:ascii="仿宋_GB2312" w:hAnsi="仿宋" w:eastAsia="仿宋_GB2312" w:cs="仿宋_GB2312"/>
          <w:sz w:val="32"/>
          <w:szCs w:val="32"/>
        </w:rPr>
        <w:t>10</w:t>
      </w:r>
      <w:r>
        <w:rPr>
          <w:rFonts w:hint="eastAsia" w:ascii="仿宋_GB2312" w:hAnsi="仿宋" w:eastAsia="仿宋_GB2312" w:cs="仿宋_GB2312"/>
          <w:sz w:val="32"/>
          <w:szCs w:val="32"/>
        </w:rPr>
        <w:t>、依法保障少数民族语言文字的使用、推广，指导民族地区少数民族语言文字工作。</w:t>
      </w:r>
    </w:p>
    <w:p>
      <w:pPr>
        <w:pageBreakBefore w:val="0"/>
        <w:kinsoku/>
        <w:wordWrap/>
        <w:overflowPunct/>
        <w:topLinePunct w:val="0"/>
        <w:autoSpaceDE/>
        <w:autoSpaceDN/>
        <w:bidi w:val="0"/>
        <w:adjustRightInd/>
        <w:snapToGrid/>
        <w:spacing w:line="560" w:lineRule="exact"/>
        <w:ind w:firstLine="630"/>
        <w:jc w:val="both"/>
        <w:textAlignment w:val="auto"/>
        <w:rPr>
          <w:rFonts w:ascii="仿宋_GB2312" w:hAnsi="仿宋" w:eastAsia="仿宋_GB2312"/>
          <w:sz w:val="32"/>
          <w:szCs w:val="32"/>
        </w:rPr>
      </w:pPr>
      <w:r>
        <w:rPr>
          <w:rFonts w:ascii="仿宋_GB2312" w:hAnsi="仿宋" w:eastAsia="仿宋_GB2312" w:cs="仿宋_GB2312"/>
          <w:sz w:val="32"/>
          <w:szCs w:val="32"/>
        </w:rPr>
        <w:t>11</w:t>
      </w:r>
      <w:r>
        <w:rPr>
          <w:rFonts w:hint="eastAsia" w:ascii="仿宋_GB2312" w:hAnsi="仿宋" w:eastAsia="仿宋_GB2312" w:cs="仿宋_GB2312"/>
          <w:sz w:val="32"/>
          <w:szCs w:val="32"/>
        </w:rPr>
        <w:t>、承担市政府公布的有关行政审批事项。</w:t>
      </w:r>
    </w:p>
    <w:p>
      <w:pPr>
        <w:pageBreakBefore w:val="0"/>
        <w:kinsoku/>
        <w:wordWrap/>
        <w:overflowPunct/>
        <w:topLinePunct w:val="0"/>
        <w:autoSpaceDE/>
        <w:autoSpaceDN/>
        <w:bidi w:val="0"/>
        <w:adjustRightInd/>
        <w:snapToGrid/>
        <w:spacing w:line="560" w:lineRule="exact"/>
        <w:ind w:firstLine="630"/>
        <w:jc w:val="both"/>
        <w:textAlignment w:val="auto"/>
        <w:rPr>
          <w:rFonts w:ascii="仿宋_GB2312" w:eastAsia="仿宋_GB2312"/>
          <w:sz w:val="32"/>
          <w:szCs w:val="32"/>
        </w:rPr>
      </w:pPr>
      <w:r>
        <w:rPr>
          <w:rFonts w:ascii="仿宋_GB2312" w:eastAsia="仿宋_GB2312" w:cs="仿宋_GB2312"/>
          <w:sz w:val="32"/>
          <w:szCs w:val="32"/>
        </w:rPr>
        <w:t>12</w:t>
      </w:r>
      <w:r>
        <w:rPr>
          <w:rFonts w:hint="eastAsia" w:ascii="仿宋_GB2312" w:eastAsia="仿宋_GB2312" w:cs="仿宋_GB2312"/>
          <w:sz w:val="32"/>
          <w:szCs w:val="32"/>
        </w:rPr>
        <w:t>、承办市政府交办的其它事项。</w:t>
      </w:r>
    </w:p>
    <w:p>
      <w:pPr>
        <w:pStyle w:val="3"/>
        <w:pageBreakBefore w:val="0"/>
        <w:kinsoku/>
        <w:wordWrap/>
        <w:overflowPunct/>
        <w:topLinePunct w:val="0"/>
        <w:autoSpaceDE/>
        <w:autoSpaceDN/>
        <w:bidi w:val="0"/>
        <w:adjustRightInd/>
        <w:snapToGrid/>
        <w:spacing w:line="560" w:lineRule="exact"/>
        <w:ind w:firstLine="321" w:firstLineChars="100"/>
        <w:jc w:val="both"/>
        <w:textAlignment w:val="auto"/>
        <w:rPr>
          <w:rFonts w:hint="eastAsia" w:hAnsi="仿宋"/>
          <w:b/>
          <w:bCs/>
          <w:color w:val="000000"/>
          <w:sz w:val="32"/>
          <w:szCs w:val="32"/>
        </w:rPr>
      </w:pPr>
      <w:r>
        <w:rPr>
          <w:rFonts w:hint="eastAsia" w:hAnsi="仿宋"/>
          <w:b/>
          <w:bCs/>
          <w:color w:val="000000"/>
          <w:sz w:val="32"/>
          <w:szCs w:val="32"/>
        </w:rPr>
        <w:t>（二）2019年重点工作完成情况。</w:t>
      </w:r>
      <w:bookmarkEnd w:id="16"/>
      <w:bookmarkEnd w:id="17"/>
    </w:p>
    <w:p>
      <w:pPr>
        <w:ind w:firstLine="636"/>
        <w:rPr>
          <w:rFonts w:hint="eastAsia" w:ascii="仿宋_GB2312" w:eastAsia="仿宋_GB2312"/>
          <w:sz w:val="32"/>
          <w:szCs w:val="32"/>
          <w:lang w:eastAsia="zh-CN"/>
        </w:rPr>
      </w:pPr>
      <w:r>
        <w:rPr>
          <w:rFonts w:hint="eastAsia" w:ascii="仿宋_GB2312" w:eastAsia="仿宋_GB2312"/>
          <w:sz w:val="32"/>
          <w:szCs w:val="32"/>
          <w:lang w:val="en-US" w:eastAsia="zh-CN"/>
        </w:rPr>
        <w:t>2019年</w:t>
      </w:r>
      <w:r>
        <w:rPr>
          <w:rFonts w:hint="eastAsia" w:ascii="仿宋_GB2312" w:eastAsia="仿宋_GB2312"/>
          <w:sz w:val="32"/>
          <w:szCs w:val="32"/>
        </w:rPr>
        <w:t>，市民族宗教委在市委、市政府及市委统战部的领导下，紧紧围绕“全域开放年”工作部署，以深化民族团结进步创建活动推进民族工作，以创建和谐寺观教堂活动强化宗教依法管理，促进民族团结取得了新进展，维护宗教和谐夺得了新成效。一</w:t>
      </w:r>
      <w:r>
        <w:rPr>
          <w:rFonts w:hint="eastAsia" w:ascii="仿宋_GB2312" w:eastAsia="仿宋_GB2312"/>
          <w:sz w:val="32"/>
          <w:szCs w:val="32"/>
          <w:lang w:eastAsia="zh-CN"/>
        </w:rPr>
        <w:t>是</w:t>
      </w:r>
      <w:r>
        <w:rPr>
          <w:rFonts w:hint="eastAsia" w:ascii="仿宋_GB2312" w:eastAsia="仿宋_GB2312"/>
          <w:sz w:val="32"/>
          <w:szCs w:val="32"/>
        </w:rPr>
        <w:t>持续用力加强政治建设，始终坚持坚定正确的民族宗教工作方向</w:t>
      </w: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是</w:t>
      </w:r>
      <w:r>
        <w:rPr>
          <w:rFonts w:hint="eastAsia" w:ascii="仿宋_GB2312" w:eastAsia="仿宋_GB2312"/>
          <w:sz w:val="32"/>
          <w:szCs w:val="32"/>
        </w:rPr>
        <w:t>持续发力促进民族团结，巩固和提升民族团结进步良好形势</w:t>
      </w: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是</w:t>
      </w:r>
      <w:r>
        <w:rPr>
          <w:rFonts w:hint="eastAsia" w:ascii="仿宋_GB2312" w:eastAsia="仿宋_GB2312"/>
          <w:sz w:val="32"/>
          <w:szCs w:val="32"/>
        </w:rPr>
        <w:t>持续跟进宗教领域依法管理，奋力开创和谐和顺新局面</w:t>
      </w: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是</w:t>
      </w:r>
      <w:r>
        <w:rPr>
          <w:rFonts w:hint="eastAsia" w:ascii="仿宋_GB2312" w:eastAsia="仿宋_GB2312"/>
          <w:sz w:val="32"/>
          <w:szCs w:val="32"/>
        </w:rPr>
        <w:t>持续攀升拓展工作成果，深挖潜力推动来年工作再上新台阶</w:t>
      </w:r>
      <w:r>
        <w:rPr>
          <w:rFonts w:hint="eastAsia" w:ascii="仿宋_GB2312" w:eastAsia="仿宋_GB2312"/>
          <w:sz w:val="32"/>
          <w:szCs w:val="32"/>
          <w:lang w:eastAsia="zh-CN"/>
        </w:rPr>
        <w:t>。</w:t>
      </w:r>
      <w:bookmarkStart w:id="18" w:name="_Toc15396601"/>
      <w:bookmarkStart w:id="19" w:name="_Toc15377200"/>
    </w:p>
    <w:p>
      <w:pPr>
        <w:pStyle w:val="3"/>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b w:val="0"/>
          <w:color w:val="000000"/>
        </w:rPr>
      </w:pPr>
      <w:r>
        <w:rPr>
          <w:rFonts w:hint="eastAsia" w:ascii="黑体" w:hAnsi="黑体" w:eastAsia="黑体"/>
          <w:b w:val="0"/>
          <w:color w:val="000000"/>
        </w:rPr>
        <w:t>二、机构设置</w:t>
      </w:r>
      <w:bookmarkEnd w:id="18"/>
      <w:bookmarkEnd w:id="19"/>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eastAsia="zh-CN"/>
        </w:rPr>
        <w:t>乐山市民族宗教事务委员会</w:t>
      </w:r>
      <w:r>
        <w:rPr>
          <w:rFonts w:hint="eastAsia" w:ascii="仿宋" w:hAnsi="仿宋" w:eastAsia="仿宋"/>
          <w:sz w:val="32"/>
          <w:szCs w:val="32"/>
        </w:rPr>
        <w:t>下属二级单位</w:t>
      </w:r>
      <w:r>
        <w:rPr>
          <w:rFonts w:hint="eastAsia" w:ascii="仿宋" w:hAnsi="仿宋" w:eastAsia="仿宋"/>
          <w:sz w:val="32"/>
          <w:szCs w:val="32"/>
          <w:lang w:val="en-US" w:eastAsia="zh-CN"/>
        </w:rPr>
        <w:t>1</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0</w:t>
      </w:r>
      <w:r>
        <w:rPr>
          <w:rFonts w:hint="eastAsia" w:ascii="仿宋" w:hAnsi="仿宋" w:eastAsia="仿宋"/>
          <w:sz w:val="32"/>
          <w:szCs w:val="32"/>
        </w:rPr>
        <w:t>个，其他事业单位</w:t>
      </w:r>
      <w:r>
        <w:rPr>
          <w:rFonts w:hint="eastAsia" w:ascii="仿宋" w:hAnsi="仿宋" w:eastAsia="仿宋"/>
          <w:sz w:val="32"/>
          <w:szCs w:val="32"/>
          <w:lang w:val="en-US" w:eastAsia="zh-CN"/>
        </w:rPr>
        <w:t>1</w:t>
      </w:r>
      <w:r>
        <w:rPr>
          <w:rFonts w:hint="eastAsia" w:ascii="仿宋" w:hAnsi="仿宋" w:eastAsia="仿宋"/>
          <w:sz w:val="32"/>
          <w:szCs w:val="32"/>
        </w:rPr>
        <w:t>个。</w:t>
      </w:r>
    </w:p>
    <w:p>
      <w:pPr>
        <w:pStyle w:val="5"/>
        <w:keepNext w:val="0"/>
        <w:keepLines w:val="0"/>
        <w:pageBreakBefore w:val="0"/>
        <w:widowControl w:val="0"/>
        <w:kinsoku/>
        <w:wordWrap/>
        <w:overflowPunct/>
        <w:topLinePunct w:val="0"/>
        <w:autoSpaceDE/>
        <w:autoSpaceDN/>
        <w:bidi w:val="0"/>
        <w:adjustRightInd w:val="0"/>
        <w:snapToGrid w:val="0"/>
        <w:spacing w:before="93" w:line="560" w:lineRule="exact"/>
        <w:ind w:firstLine="672" w:firstLineChars="210"/>
        <w:textAlignment w:val="auto"/>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没有</w:t>
      </w:r>
      <w:r>
        <w:rPr>
          <w:rFonts w:hint="eastAsia" w:ascii="仿宋" w:hAnsi="仿宋" w:eastAsia="仿宋"/>
          <w:color w:val="000000"/>
          <w:sz w:val="32"/>
          <w:szCs w:val="32"/>
        </w:rPr>
        <w:t>纳入</w:t>
      </w:r>
      <w:r>
        <w:rPr>
          <w:rFonts w:hint="eastAsia" w:ascii="仿宋" w:hAnsi="仿宋" w:eastAsia="仿宋"/>
          <w:color w:val="000000"/>
          <w:sz w:val="32"/>
          <w:szCs w:val="32"/>
          <w:lang w:eastAsia="zh-CN"/>
        </w:rPr>
        <w:t>乐山市民族宗教事务委员会</w:t>
      </w:r>
      <w:r>
        <w:rPr>
          <w:rFonts w:hint="eastAsia" w:ascii="仿宋" w:hAnsi="仿宋" w:eastAsia="仿宋"/>
          <w:color w:val="000000"/>
          <w:sz w:val="32"/>
          <w:szCs w:val="32"/>
        </w:rPr>
        <w:t>2019年度部门决算编制范围的二级预算单位</w:t>
      </w:r>
      <w:r>
        <w:rPr>
          <w:rFonts w:hint="eastAsia" w:ascii="仿宋" w:hAnsi="仿宋" w:eastAsia="仿宋"/>
          <w:color w:val="000000"/>
          <w:sz w:val="32"/>
          <w:szCs w:val="32"/>
          <w:lang w:eastAsia="zh-CN"/>
        </w:rPr>
        <w:t>。</w:t>
      </w:r>
    </w:p>
    <w:p>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ind w:right="440"/>
        <w:jc w:val="right"/>
        <w:rPr>
          <w:rStyle w:val="27"/>
          <w:rFonts w:ascii="黑体" w:hAnsi="黑体" w:eastAsia="黑体"/>
          <w:b w:val="0"/>
          <w:bCs w:val="0"/>
        </w:rPr>
      </w:pPr>
      <w:r>
        <w:rPr>
          <w:rFonts w:hint="eastAsia" w:ascii="黑体" w:hAnsi="黑体" w:eastAsia="黑体"/>
          <w:b w:val="0"/>
          <w:color w:val="000000"/>
        </w:rPr>
        <w:t>第二部分</w:t>
      </w:r>
      <w:r>
        <w:rPr>
          <w:rStyle w:val="27"/>
          <w:rFonts w:hint="eastAsia" w:ascii="黑体" w:hAnsi="黑体" w:eastAsia="黑体"/>
          <w:b w:val="0"/>
          <w:bCs w:val="0"/>
        </w:rPr>
        <w:t>2019年度部门决算情况说明</w:t>
      </w:r>
      <w:bookmarkEnd w:id="12"/>
      <w:bookmarkEnd w:id="13"/>
    </w:p>
    <w:p/>
    <w:p>
      <w:pPr>
        <w:pStyle w:val="26"/>
        <w:numPr>
          <w:ilvl w:val="0"/>
          <w:numId w:val="2"/>
        </w:numPr>
        <w:spacing w:line="600" w:lineRule="exact"/>
        <w:ind w:firstLineChars="0"/>
        <w:outlineLvl w:val="1"/>
        <w:rPr>
          <w:rStyle w:val="28"/>
          <w:rFonts w:ascii="黑体" w:hAnsi="黑体" w:eastAsia="黑体"/>
          <w:b w:val="0"/>
        </w:rPr>
      </w:pPr>
      <w:bookmarkStart w:id="20" w:name="_Toc15377205"/>
      <w:bookmarkStart w:id="21" w:name="_Toc15396603"/>
      <w:r>
        <w:rPr>
          <w:rFonts w:hint="eastAsia" w:ascii="黑体" w:hAnsi="黑体" w:eastAsia="黑体"/>
          <w:color w:val="000000"/>
          <w:sz w:val="32"/>
          <w:szCs w:val="32"/>
        </w:rPr>
        <w:t>收</w:t>
      </w:r>
      <w:r>
        <w:rPr>
          <w:rStyle w:val="28"/>
          <w:rFonts w:hint="eastAsia" w:ascii="黑体" w:hAnsi="黑体" w:eastAsia="黑体"/>
          <w:b w:val="0"/>
        </w:rPr>
        <w:t>入支出决算总体情况说明</w:t>
      </w:r>
      <w:bookmarkEnd w:id="20"/>
      <w:bookmarkEnd w:id="21"/>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2019年度收、支总计998.76万元。与2018年相比，收、支总计减少2128.01万元，下降68</w:t>
      </w:r>
      <w:r>
        <w:rPr>
          <w:rFonts w:ascii="仿宋" w:hAnsi="仿宋" w:eastAsia="仿宋"/>
          <w:color w:val="000000"/>
          <w:sz w:val="32"/>
          <w:szCs w:val="32"/>
        </w:rPr>
        <w:t>%</w:t>
      </w:r>
      <w:r>
        <w:rPr>
          <w:rFonts w:hint="eastAsia" w:ascii="仿宋" w:hAnsi="仿宋" w:eastAsia="仿宋"/>
          <w:color w:val="000000"/>
          <w:sz w:val="32"/>
          <w:szCs w:val="32"/>
        </w:rPr>
        <w:t>。主要变动原因是减少了</w:t>
      </w:r>
      <w:r>
        <w:rPr>
          <w:rFonts w:hint="eastAsia" w:ascii="仿宋_GB2312" w:hAnsi="仿宋" w:eastAsia="仿宋_GB2312" w:cs="仿宋_GB2312"/>
          <w:sz w:val="32"/>
          <w:szCs w:val="32"/>
        </w:rPr>
        <w:t>天主教主教府建设资金、天主教主教府土地转让金和税金</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drawing>
          <wp:anchor distT="0" distB="0" distL="114300" distR="114300" simplePos="0" relativeHeight="251658240" behindDoc="0" locked="0" layoutInCell="1" allowOverlap="1">
            <wp:simplePos x="0" y="0"/>
            <wp:positionH relativeFrom="column">
              <wp:posOffset>619125</wp:posOffset>
            </wp:positionH>
            <wp:positionV relativeFrom="paragraph">
              <wp:posOffset>448945</wp:posOffset>
            </wp:positionV>
            <wp:extent cx="4591050" cy="2752725"/>
            <wp:effectExtent l="1905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a:srcRect/>
                    <a:stretch>
                      <a:fillRect/>
                    </a:stretch>
                  </pic:blipFill>
                  <pic:spPr>
                    <a:xfrm>
                      <a:off x="0" y="0"/>
                      <a:ext cx="4591050" cy="2752725"/>
                    </a:xfrm>
                    <a:prstGeom prst="rect">
                      <a:avLst/>
                    </a:prstGeom>
                    <a:noFill/>
                    <a:ln w="9525">
                      <a:noFill/>
                      <a:miter lim="800000"/>
                      <a:headEnd/>
                      <a:tailEnd/>
                    </a:ln>
                  </pic:spPr>
                </pic:pic>
              </a:graphicData>
            </a:graphic>
          </wp:anchor>
        </w:drawing>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ind w:firstLine="640" w:firstLineChars="200"/>
        <w:jc w:val="left"/>
        <w:rPr>
          <w:rFonts w:ascii="仿宋_GB2312" w:eastAsia="仿宋_GB2312"/>
          <w:color w:val="000000"/>
          <w:sz w:val="32"/>
          <w:szCs w:val="32"/>
        </w:rPr>
      </w:pPr>
    </w:p>
    <w:p>
      <w:pPr>
        <w:pStyle w:val="26"/>
        <w:numPr>
          <w:ilvl w:val="0"/>
          <w:numId w:val="2"/>
        </w:numPr>
        <w:spacing w:line="600" w:lineRule="exact"/>
        <w:ind w:firstLineChars="0"/>
        <w:outlineLvl w:val="1"/>
        <w:rPr>
          <w:rStyle w:val="28"/>
          <w:rFonts w:ascii="黑体" w:hAnsi="黑体" w:eastAsia="黑体"/>
          <w:b w:val="0"/>
        </w:rPr>
      </w:pPr>
      <w:bookmarkStart w:id="22" w:name="_Toc15396604"/>
      <w:bookmarkStart w:id="23" w:name="_Toc15377206"/>
      <w:r>
        <w:rPr>
          <w:rFonts w:hint="eastAsia" w:ascii="黑体" w:hAnsi="黑体" w:eastAsia="黑体"/>
          <w:color w:val="000000"/>
          <w:sz w:val="32"/>
          <w:szCs w:val="32"/>
        </w:rPr>
        <w:t>收</w:t>
      </w:r>
      <w:r>
        <w:rPr>
          <w:rStyle w:val="28"/>
          <w:rFonts w:hint="eastAsia" w:ascii="黑体" w:hAnsi="黑体" w:eastAsia="黑体"/>
          <w:b w:val="0"/>
        </w:rPr>
        <w:t>入决算情况说明</w:t>
      </w:r>
      <w:bookmarkEnd w:id="22"/>
      <w:bookmarkEnd w:id="23"/>
    </w:p>
    <w:p>
      <w:pPr>
        <w:spacing w:line="600" w:lineRule="exact"/>
        <w:ind w:firstLine="640" w:firstLineChars="200"/>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9年本年收入合计902.85万元，其中：一般公共预算财政拨款收入902.00万元，占100</w:t>
      </w:r>
      <w:r>
        <w:rPr>
          <w:rFonts w:ascii="仿宋" w:hAnsi="仿宋" w:eastAsia="仿宋"/>
          <w:color w:val="000000"/>
          <w:sz w:val="32"/>
          <w:szCs w:val="32"/>
        </w:rPr>
        <w:t>%</w:t>
      </w:r>
      <w:r>
        <w:rPr>
          <w:rFonts w:hint="eastAsia" w:ascii="仿宋" w:hAnsi="仿宋" w:eastAsia="仿宋"/>
          <w:color w:val="000000"/>
          <w:sz w:val="32"/>
          <w:szCs w:val="32"/>
        </w:rPr>
        <w:t>；政府性基金预算财政拨款收入0万元，占0</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themeColor="text1"/>
          <w:sz w:val="32"/>
          <w:szCs w:val="32"/>
          <w14:textFill>
            <w14:solidFill>
              <w14:schemeClr w14:val="tx1"/>
            </w14:solidFill>
          </w14:textFill>
        </w:rPr>
        <w:t>上级补助收入0</w:t>
      </w:r>
      <w:r>
        <w:rPr>
          <w:rFonts w:hint="eastAsia" w:ascii="仿宋" w:hAnsi="仿宋" w:eastAsia="仿宋"/>
          <w:color w:val="000000"/>
          <w:sz w:val="32"/>
          <w:szCs w:val="32"/>
        </w:rPr>
        <w:t>万元，占0</w:t>
      </w:r>
      <w:r>
        <w:rPr>
          <w:rFonts w:ascii="仿宋" w:hAnsi="仿宋" w:eastAsia="仿宋"/>
          <w:color w:val="000000"/>
          <w:sz w:val="32"/>
          <w:szCs w:val="32"/>
        </w:rPr>
        <w:t>%</w: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；其他收入0.85万元，占0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outlineLvl w:val="1"/>
        <w:rPr>
          <w:rFonts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drawing>
          <wp:anchor distT="0" distB="0" distL="114300" distR="114300" simplePos="0" relativeHeight="251659264" behindDoc="0" locked="0" layoutInCell="1" allowOverlap="1">
            <wp:simplePos x="0" y="0"/>
            <wp:positionH relativeFrom="column">
              <wp:posOffset>323850</wp:posOffset>
            </wp:positionH>
            <wp:positionV relativeFrom="paragraph">
              <wp:posOffset>314325</wp:posOffset>
            </wp:positionV>
            <wp:extent cx="4562475" cy="2752725"/>
            <wp:effectExtent l="19050" t="19050" r="28575" b="28575"/>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srcRect/>
                    <a:stretch>
                      <a:fillRect/>
                    </a:stretch>
                  </pic:blipFill>
                  <pic:spPr>
                    <a:xfrm>
                      <a:off x="0" y="0"/>
                      <a:ext cx="4562475" cy="2752725"/>
                    </a:xfrm>
                    <a:prstGeom prst="rect">
                      <a:avLst/>
                    </a:prstGeom>
                    <a:noFill/>
                    <a:ln w="9525">
                      <a:solidFill>
                        <a:schemeClr val="accent1"/>
                      </a:solidFill>
                      <a:miter lim="800000"/>
                      <a:headEnd/>
                      <a:tailEnd/>
                    </a:ln>
                  </pic:spPr>
                </pic:pic>
              </a:graphicData>
            </a:graphic>
          </wp:anchor>
        </w:drawing>
      </w: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640" w:firstLineChars="200"/>
        <w:rPr>
          <w:rFonts w:ascii="仿宋_GB2312" w:eastAsia="仿宋_GB2312"/>
          <w:color w:val="FF0000"/>
          <w:sz w:val="32"/>
          <w:szCs w:val="32"/>
        </w:rPr>
      </w:pPr>
    </w:p>
    <w:p>
      <w:pPr>
        <w:pStyle w:val="26"/>
        <w:numPr>
          <w:ilvl w:val="0"/>
          <w:numId w:val="2"/>
        </w:numPr>
        <w:spacing w:line="600" w:lineRule="exact"/>
        <w:ind w:firstLineChars="0"/>
        <w:outlineLvl w:val="1"/>
        <w:rPr>
          <w:rStyle w:val="28"/>
          <w:rFonts w:ascii="黑体" w:hAnsi="黑体" w:eastAsia="黑体"/>
          <w:b w:val="0"/>
        </w:rPr>
      </w:pPr>
      <w:bookmarkStart w:id="24" w:name="_Toc15377207"/>
      <w:bookmarkStart w:id="25" w:name="_Toc15396605"/>
      <w:r>
        <w:rPr>
          <w:rFonts w:hint="eastAsia" w:ascii="黑体" w:hAnsi="黑体" w:eastAsia="黑体"/>
          <w:color w:val="000000"/>
          <w:sz w:val="32"/>
          <w:szCs w:val="32"/>
        </w:rPr>
        <w:t>支</w:t>
      </w:r>
      <w:r>
        <w:rPr>
          <w:rStyle w:val="28"/>
          <w:rFonts w:hint="eastAsia" w:ascii="黑体" w:hAnsi="黑体" w:eastAsia="黑体"/>
          <w:b w:val="0"/>
        </w:rPr>
        <w:t>出决算情况说明</w:t>
      </w:r>
      <w:bookmarkEnd w:id="24"/>
      <w:bookmarkEnd w:id="25"/>
    </w:p>
    <w:p>
      <w:pPr>
        <w:spacing w:line="600" w:lineRule="exact"/>
        <w:ind w:firstLine="640" w:firstLineChars="200"/>
        <w:outlineLvl w:val="1"/>
        <w:rPr>
          <w:rFonts w:hint="eastAsia" w:ascii="仿宋" w:hAnsi="仿宋" w:eastAsia="仿宋"/>
          <w:color w:val="000000"/>
          <w:sz w:val="32"/>
          <w:szCs w:val="32"/>
        </w:rPr>
      </w:pPr>
      <w:r>
        <w:rPr>
          <w:rFonts w:ascii="仿宋" w:hAnsi="仿宋" w:eastAsia="仿宋"/>
          <w:color w:val="000000"/>
          <w:sz w:val="32"/>
          <w:szCs w:val="32"/>
        </w:rPr>
        <w:drawing>
          <wp:anchor distT="0" distB="0" distL="114300" distR="114300" simplePos="0" relativeHeight="251660288" behindDoc="0" locked="0" layoutInCell="1" allowOverlap="1">
            <wp:simplePos x="0" y="0"/>
            <wp:positionH relativeFrom="column">
              <wp:posOffset>323850</wp:posOffset>
            </wp:positionH>
            <wp:positionV relativeFrom="paragraph">
              <wp:posOffset>1733550</wp:posOffset>
            </wp:positionV>
            <wp:extent cx="4552950" cy="2733675"/>
            <wp:effectExtent l="19050" t="19050" r="19050" b="28575"/>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a:srcRect/>
                    <a:stretch>
                      <a:fillRect/>
                    </a:stretch>
                  </pic:blipFill>
                  <pic:spPr>
                    <a:xfrm>
                      <a:off x="0" y="0"/>
                      <a:ext cx="4552950" cy="2733675"/>
                    </a:xfrm>
                    <a:prstGeom prst="rect">
                      <a:avLst/>
                    </a:prstGeom>
                    <a:noFill/>
                    <a:ln w="9525">
                      <a:solidFill>
                        <a:schemeClr val="accent1"/>
                      </a:solidFill>
                      <a:miter lim="800000"/>
                      <a:headEnd/>
                      <a:tailEnd/>
                    </a:ln>
                  </pic:spPr>
                </pic:pic>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9年本年支出合计946.50万元，其中：基本支出万元，占64</w:t>
      </w:r>
      <w:r>
        <w:rPr>
          <w:rFonts w:ascii="仿宋" w:hAnsi="仿宋" w:eastAsia="仿宋"/>
          <w:color w:val="000000"/>
          <w:sz w:val="32"/>
          <w:szCs w:val="32"/>
        </w:rPr>
        <w:t>%</w:t>
      </w:r>
      <w:r>
        <w:rPr>
          <w:rFonts w:hint="eastAsia" w:ascii="仿宋" w:hAnsi="仿宋" w:eastAsia="仿宋"/>
          <w:color w:val="000000"/>
          <w:sz w:val="32"/>
          <w:szCs w:val="32"/>
        </w:rPr>
        <w:t>；项目支出343.85万元，占36</w:t>
      </w:r>
      <w:r>
        <w:rPr>
          <w:rFonts w:ascii="仿宋" w:hAnsi="仿宋" w:eastAsia="仿宋"/>
          <w:color w:val="000000"/>
          <w:sz w:val="32"/>
          <w:szCs w:val="32"/>
        </w:rPr>
        <w:t>%</w:t>
      </w:r>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；对附属单位补助602.65支出0万元，占0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640" w:firstLineChars="200"/>
        <w:outlineLvl w:val="1"/>
        <w:rPr>
          <w:rStyle w:val="28"/>
          <w:rFonts w:ascii="黑体" w:hAnsi="黑体" w:eastAsia="黑体"/>
          <w:b w:val="0"/>
        </w:rPr>
      </w:pPr>
      <w:bookmarkStart w:id="26" w:name="_Toc15396606"/>
      <w:bookmarkStart w:id="27" w:name="_Toc15377208"/>
      <w:r>
        <w:rPr>
          <w:rFonts w:hint="eastAsia" w:ascii="黑体" w:hAnsi="黑体" w:eastAsia="黑体"/>
          <w:color w:val="000000"/>
          <w:sz w:val="32"/>
          <w:szCs w:val="32"/>
        </w:rPr>
        <w:t>四、财</w:t>
      </w:r>
      <w:r>
        <w:rPr>
          <w:rStyle w:val="28"/>
          <w:rFonts w:hint="eastAsia" w:ascii="黑体" w:hAnsi="黑体" w:eastAsia="黑体"/>
          <w:b w:val="0"/>
        </w:rPr>
        <w:t>政拨款收入支出决算总体情况说明</w:t>
      </w:r>
      <w:bookmarkEnd w:id="26"/>
      <w:bookmarkEnd w:id="27"/>
    </w:p>
    <w:p>
      <w:pPr>
        <w:spacing w:line="600" w:lineRule="exact"/>
        <w:ind w:firstLine="640"/>
        <w:rPr>
          <w:rFonts w:hint="eastAsia" w:ascii="仿宋" w:hAnsi="仿宋" w:eastAsia="仿宋"/>
          <w:color w:val="000000"/>
          <w:sz w:val="32"/>
          <w:szCs w:val="32"/>
        </w:rPr>
      </w:pPr>
      <w:r>
        <w:rPr>
          <w:rFonts w:ascii="仿宋" w:hAnsi="仿宋" w:eastAsia="仿宋"/>
          <w:color w:val="000000"/>
          <w:sz w:val="32"/>
          <w:szCs w:val="32"/>
        </w:rPr>
        <w:drawing>
          <wp:anchor distT="0" distB="0" distL="114300" distR="114300" simplePos="0" relativeHeight="251661312" behindDoc="0" locked="0" layoutInCell="1" allowOverlap="1">
            <wp:simplePos x="0" y="0"/>
            <wp:positionH relativeFrom="column">
              <wp:posOffset>295275</wp:posOffset>
            </wp:positionH>
            <wp:positionV relativeFrom="paragraph">
              <wp:posOffset>1828800</wp:posOffset>
            </wp:positionV>
            <wp:extent cx="4572000" cy="2733675"/>
            <wp:effectExtent l="19050" t="19050" r="19050" b="2857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9"/>
                    <a:srcRect/>
                    <a:stretch>
                      <a:fillRect/>
                    </a:stretch>
                  </pic:blipFill>
                  <pic:spPr>
                    <a:xfrm>
                      <a:off x="0" y="0"/>
                      <a:ext cx="4572000" cy="2733675"/>
                    </a:xfrm>
                    <a:prstGeom prst="rect">
                      <a:avLst/>
                    </a:prstGeom>
                    <a:noFill/>
                    <a:ln w="9525">
                      <a:solidFill>
                        <a:schemeClr val="accent1"/>
                      </a:solidFill>
                      <a:miter lim="800000"/>
                      <a:headEnd/>
                      <a:tailEnd/>
                    </a:ln>
                  </pic:spPr>
                </pic:pic>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9年财政拨款收、支总计975.68万元。与</w:t>
      </w:r>
      <w:r>
        <w:rPr>
          <w:rFonts w:ascii="仿宋" w:hAnsi="仿宋" w:eastAsia="仿宋"/>
          <w:color w:val="000000"/>
          <w:sz w:val="32"/>
          <w:szCs w:val="32"/>
        </w:rPr>
        <w:t>201</w:t>
      </w:r>
      <w:r>
        <w:rPr>
          <w:rFonts w:hint="eastAsia" w:ascii="仿宋" w:hAnsi="仿宋" w:eastAsia="仿宋"/>
          <w:color w:val="000000"/>
          <w:sz w:val="32"/>
          <w:szCs w:val="32"/>
        </w:rPr>
        <w:t>8年相比，财政拨款收、支总计减少2128.86万元，下降68</w:t>
      </w:r>
      <w:r>
        <w:rPr>
          <w:rFonts w:ascii="仿宋" w:hAnsi="仿宋" w:eastAsia="仿宋"/>
          <w:color w:val="000000"/>
          <w:sz w:val="32"/>
          <w:szCs w:val="32"/>
        </w:rPr>
        <w:t>%</w:t>
      </w:r>
      <w:r>
        <w:rPr>
          <w:rFonts w:hint="eastAsia" w:ascii="仿宋" w:hAnsi="仿宋" w:eastAsia="仿宋"/>
          <w:color w:val="000000"/>
          <w:sz w:val="32"/>
          <w:szCs w:val="32"/>
        </w:rPr>
        <w:t>。主要变动原因是减少了</w:t>
      </w:r>
      <w:r>
        <w:rPr>
          <w:rFonts w:hint="eastAsia" w:ascii="仿宋_GB2312" w:hAnsi="仿宋" w:eastAsia="仿宋_GB2312" w:cs="仿宋_GB2312"/>
          <w:sz w:val="32"/>
          <w:szCs w:val="32"/>
        </w:rPr>
        <w:t>天主教主教府建设资金、天主教主教府土地转让金和税金</w:t>
      </w:r>
      <w:r>
        <w:rPr>
          <w:rFonts w:hint="eastAsia" w:ascii="仿宋" w:hAnsi="仿宋" w:eastAsia="仿宋"/>
          <w:color w:val="000000"/>
          <w:sz w:val="32"/>
          <w:szCs w:val="32"/>
        </w:rPr>
        <w:t>。</w:t>
      </w:r>
    </w:p>
    <w:p>
      <w:pPr>
        <w:spacing w:line="600" w:lineRule="exact"/>
        <w:ind w:firstLine="640"/>
        <w:rPr>
          <w:rFonts w:ascii="仿宋" w:hAnsi="仿宋" w:eastAsia="仿宋"/>
          <w:color w:val="000000"/>
          <w:sz w:val="32"/>
          <w:szCs w:val="32"/>
        </w:rPr>
      </w:pP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p>
    <w:p>
      <w:pPr>
        <w:spacing w:line="600" w:lineRule="exact"/>
        <w:ind w:firstLine="640" w:firstLineChars="200"/>
        <w:outlineLvl w:val="1"/>
        <w:rPr>
          <w:rStyle w:val="28"/>
          <w:rFonts w:ascii="黑体" w:hAnsi="黑体" w:eastAsia="黑体"/>
          <w:b w:val="0"/>
        </w:rPr>
      </w:pPr>
      <w:bookmarkStart w:id="28" w:name="_Toc15377209"/>
      <w:bookmarkStart w:id="29"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8"/>
          <w:rFonts w:hint="eastAsia" w:ascii="黑体" w:hAnsi="黑体" w:eastAsia="黑体"/>
          <w:b w:val="0"/>
        </w:rPr>
        <w:t>般公共预算财政拨款支出决算情况说明</w:t>
      </w:r>
      <w:bookmarkEnd w:id="28"/>
      <w:bookmarkEnd w:id="29"/>
    </w:p>
    <w:p>
      <w:pPr>
        <w:spacing w:line="600" w:lineRule="exact"/>
        <w:ind w:firstLine="643" w:firstLineChars="200"/>
        <w:outlineLvl w:val="2"/>
        <w:rPr>
          <w:rFonts w:ascii="仿宋" w:hAnsi="仿宋" w:eastAsia="仿宋"/>
          <w:b/>
          <w:color w:val="000000"/>
          <w:sz w:val="32"/>
          <w:szCs w:val="32"/>
        </w:rPr>
      </w:pPr>
      <w:bookmarkStart w:id="30" w:name="_Toc15377210"/>
      <w:r>
        <w:rPr>
          <w:rFonts w:hint="eastAsia" w:ascii="仿宋" w:hAnsi="仿宋" w:eastAsia="仿宋"/>
          <w:b/>
          <w:color w:val="000000"/>
          <w:sz w:val="32"/>
          <w:szCs w:val="32"/>
        </w:rPr>
        <w:t>（一）一般公共预算财政拨款支出决算总体情况</w:t>
      </w:r>
      <w:bookmarkEnd w:id="30"/>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9年一般公共预算财政拨款支出923.96万元，占本年支出合计的98</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8年相比，一般公共预算财政拨款减少2138.06万元，下降70</w:t>
      </w:r>
      <w:r>
        <w:rPr>
          <w:rFonts w:ascii="仿宋" w:hAnsi="仿宋" w:eastAsia="仿宋"/>
          <w:color w:val="000000"/>
          <w:sz w:val="32"/>
          <w:szCs w:val="32"/>
        </w:rPr>
        <w:t>%</w:t>
      </w:r>
      <w:r>
        <w:rPr>
          <w:rFonts w:hint="eastAsia" w:ascii="仿宋" w:hAnsi="仿宋" w:eastAsia="仿宋"/>
          <w:color w:val="000000"/>
          <w:sz w:val="32"/>
          <w:szCs w:val="32"/>
        </w:rPr>
        <w:t>。主要变动原因是减少了</w:t>
      </w:r>
      <w:r>
        <w:rPr>
          <w:rFonts w:hint="eastAsia" w:ascii="仿宋_GB2312" w:hAnsi="仿宋" w:eastAsia="仿宋_GB2312" w:cs="仿宋_GB2312"/>
          <w:sz w:val="32"/>
          <w:szCs w:val="32"/>
        </w:rPr>
        <w:t>天主教主教府建设资金、天主教主教府土地转让金和税金</w:t>
      </w:r>
      <w:r>
        <w:rPr>
          <w:rFonts w:hint="eastAsia" w:ascii="仿宋" w:hAnsi="仿宋" w:eastAsia="仿宋"/>
          <w:color w:val="000000"/>
          <w:sz w:val="32"/>
          <w:szCs w:val="32"/>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drawing>
          <wp:anchor distT="0" distB="0" distL="114300" distR="114300" simplePos="0" relativeHeight="251662336" behindDoc="0" locked="0" layoutInCell="1" allowOverlap="1">
            <wp:simplePos x="0" y="0"/>
            <wp:positionH relativeFrom="column">
              <wp:posOffset>200025</wp:posOffset>
            </wp:positionH>
            <wp:positionV relativeFrom="paragraph">
              <wp:posOffset>161925</wp:posOffset>
            </wp:positionV>
            <wp:extent cx="4562475" cy="2752725"/>
            <wp:effectExtent l="19050" t="19050" r="28575" b="28575"/>
            <wp:wrapTopAndBottom/>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10"/>
                    <a:srcRect/>
                    <a:stretch>
                      <a:fillRect/>
                    </a:stretch>
                  </pic:blipFill>
                  <pic:spPr>
                    <a:xfrm>
                      <a:off x="0" y="0"/>
                      <a:ext cx="4562475" cy="2752725"/>
                    </a:xfrm>
                    <a:prstGeom prst="rect">
                      <a:avLst/>
                    </a:prstGeom>
                    <a:noFill/>
                    <a:ln w="9525">
                      <a:solidFill>
                        <a:schemeClr val="accent1"/>
                      </a:solidFill>
                      <a:miter lim="800000"/>
                      <a:headEnd/>
                      <a:tailEnd/>
                    </a:ln>
                  </pic:spPr>
                </pic:pic>
              </a:graphicData>
            </a:graphic>
          </wp:anchor>
        </w:drawing>
      </w:r>
      <w:r>
        <w:rPr>
          <w:rFonts w:hint="eastAsia" w:ascii="仿宋" w:hAnsi="仿宋" w:eastAsia="仿宋"/>
          <w:color w:val="000000" w:themeColor="text1"/>
          <w:sz w:val="32"/>
          <w:szCs w:val="32"/>
          <w14:textFill>
            <w14:solidFill>
              <w14:schemeClr w14:val="tx1"/>
            </w14:solidFill>
          </w14:textFill>
        </w:rPr>
        <w:t>（图5：一般公共预算财政拨款支出决算变动情况）（柱状图）</w:t>
      </w:r>
    </w:p>
    <w:p>
      <w:pPr>
        <w:spacing w:line="600" w:lineRule="exact"/>
        <w:ind w:firstLine="643" w:firstLineChars="200"/>
        <w:outlineLvl w:val="2"/>
        <w:rPr>
          <w:rFonts w:ascii="仿宋" w:hAnsi="仿宋" w:eastAsia="仿宋"/>
          <w:b/>
          <w:color w:val="000000"/>
          <w:sz w:val="32"/>
          <w:szCs w:val="32"/>
        </w:rPr>
      </w:pPr>
      <w:bookmarkStart w:id="31" w:name="_Toc15377211"/>
      <w:r>
        <w:rPr>
          <w:rFonts w:hint="eastAsia" w:ascii="仿宋" w:hAnsi="仿宋" w:eastAsia="仿宋"/>
          <w:b/>
          <w:color w:val="000000"/>
          <w:sz w:val="32"/>
          <w:szCs w:val="32"/>
        </w:rPr>
        <w:t>（二）一般公共预算财政拨款支出决算结构情况</w:t>
      </w:r>
      <w:bookmarkEnd w:id="31"/>
    </w:p>
    <w:p>
      <w:pPr>
        <w:spacing w:line="600" w:lineRule="exact"/>
        <w:ind w:firstLine="640"/>
        <w:rPr>
          <w:rFonts w:hint="eastAsia"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drawing>
          <wp:anchor distT="0" distB="0" distL="114300" distR="114300" simplePos="0" relativeHeight="251663360" behindDoc="0" locked="0" layoutInCell="1" allowOverlap="1">
            <wp:simplePos x="0" y="0"/>
            <wp:positionH relativeFrom="column">
              <wp:posOffset>381000</wp:posOffset>
            </wp:positionH>
            <wp:positionV relativeFrom="paragraph">
              <wp:posOffset>1962150</wp:posOffset>
            </wp:positionV>
            <wp:extent cx="4572000" cy="2733675"/>
            <wp:effectExtent l="19050" t="19050" r="19050" b="28575"/>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1"/>
                    <a:srcRect/>
                    <a:stretch>
                      <a:fillRect/>
                    </a:stretch>
                  </pic:blipFill>
                  <pic:spPr>
                    <a:xfrm>
                      <a:off x="0" y="0"/>
                      <a:ext cx="4572000" cy="2733675"/>
                    </a:xfrm>
                    <a:prstGeom prst="rect">
                      <a:avLst/>
                    </a:prstGeom>
                    <a:noFill/>
                    <a:ln w="9525">
                      <a:solidFill>
                        <a:schemeClr val="accent1"/>
                      </a:solidFill>
                      <a:miter lim="800000"/>
                      <a:headEnd/>
                      <a:tailEnd/>
                    </a:ln>
                  </pic:spPr>
                </pic:pic>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sz w:val="32"/>
          <w:szCs w:val="32"/>
        </w:rPr>
        <w:t>923.96</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一般公共服务（类）</w:t>
      </w:r>
      <w:r>
        <w:rPr>
          <w:rFonts w:hint="eastAsia" w:ascii="仿宋" w:hAnsi="仿宋" w:eastAsia="仿宋"/>
          <w:color w:val="000000" w:themeColor="text1"/>
          <w:sz w:val="32"/>
          <w:szCs w:val="32"/>
          <w14:textFill>
            <w14:solidFill>
              <w14:schemeClr w14:val="tx1"/>
            </w14:solidFill>
          </w14:textFill>
        </w:rPr>
        <w:t>支出733.26万元，占79</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支出82.64万元，占9</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w:t>
      </w:r>
      <w:r>
        <w:rPr>
          <w:rFonts w:hint="eastAsia" w:ascii="仿宋" w:hAnsi="仿宋" w:eastAsia="仿宋"/>
          <w:b/>
          <w:color w:val="000000" w:themeColor="text1"/>
          <w:sz w:val="32"/>
          <w:szCs w:val="32"/>
          <w14:textFill>
            <w14:solidFill>
              <w14:schemeClr w14:val="tx1"/>
            </w14:solidFill>
          </w14:textFill>
        </w:rPr>
        <w:t>（类）</w:t>
      </w:r>
      <w:r>
        <w:rPr>
          <w:rFonts w:hint="eastAsia" w:ascii="仿宋" w:hAnsi="仿宋" w:eastAsia="仿宋"/>
          <w:b/>
          <w:bCs/>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14:textFill>
            <w14:solidFill>
              <w14:schemeClr w14:val="tx1"/>
            </w14:solidFill>
          </w14:textFill>
        </w:rPr>
        <w:t>13.84万元，占2</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农林水（类）</w:t>
      </w:r>
      <w:r>
        <w:rPr>
          <w:rFonts w:hint="eastAsia" w:ascii="仿宋" w:hAnsi="仿宋" w:eastAsia="仿宋"/>
          <w:color w:val="000000" w:themeColor="text1"/>
          <w:sz w:val="32"/>
          <w:szCs w:val="32"/>
          <w14:textFill>
            <w14:solidFill>
              <w14:schemeClr w14:val="tx1"/>
            </w14:solidFill>
          </w14:textFill>
        </w:rPr>
        <w:t>支出50.64万元，占5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；住房保障</w:t>
      </w:r>
      <w:r>
        <w:rPr>
          <w:rFonts w:hint="eastAsia" w:ascii="仿宋" w:hAnsi="仿宋" w:eastAsia="仿宋"/>
          <w:b/>
          <w:color w:val="000000" w:themeColor="text1"/>
          <w:sz w:val="32"/>
          <w:szCs w:val="32"/>
          <w14:textFill>
            <w14:solidFill>
              <w14:schemeClr w14:val="tx1"/>
            </w14:solidFill>
          </w14:textFill>
        </w:rPr>
        <w:t>（类）</w:t>
      </w:r>
      <w:r>
        <w:rPr>
          <w:rFonts w:hint="eastAsia" w:ascii="仿宋" w:hAnsi="仿宋" w:eastAsia="仿宋"/>
          <w:color w:val="000000" w:themeColor="text1"/>
          <w:sz w:val="32"/>
          <w:szCs w:val="32"/>
          <w14:textFill>
            <w14:solidFill>
              <w14:schemeClr w14:val="tx1"/>
            </w14:solidFill>
          </w14:textFill>
        </w:rPr>
        <w:t>支出43.58万元，占5</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3" w:firstLineChars="200"/>
        <w:rPr>
          <w:rFonts w:hint="eastAsia" w:ascii="仿宋" w:hAnsi="仿宋" w:eastAsia="仿宋"/>
          <w:b/>
          <w:bCs/>
          <w:color w:val="000000"/>
          <w:sz w:val="32"/>
          <w:szCs w:val="32"/>
        </w:rPr>
      </w:pPr>
      <w:bookmarkStart w:id="32" w:name="_Toc15377212"/>
      <w:r>
        <w:rPr>
          <w:rFonts w:hint="eastAsia" w:ascii="仿宋" w:hAnsi="仿宋" w:eastAsia="仿宋"/>
          <w:b/>
          <w:bCs/>
          <w:color w:val="000000"/>
          <w:sz w:val="32"/>
          <w:szCs w:val="32"/>
        </w:rPr>
        <w:t>（三）一般公共预算财政拨款支出决算具体情况</w:t>
      </w:r>
      <w:bookmarkEnd w:id="32"/>
    </w:p>
    <w:p>
      <w:pPr>
        <w:spacing w:line="600" w:lineRule="exact"/>
        <w:ind w:firstLine="640" w:firstLineChars="200"/>
        <w:rPr>
          <w:rFonts w:hint="eastAsia" w:ascii="仿宋" w:hAnsi="仿宋" w:eastAsia="仿宋"/>
          <w:color w:val="000000"/>
          <w:sz w:val="32"/>
          <w:szCs w:val="32"/>
        </w:rPr>
      </w:pPr>
      <w:bookmarkStart w:id="33" w:name="_Toc15377213"/>
      <w:bookmarkStart w:id="34" w:name="_Toc15377444"/>
      <w:bookmarkStart w:id="35" w:name="_Toc15378460"/>
      <w:r>
        <w:rPr>
          <w:rFonts w:hint="eastAsia" w:ascii="仿宋" w:hAnsi="仿宋" w:eastAsia="仿宋"/>
          <w:color w:val="000000"/>
          <w:sz w:val="32"/>
          <w:szCs w:val="32"/>
        </w:rPr>
        <w:t>2019年一般公共预算支出决算数为923.96万元，完成预算94%。其中：</w:t>
      </w:r>
      <w:bookmarkEnd w:id="33"/>
      <w:bookmarkEnd w:id="34"/>
      <w:bookmarkEnd w:id="35"/>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1.一般公共服务（类）民族事务（款）行政运行（项）: 支出决算为420.13万元，完成预算98%，决算数小于预算数的主要原因是部分经费结转下年。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2.一般公共服务（类）民族事务（款）一般行政管理事务（项）: 支出决算为44.22万元，完成预算71%，决算数小于预算数的主要原因是部分经费结转下年。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3.一般公共服务（类）民族事务（款）民族工作专项（项）: 支出决算为182.61万元，完成预算94%，决算数小于预算数的主要原因是部分经费结转下年。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4.一般公共服务（类）民族事务（款）事业运行（项）: 支出决算为21.92万元，完成预算97%，决算数小于预算数的主要原因是部分经费结转下年。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5.一般公共服务（类）民族事务（款）其他民族事务支出（项）: 支出决算为37.88万元，完成预算67%，决算数小于预算数的主要原因是部分经费结转下年。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6.一般公共服务（类）组织事务（款）  一般行政管理事务（项）: 支出决算为1.50万元，完成预算100%。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7.一般公共服务（类）统战事务（款）宗教事务（项）: 支出决算为25.00万元，完成预算100%。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8.社会保障和就业（类）人力资源和社会保障管理事务（款）综合业务管理（项）:支出决算为2.00万元，完成预算40%，决算数小于预算数的主要原因是部分经费结转下年。</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9.社会保障和就业（类）行政事业单位离退休（款）归口管理的行政单位离退休（项）:支出决算为16.58万元，完成预算100%。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10.社会保障和就业（类）行政事业单位离退休（款） 未归口管理的行政单位离退休（项）: 支出决算为1.16万元，完成预算100%。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11.社会保障和就业（类）行政事业单位离退休（款） 机关事业单位基本养老保险缴费支出（项）: 支出决算为43.42万元，完成预算100%。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12.社会保障和就业（类）行政事业单位离退休（款）  机关事业单位职业年金缴费支出（项）: 支出决算为19.48万元，完成预算100%。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13. 卫生健康支出（类）行政事业单位医疗（款）行政单位医疗（项）:支出决算为13.59万元，完成预算100%。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14. 卫生健康支出（类）行政事业单位医疗（款）事业单位医疗（项）:支出决算为0.26万元，完成预算100%。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15.农林水支出（类）扶贫（款）其他扶贫支出（项）:支出决算为50.64万元，完成预算100%。</w:t>
      </w: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16.住房保障支出（类）住房改革支出（款）  住房公积金（项）:支出决算为43.58万元，完成预算100%。</w:t>
      </w:r>
    </w:p>
    <w:p>
      <w:pPr>
        <w:tabs>
          <w:tab w:val="right" w:pos="8306"/>
        </w:tabs>
        <w:spacing w:line="600" w:lineRule="exact"/>
        <w:outlineLvl w:val="1"/>
        <w:rPr>
          <w:rFonts w:hint="eastAsia" w:ascii="黑体" w:eastAsia="黑体"/>
          <w:color w:val="000000"/>
          <w:sz w:val="32"/>
          <w:szCs w:val="32"/>
        </w:rPr>
      </w:pPr>
      <w:bookmarkStart w:id="36" w:name="_Toc15377214"/>
      <w:bookmarkStart w:id="37" w:name="_Toc15396608"/>
    </w:p>
    <w:p>
      <w:pPr>
        <w:tabs>
          <w:tab w:val="right" w:pos="8306"/>
        </w:tabs>
        <w:spacing w:line="600" w:lineRule="exact"/>
        <w:ind w:firstLine="640" w:firstLineChars="200"/>
        <w:outlineLvl w:val="1"/>
        <w:rPr>
          <w:rStyle w:val="28"/>
        </w:rPr>
      </w:pPr>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8"/>
          <w:rFonts w:hint="eastAsia" w:ascii="黑体" w:hAnsi="黑体" w:eastAsia="黑体"/>
          <w:b w:val="0"/>
        </w:rPr>
        <w:t>般公共预算财政拨款基本支出决算情况说明</w:t>
      </w:r>
      <w:bookmarkEnd w:id="36"/>
      <w:bookmarkEnd w:id="37"/>
      <w:r>
        <w:rPr>
          <w:rStyle w:val="28"/>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9年一般公共预算财政拨款基本支出580.11万元，其中：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516.62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63.49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8"/>
          <w:rFonts w:ascii="黑体" w:hAnsi="黑体" w:eastAsia="黑体"/>
          <w:b w:val="0"/>
        </w:rPr>
      </w:pPr>
      <w:bookmarkStart w:id="38" w:name="_Toc15377215"/>
      <w:bookmarkStart w:id="39" w:name="_Toc15396609"/>
      <w:r>
        <w:rPr>
          <w:rFonts w:hint="eastAsia" w:ascii="黑体" w:eastAsia="黑体"/>
          <w:color w:val="000000"/>
          <w:sz w:val="32"/>
          <w:szCs w:val="32"/>
        </w:rPr>
        <w:t>七、</w:t>
      </w:r>
      <w:r>
        <w:rPr>
          <w:rStyle w:val="28"/>
          <w:rFonts w:hint="eastAsia" w:ascii="黑体" w:hAnsi="黑体" w:eastAsia="黑体"/>
        </w:rPr>
        <w:t>“</w:t>
      </w:r>
      <w:r>
        <w:rPr>
          <w:rStyle w:val="28"/>
          <w:rFonts w:hint="eastAsia" w:ascii="黑体" w:hAnsi="黑体" w:eastAsia="黑体"/>
          <w:b w:val="0"/>
        </w:rPr>
        <w:t>三公”经费财政拨款支出决算情况说明</w:t>
      </w:r>
      <w:bookmarkEnd w:id="38"/>
      <w:bookmarkEnd w:id="39"/>
    </w:p>
    <w:p>
      <w:pPr>
        <w:spacing w:line="600" w:lineRule="exact"/>
        <w:ind w:firstLine="640"/>
        <w:outlineLvl w:val="2"/>
        <w:rPr>
          <w:rFonts w:ascii="仿宋" w:hAnsi="仿宋" w:eastAsia="仿宋"/>
          <w:b/>
          <w:color w:val="000000"/>
          <w:sz w:val="32"/>
          <w:szCs w:val="32"/>
        </w:rPr>
      </w:pPr>
      <w:bookmarkStart w:id="40" w:name="_Toc15377216"/>
      <w:r>
        <w:rPr>
          <w:rFonts w:hint="eastAsia" w:ascii="仿宋" w:hAnsi="仿宋" w:eastAsia="仿宋"/>
          <w:b/>
          <w:color w:val="000000"/>
          <w:sz w:val="32"/>
          <w:szCs w:val="32"/>
        </w:rPr>
        <w:t>（一）“三公”经费财政拨款支出决算总体情况说明</w:t>
      </w:r>
      <w:bookmarkEnd w:id="40"/>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9年“三公”经费财政拨款支出决算为3.08万元，完成预算62</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w:t>
      </w:r>
      <w:r>
        <w:rPr>
          <w:rFonts w:hint="eastAsia" w:ascii="仿宋_GB2312" w:hAnsi="仿宋_GB2312" w:eastAsia="仿宋_GB2312" w:cs="仿宋_GB2312"/>
          <w:color w:val="000000"/>
          <w:sz w:val="32"/>
          <w:szCs w:val="32"/>
        </w:rPr>
        <w:t>贯彻落实中央八项规定和省委省政府、市委市政府十项规定有关精神，</w:t>
      </w:r>
      <w:r>
        <w:rPr>
          <w:rFonts w:hint="eastAsia" w:ascii="仿宋_GB2312" w:hAnsi="仿宋_GB2312" w:eastAsia="仿宋_GB2312" w:cs="仿宋_GB2312"/>
          <w:color w:val="333333"/>
          <w:sz w:val="32"/>
          <w:szCs w:val="32"/>
        </w:rPr>
        <w:t>厉行节约</w:t>
      </w:r>
      <w:r>
        <w:rPr>
          <w:rFonts w:hint="eastAsia" w:ascii="仿宋" w:hAnsi="仿宋" w:eastAsia="仿宋"/>
          <w:color w:val="000000"/>
          <w:sz w:val="32"/>
          <w:szCs w:val="32"/>
        </w:rPr>
        <w:t>。</w:t>
      </w:r>
    </w:p>
    <w:p>
      <w:pPr>
        <w:spacing w:line="600" w:lineRule="exact"/>
        <w:ind w:firstLine="640"/>
        <w:outlineLvl w:val="2"/>
        <w:rPr>
          <w:rFonts w:ascii="仿宋" w:hAnsi="仿宋" w:eastAsia="仿宋"/>
          <w:b/>
          <w:color w:val="000000"/>
          <w:sz w:val="32"/>
          <w:szCs w:val="32"/>
        </w:rPr>
      </w:pPr>
      <w:bookmarkStart w:id="41" w:name="_Toc15377217"/>
      <w:r>
        <w:rPr>
          <w:rFonts w:hint="eastAsia" w:ascii="仿宋" w:hAnsi="仿宋" w:eastAsia="仿宋"/>
          <w:b/>
          <w:color w:val="000000"/>
          <w:sz w:val="32"/>
          <w:szCs w:val="32"/>
        </w:rPr>
        <w:t>（二）“三公”经费财政拨款支出决算具体情况说明</w:t>
      </w:r>
      <w:bookmarkEnd w:id="41"/>
    </w:p>
    <w:p>
      <w:pPr>
        <w:spacing w:line="600" w:lineRule="exact"/>
        <w:ind w:firstLine="640"/>
        <w:rPr>
          <w:rFonts w:hint="eastAsia" w:ascii="仿宋" w:hAnsi="仿宋" w:eastAsia="仿宋"/>
          <w:color w:val="000000"/>
          <w:sz w:val="32"/>
          <w:szCs w:val="32"/>
        </w:rPr>
      </w:pPr>
      <w:r>
        <w:rPr>
          <w:rFonts w:ascii="仿宋" w:hAnsi="仿宋" w:eastAsia="仿宋"/>
          <w:color w:val="000000"/>
          <w:sz w:val="32"/>
          <w:szCs w:val="32"/>
        </w:rPr>
        <w:drawing>
          <wp:anchor distT="0" distB="0" distL="114300" distR="114300" simplePos="0" relativeHeight="251664384" behindDoc="0" locked="0" layoutInCell="1" allowOverlap="1">
            <wp:simplePos x="0" y="0"/>
            <wp:positionH relativeFrom="column">
              <wp:posOffset>476250</wp:posOffset>
            </wp:positionH>
            <wp:positionV relativeFrom="paragraph">
              <wp:posOffset>1638300</wp:posOffset>
            </wp:positionV>
            <wp:extent cx="4543425" cy="2743200"/>
            <wp:effectExtent l="19050" t="19050" r="28575" b="19050"/>
            <wp:wrapTopAndBottom/>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2"/>
                    <a:srcRect/>
                    <a:stretch>
                      <a:fillRect/>
                    </a:stretch>
                  </pic:blipFill>
                  <pic:spPr>
                    <a:xfrm>
                      <a:off x="0" y="0"/>
                      <a:ext cx="4543425" cy="2743200"/>
                    </a:xfrm>
                    <a:prstGeom prst="rect">
                      <a:avLst/>
                    </a:prstGeom>
                    <a:noFill/>
                    <a:ln w="9525">
                      <a:solidFill>
                        <a:schemeClr val="accent1"/>
                      </a:solidFill>
                      <a:miter lim="800000"/>
                      <a:headEnd/>
                      <a:tailEnd/>
                    </a:ln>
                  </pic:spPr>
                </pic:pic>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9年“三公”经费财政拨款支出决算中，因公出国（境）费支出决算0万元，占0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；公务用车购置及运行维护费支出决算1.76万元，占57</w:t>
      </w:r>
      <w:r>
        <w:rPr>
          <w:rFonts w:ascii="仿宋" w:hAnsi="仿宋" w:eastAsia="仿宋"/>
          <w:color w:val="000000"/>
          <w:sz w:val="32"/>
          <w:szCs w:val="32"/>
        </w:rPr>
        <w:t>%</w:t>
      </w:r>
      <w:r>
        <w:rPr>
          <w:rFonts w:hint="eastAsia" w:ascii="仿宋" w:hAnsi="仿宋" w:eastAsia="仿宋"/>
          <w:color w:val="000000"/>
          <w:sz w:val="32"/>
          <w:szCs w:val="32"/>
        </w:rPr>
        <w:t>；公务接待费支出决算1.32万元，占43</w:t>
      </w:r>
      <w:r>
        <w:rPr>
          <w:rFonts w:ascii="仿宋" w:hAnsi="仿宋" w:eastAsia="仿宋"/>
          <w:color w:val="000000"/>
          <w:sz w:val="32"/>
          <w:szCs w:val="32"/>
        </w:rPr>
        <w:t>%</w:t>
      </w:r>
      <w:r>
        <w:rPr>
          <w:rFonts w:hint="eastAsia" w:ascii="仿宋" w:hAnsi="仿宋" w:eastAsia="仿宋"/>
          <w:color w:val="000000"/>
          <w:sz w:val="32"/>
          <w:szCs w:val="32"/>
        </w:rPr>
        <w:t>。具体情况如下：</w:t>
      </w:r>
    </w:p>
    <w:p>
      <w:pPr>
        <w:keepNext w:val="0"/>
        <w:keepLines w:val="0"/>
        <w:pageBreakBefore w:val="0"/>
        <w:widowControl w:val="0"/>
        <w:kinsoku/>
        <w:wordWrap/>
        <w:overflowPunct/>
        <w:topLinePunct w:val="0"/>
        <w:bidi w:val="0"/>
        <w:snapToGrid/>
        <w:spacing w:line="560" w:lineRule="exact"/>
        <w:ind w:firstLine="640"/>
        <w:textAlignment w:val="auto"/>
        <w:rPr>
          <w:rFonts w:ascii="仿宋" w:hAnsi="仿宋" w:eastAsia="仿宋"/>
          <w:color w:val="000000"/>
          <w:sz w:val="32"/>
          <w:szCs w:val="32"/>
        </w:rPr>
      </w:pPr>
      <w:r>
        <w:rPr>
          <w:rFonts w:hint="eastAsia" w:ascii="仿宋" w:hAnsi="仿宋" w:eastAsia="仿宋"/>
          <w:color w:val="000000"/>
          <w:sz w:val="32"/>
          <w:szCs w:val="32"/>
        </w:rPr>
        <w:t>（图7：“三公”经费财政拨款支出结构）（饼状图）</w:t>
      </w:r>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r>
        <w:rPr>
          <w:rStyle w:val="15"/>
          <w:rFonts w:hint="eastAsia" w:ascii="仿宋" w:hAnsi="仿宋" w:eastAsia="仿宋"/>
          <w:b w:val="0"/>
          <w:bCs/>
          <w:color w:val="000000"/>
          <w:sz w:val="32"/>
          <w:szCs w:val="32"/>
        </w:rPr>
        <w:t>完成预算0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全年安排因公出国（境）团组0次，出国（境）0人。</w:t>
      </w:r>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1.76万元,</w:t>
      </w:r>
      <w:r>
        <w:rPr>
          <w:rStyle w:val="15"/>
          <w:rFonts w:hint="eastAsia" w:ascii="仿宋" w:hAnsi="仿宋" w:eastAsia="仿宋"/>
          <w:b w:val="0"/>
          <w:bCs/>
          <w:color w:val="000000"/>
          <w:sz w:val="32"/>
          <w:szCs w:val="32"/>
        </w:rPr>
        <w:t>完成预算59</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8年减少6.05万元，下降77</w:t>
      </w:r>
      <w:r>
        <w:rPr>
          <w:rFonts w:ascii="仿宋_GB2312" w:eastAsia="仿宋_GB2312"/>
          <w:color w:val="000000"/>
          <w:sz w:val="32"/>
          <w:szCs w:val="32"/>
        </w:rPr>
        <w:t>%</w:t>
      </w:r>
      <w:r>
        <w:rPr>
          <w:rFonts w:hint="eastAsia" w:ascii="仿宋_GB2312" w:eastAsia="仿宋_GB2312"/>
          <w:color w:val="000000"/>
          <w:sz w:val="32"/>
          <w:szCs w:val="32"/>
        </w:rPr>
        <w:t>。主要原因是车辆数减少，运行维护费减少。</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0万元。全年按规定更新购置公务用车0辆，金额0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月底，单位共有公务用车1辆，其中：主要领导干部用车0辆、机要通信用车1辆、应急保障用车0辆、执法执勤用车0辆。</w:t>
      </w:r>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1.76万元。主要用于日常公务、慰问、扶贫等所需的公务用车燃料费、维修费、过路过桥费、保险费等支出。</w:t>
      </w:r>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1.32万元，</w:t>
      </w:r>
      <w:r>
        <w:rPr>
          <w:rStyle w:val="15"/>
          <w:rFonts w:hint="eastAsia" w:ascii="仿宋" w:hAnsi="仿宋" w:eastAsia="仿宋"/>
          <w:b w:val="0"/>
          <w:bCs/>
          <w:color w:val="000000"/>
          <w:sz w:val="32"/>
          <w:szCs w:val="32"/>
        </w:rPr>
        <w:t>完成预算66</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8年减少2.09万元，下降61</w:t>
      </w:r>
      <w:r>
        <w:rPr>
          <w:rFonts w:ascii="仿宋_GB2312" w:eastAsia="仿宋_GB2312"/>
          <w:color w:val="000000"/>
          <w:sz w:val="32"/>
          <w:szCs w:val="32"/>
        </w:rPr>
        <w:t>%</w:t>
      </w:r>
      <w:r>
        <w:rPr>
          <w:rFonts w:hint="eastAsia" w:ascii="仿宋_GB2312" w:eastAsia="仿宋_GB2312"/>
          <w:color w:val="000000"/>
          <w:sz w:val="32"/>
          <w:szCs w:val="32"/>
        </w:rPr>
        <w:t>。主要原因是按规定厉行节约其中：</w:t>
      </w:r>
    </w:p>
    <w:p>
      <w:pPr>
        <w:keepNext w:val="0"/>
        <w:keepLines w:val="0"/>
        <w:pageBreakBefore w:val="0"/>
        <w:widowControl w:val="0"/>
        <w:kinsoku/>
        <w:wordWrap/>
        <w:overflowPunct/>
        <w:topLinePunct w:val="0"/>
        <w:bidi w:val="0"/>
        <w:snapToGrid/>
        <w:spacing w:line="560" w:lineRule="exact"/>
        <w:ind w:firstLine="640"/>
        <w:textAlignment w:val="auto"/>
        <w:rPr>
          <w:rFonts w:hint="default" w:ascii="仿宋_GB2312" w:eastAsia="仿宋_GB2312"/>
          <w:color w:val="auto"/>
          <w:sz w:val="32"/>
          <w:szCs w:val="32"/>
          <w:lang w:val="en-US" w:eastAsia="zh-CN"/>
        </w:rPr>
      </w:pPr>
      <w:r>
        <w:rPr>
          <w:rFonts w:hint="eastAsia" w:ascii="仿宋" w:hAnsi="仿宋" w:eastAsia="仿宋"/>
          <w:b/>
          <w:color w:val="auto"/>
          <w:sz w:val="32"/>
          <w:szCs w:val="32"/>
        </w:rPr>
        <w:t>国内公务接待支出</w:t>
      </w:r>
      <w:r>
        <w:rPr>
          <w:rFonts w:hint="eastAsia" w:ascii="仿宋" w:hAnsi="仿宋" w:eastAsia="仿宋"/>
          <w:color w:val="auto"/>
          <w:sz w:val="32"/>
          <w:szCs w:val="32"/>
        </w:rPr>
        <w:t>1.32</w:t>
      </w:r>
      <w:r>
        <w:rPr>
          <w:rFonts w:hint="eastAsia" w:ascii="仿宋_GB2312" w:eastAsia="仿宋_GB2312"/>
          <w:color w:val="auto"/>
          <w:sz w:val="32"/>
          <w:szCs w:val="32"/>
        </w:rPr>
        <w:t>万元，主要用于国内公务接待。国内公务接待</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批次，</w:t>
      </w:r>
      <w:r>
        <w:rPr>
          <w:rFonts w:hint="eastAsia" w:ascii="仿宋_GB2312" w:eastAsia="仿宋_GB2312"/>
          <w:color w:val="auto"/>
          <w:sz w:val="32"/>
          <w:szCs w:val="32"/>
          <w:lang w:val="en-US" w:eastAsia="zh-CN"/>
        </w:rPr>
        <w:t>60</w:t>
      </w:r>
      <w:r>
        <w:rPr>
          <w:rFonts w:hint="eastAsia" w:ascii="仿宋_GB2312" w:eastAsia="仿宋_GB2312"/>
          <w:color w:val="auto"/>
          <w:sz w:val="32"/>
          <w:szCs w:val="32"/>
        </w:rPr>
        <w:t>人次（不包括陪同人员），共计支出1.32万元，具体内容包括：</w:t>
      </w:r>
      <w:r>
        <w:rPr>
          <w:rFonts w:hint="eastAsia" w:ascii="仿宋_GB2312" w:eastAsia="仿宋_GB2312"/>
          <w:color w:val="auto"/>
          <w:sz w:val="32"/>
          <w:szCs w:val="32"/>
          <w:lang w:val="en-US" w:eastAsia="zh-CN"/>
        </w:rPr>
        <w:t>1、接待四川省宗教事务条例修订调研组一行到峨眉山开展立法调研活动，支出1000元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hAnsi="仿宋" w:eastAsia="仿宋_GB2312" w:cs="仿宋"/>
          <w:color w:val="auto"/>
          <w:sz w:val="32"/>
          <w:szCs w:val="32"/>
        </w:rPr>
        <w:t>接待兄弟市州</w:t>
      </w:r>
      <w:r>
        <w:rPr>
          <w:rFonts w:hint="eastAsia" w:ascii="仿宋_GB2312" w:hAnsi="仿宋" w:eastAsia="仿宋_GB2312" w:cs="仿宋"/>
          <w:color w:val="auto"/>
          <w:sz w:val="32"/>
          <w:szCs w:val="32"/>
          <w:lang w:val="en-US" w:eastAsia="zh-CN"/>
        </w:rPr>
        <w:t>和省级部门</w:t>
      </w:r>
      <w:r>
        <w:rPr>
          <w:rFonts w:hint="eastAsia" w:ascii="仿宋_GB2312" w:hAnsi="仿宋" w:eastAsia="仿宋_GB2312" w:cs="仿宋"/>
          <w:color w:val="auto"/>
          <w:sz w:val="32"/>
          <w:szCs w:val="32"/>
        </w:rPr>
        <w:t>到乐山</w:t>
      </w:r>
      <w:r>
        <w:rPr>
          <w:rFonts w:hint="eastAsia" w:ascii="仿宋_GB2312" w:hAnsi="仿宋" w:eastAsia="仿宋_GB2312" w:cs="仿宋"/>
          <w:color w:val="auto"/>
          <w:sz w:val="32"/>
          <w:szCs w:val="32"/>
          <w:lang w:val="en-US" w:eastAsia="zh-CN"/>
        </w:rPr>
        <w:t>市</w:t>
      </w:r>
      <w:r>
        <w:rPr>
          <w:rFonts w:hint="eastAsia" w:ascii="仿宋_GB2312" w:hAnsi="仿宋" w:eastAsia="仿宋_GB2312" w:cs="仿宋"/>
          <w:color w:val="auto"/>
          <w:sz w:val="32"/>
          <w:szCs w:val="32"/>
        </w:rPr>
        <w:t>调研</w:t>
      </w:r>
      <w:r>
        <w:rPr>
          <w:rFonts w:hint="eastAsia" w:ascii="仿宋_GB2312" w:hAnsi="仿宋" w:eastAsia="仿宋_GB2312" w:cs="仿宋"/>
          <w:color w:val="auto"/>
          <w:sz w:val="32"/>
          <w:szCs w:val="32"/>
          <w:lang w:val="en-US" w:eastAsia="zh-CN"/>
        </w:rPr>
        <w:t>民族</w:t>
      </w:r>
      <w:r>
        <w:rPr>
          <w:rFonts w:hint="eastAsia" w:ascii="仿宋_GB2312" w:hAnsi="仿宋" w:eastAsia="仿宋_GB2312" w:cs="仿宋"/>
          <w:color w:val="auto"/>
          <w:sz w:val="32"/>
          <w:szCs w:val="32"/>
        </w:rPr>
        <w:t>宗教工作</w:t>
      </w:r>
      <w:r>
        <w:rPr>
          <w:rFonts w:hint="eastAsia" w:ascii="仿宋_GB2312" w:hAnsi="仿宋" w:eastAsia="仿宋_GB2312" w:cs="仿宋"/>
          <w:color w:val="auto"/>
          <w:sz w:val="32"/>
          <w:szCs w:val="32"/>
          <w:lang w:eastAsia="zh-CN"/>
        </w:rPr>
        <w:t>，</w:t>
      </w:r>
      <w:r>
        <w:rPr>
          <w:rFonts w:hint="eastAsia" w:ascii="仿宋_GB2312" w:hAnsi="仿宋" w:eastAsia="仿宋_GB2312" w:cs="仿宋"/>
          <w:color w:val="auto"/>
          <w:sz w:val="32"/>
          <w:szCs w:val="32"/>
          <w:lang w:val="en-US" w:eastAsia="zh-CN"/>
        </w:rPr>
        <w:t>支出7677元；3、接待全市宗教工作参会人员，支出3376元；4、接待中国社科院世界宗教研究所一行到乐山调研，支出1230元。</w:t>
      </w:r>
    </w:p>
    <w:p>
      <w:pPr>
        <w:keepNext w:val="0"/>
        <w:keepLines w:val="0"/>
        <w:pageBreakBefore w:val="0"/>
        <w:widowControl w:val="0"/>
        <w:kinsoku/>
        <w:wordWrap/>
        <w:overflowPunct/>
        <w:topLinePunct w:val="0"/>
        <w:bidi w:val="0"/>
        <w:snapToGrid/>
        <w:spacing w:line="560" w:lineRule="exact"/>
        <w:ind w:firstLine="643" w:firstLineChars="200"/>
        <w:textAlignment w:val="auto"/>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，外事接待0批次，0人，共计支出0万元。</w:t>
      </w:r>
      <w:bookmarkStart w:id="42" w:name="_Toc15377218"/>
      <w:bookmarkStart w:id="43" w:name="_Toc15396610"/>
    </w:p>
    <w:p>
      <w:pPr>
        <w:keepNext w:val="0"/>
        <w:keepLines w:val="0"/>
        <w:pageBreakBefore w:val="0"/>
        <w:widowControl w:val="0"/>
        <w:kinsoku/>
        <w:wordWrap/>
        <w:overflowPunct/>
        <w:topLinePunct w:val="0"/>
        <w:bidi w:val="0"/>
        <w:snapToGrid/>
        <w:spacing w:line="560" w:lineRule="exact"/>
        <w:ind w:firstLine="640"/>
        <w:textAlignment w:val="auto"/>
        <w:outlineLvl w:val="1"/>
        <w:rPr>
          <w:rStyle w:val="28"/>
          <w:rFonts w:ascii="黑体" w:hAnsi="黑体" w:eastAsia="黑体"/>
        </w:rPr>
      </w:pPr>
      <w:r>
        <w:rPr>
          <w:rFonts w:hint="eastAsia" w:ascii="黑体" w:eastAsia="黑体"/>
          <w:color w:val="000000"/>
          <w:sz w:val="32"/>
          <w:szCs w:val="32"/>
        </w:rPr>
        <w:t>八、</w:t>
      </w:r>
      <w:r>
        <w:rPr>
          <w:rStyle w:val="28"/>
          <w:rFonts w:hint="eastAsia" w:ascii="黑体" w:hAnsi="黑体" w:eastAsia="黑体"/>
          <w:b w:val="0"/>
        </w:rPr>
        <w:t>政府性基金预算支出决算情况说明</w:t>
      </w:r>
      <w:bookmarkEnd w:id="42"/>
      <w:bookmarkEnd w:id="43"/>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9年政府性基金预算拨款支出0万元。</w:t>
      </w:r>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p>
    <w:p>
      <w:pPr>
        <w:keepNext w:val="0"/>
        <w:keepLines w:val="0"/>
        <w:pageBreakBefore w:val="0"/>
        <w:widowControl w:val="0"/>
        <w:numPr>
          <w:ilvl w:val="0"/>
          <w:numId w:val="3"/>
        </w:numPr>
        <w:kinsoku/>
        <w:wordWrap/>
        <w:overflowPunct/>
        <w:topLinePunct w:val="0"/>
        <w:bidi w:val="0"/>
        <w:snapToGrid/>
        <w:spacing w:line="560" w:lineRule="exact"/>
        <w:ind w:firstLine="640"/>
        <w:textAlignment w:val="auto"/>
        <w:outlineLvl w:val="1"/>
        <w:rPr>
          <w:rStyle w:val="28"/>
          <w:rFonts w:ascii="黑体" w:hAnsi="黑体" w:eastAsia="黑体"/>
          <w:b w:val="0"/>
        </w:rPr>
      </w:pPr>
      <w:bookmarkStart w:id="44" w:name="_Toc15377219"/>
      <w:bookmarkStart w:id="45" w:name="_Toc15396611"/>
      <w:r>
        <w:rPr>
          <w:rStyle w:val="28"/>
          <w:rFonts w:hint="eastAsia" w:ascii="黑体" w:hAnsi="黑体" w:eastAsia="黑体"/>
          <w:b w:val="0"/>
        </w:rPr>
        <w:t>国有资本经营预算支出决算情况说明</w:t>
      </w:r>
      <w:bookmarkEnd w:id="44"/>
      <w:bookmarkEnd w:id="45"/>
    </w:p>
    <w:p>
      <w:pPr>
        <w:keepNext w:val="0"/>
        <w:keepLines w:val="0"/>
        <w:pageBreakBefore w:val="0"/>
        <w:widowControl w:val="0"/>
        <w:kinsoku/>
        <w:wordWrap/>
        <w:overflowPunct/>
        <w:topLinePunct w:val="0"/>
        <w:bidi w:val="0"/>
        <w:snapToGrid/>
        <w:spacing w:line="560" w:lineRule="exact"/>
        <w:ind w:firstLine="64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p>
    <w:p>
      <w:pPr>
        <w:keepNext w:val="0"/>
        <w:keepLines w:val="0"/>
        <w:pageBreakBefore w:val="0"/>
        <w:widowControl w:val="0"/>
        <w:kinsoku/>
        <w:wordWrap/>
        <w:overflowPunct/>
        <w:topLinePunct w:val="0"/>
        <w:bidi w:val="0"/>
        <w:snapToGrid/>
        <w:spacing w:line="560" w:lineRule="exact"/>
        <w:jc w:val="center"/>
        <w:textAlignment w:val="auto"/>
        <w:rPr>
          <w:rFonts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bidi w:val="0"/>
        <w:snapToGrid/>
        <w:spacing w:line="560" w:lineRule="exact"/>
        <w:ind w:firstLine="800" w:firstLineChars="250"/>
        <w:textAlignment w:val="auto"/>
        <w:outlineLvl w:val="1"/>
        <w:rPr>
          <w:rStyle w:val="28"/>
          <w:rFonts w:ascii="黑体" w:hAnsi="黑体" w:eastAsia="黑体"/>
        </w:rPr>
      </w:pPr>
      <w:bookmarkStart w:id="46" w:name="_Toc15396612"/>
      <w:bookmarkStart w:id="47" w:name="_Toc15377221"/>
      <w:r>
        <w:rPr>
          <w:rFonts w:hint="eastAsia" w:ascii="黑体" w:hAnsi="黑体" w:eastAsia="黑体"/>
          <w:color w:val="000000"/>
          <w:sz w:val="32"/>
          <w:szCs w:val="32"/>
        </w:rPr>
        <w:t>十</w:t>
      </w:r>
      <w:r>
        <w:rPr>
          <w:rStyle w:val="28"/>
          <w:rFonts w:hint="eastAsia" w:ascii="黑体" w:hAnsi="黑体" w:eastAsia="黑体"/>
        </w:rPr>
        <w:t>、</w:t>
      </w:r>
      <w:r>
        <w:rPr>
          <w:rStyle w:val="28"/>
          <w:rFonts w:hint="eastAsia" w:ascii="黑体" w:hAnsi="黑体" w:eastAsia="黑体"/>
          <w:b w:val="0"/>
        </w:rPr>
        <w:t>其他重要事项的情况说明</w:t>
      </w:r>
      <w:bookmarkEnd w:id="46"/>
      <w:bookmarkEnd w:id="47"/>
    </w:p>
    <w:p>
      <w:pPr>
        <w:keepNext w:val="0"/>
        <w:keepLines w:val="0"/>
        <w:pageBreakBefore w:val="0"/>
        <w:widowControl w:val="0"/>
        <w:kinsoku/>
        <w:wordWrap/>
        <w:overflowPunct/>
        <w:topLinePunct w:val="0"/>
        <w:bidi w:val="0"/>
        <w:snapToGrid/>
        <w:spacing w:line="560" w:lineRule="exact"/>
        <w:ind w:firstLine="643" w:firstLineChars="200"/>
        <w:textAlignment w:val="auto"/>
        <w:outlineLvl w:val="2"/>
        <w:rPr>
          <w:rFonts w:ascii="仿宋" w:hAnsi="仿宋" w:eastAsia="仿宋"/>
          <w:color w:val="000000"/>
          <w:sz w:val="32"/>
          <w:szCs w:val="32"/>
        </w:rPr>
      </w:pPr>
      <w:bookmarkStart w:id="48" w:name="_Toc15377222"/>
      <w:r>
        <w:rPr>
          <w:rFonts w:hint="eastAsia" w:ascii="仿宋" w:hAnsi="仿宋" w:eastAsia="仿宋"/>
          <w:b/>
          <w:color w:val="000000"/>
          <w:sz w:val="32"/>
          <w:szCs w:val="32"/>
        </w:rPr>
        <w:t>（一）机关运行经费支出情况</w:t>
      </w:r>
      <w:bookmarkEnd w:id="48"/>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000000" w:themeColor="text1"/>
          <w:sz w:val="32"/>
          <w:szCs w:val="32"/>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9年，乐山市民族宗教事务委员会机关运行经费支出63.49万元，比</w:t>
      </w:r>
      <w:r>
        <w:rPr>
          <w:rFonts w:ascii="仿宋_GB2312" w:eastAsia="仿宋_GB2312"/>
          <w:color w:val="000000"/>
          <w:sz w:val="32"/>
          <w:szCs w:val="32"/>
        </w:rPr>
        <w:t>201</w:t>
      </w:r>
      <w:r>
        <w:rPr>
          <w:rFonts w:hint="eastAsia" w:ascii="仿宋_GB2312" w:eastAsia="仿宋_GB2312"/>
          <w:color w:val="000000"/>
          <w:sz w:val="32"/>
          <w:szCs w:val="32"/>
        </w:rPr>
        <w:t>8年减少7.14万元，下降10</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主要原因是人员减少，运行经费减少。</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color w:val="000000"/>
          <w:sz w:val="32"/>
          <w:szCs w:val="32"/>
        </w:rPr>
      </w:pPr>
      <w:bookmarkStart w:id="49" w:name="_Toc15377223"/>
      <w:r>
        <w:rPr>
          <w:rFonts w:hint="eastAsia" w:ascii="仿宋" w:hAnsi="仿宋" w:eastAsia="仿宋"/>
          <w:b/>
          <w:color w:val="000000"/>
          <w:sz w:val="32"/>
          <w:szCs w:val="32"/>
        </w:rPr>
        <w:t>（二）政府采购支出情况</w:t>
      </w:r>
      <w:bookmarkEnd w:id="49"/>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9年，乐山市民族宗教事务委员会政府采购支出总额51.24万元，其中：政府采购货物支出51.24万元、政府采购工程支出0万元、政府采购服务支出0万元。</w:t>
      </w:r>
      <w:r>
        <w:rPr>
          <w:rFonts w:hint="eastAsia" w:ascii="仿宋_GB2312" w:eastAsia="仿宋_GB2312"/>
          <w:color w:val="auto"/>
          <w:sz w:val="32"/>
          <w:szCs w:val="32"/>
        </w:rPr>
        <w:t>主要用于</w:t>
      </w:r>
      <w:r>
        <w:rPr>
          <w:rFonts w:hint="eastAsia" w:ascii="仿宋_GB2312" w:eastAsia="仿宋_GB2312"/>
          <w:color w:val="auto"/>
          <w:sz w:val="32"/>
          <w:szCs w:val="32"/>
          <w:lang w:eastAsia="zh-CN"/>
        </w:rPr>
        <w:t>支付</w:t>
      </w:r>
      <w:r>
        <w:rPr>
          <w:rFonts w:hint="eastAsia" w:ascii="仿宋_GB2312" w:eastAsia="仿宋_GB2312"/>
          <w:color w:val="auto"/>
          <w:sz w:val="32"/>
          <w:szCs w:val="32"/>
          <w:lang w:val="en-US" w:eastAsia="zh-CN"/>
        </w:rPr>
        <w:t>2017年度彝家新寨电视机采购余款</w:t>
      </w:r>
      <w:r>
        <w:rPr>
          <w:rFonts w:hint="eastAsia" w:ascii="仿宋_GB2312" w:eastAsia="仿宋_GB2312"/>
          <w:color w:val="auto"/>
          <w:sz w:val="32"/>
          <w:szCs w:val="32"/>
        </w:rPr>
        <w:t>。</w:t>
      </w:r>
      <w:r>
        <w:rPr>
          <w:rFonts w:hint="eastAsia" w:ascii="仿宋_GB2312" w:eastAsia="仿宋_GB2312"/>
          <w:color w:val="000000"/>
          <w:sz w:val="32"/>
          <w:szCs w:val="32"/>
        </w:rPr>
        <w:t>授予中小企业合同金额51.24万元，占政府采购支出总额的100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color w:val="000000"/>
          <w:sz w:val="32"/>
          <w:szCs w:val="32"/>
        </w:rPr>
      </w:pPr>
      <w:bookmarkStart w:id="50" w:name="_Toc15377224"/>
      <w:r>
        <w:rPr>
          <w:rFonts w:hint="eastAsia" w:ascii="仿宋" w:hAnsi="仿宋" w:eastAsia="仿宋"/>
          <w:b/>
          <w:color w:val="000000"/>
          <w:sz w:val="32"/>
          <w:szCs w:val="32"/>
        </w:rPr>
        <w:t>（三）国有资产占有使用情况</w:t>
      </w:r>
      <w:bookmarkEnd w:id="50"/>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日，乐山市民族宗教事务委员会共有车辆1辆，其中：主要领导干部用车0辆、机要通信用车1辆、应急保障用车0辆，</w:t>
      </w:r>
      <w:r>
        <w:rPr>
          <w:rFonts w:hint="eastAsia" w:ascii="仿宋_GB2312" w:eastAsia="仿宋_GB2312"/>
          <w:color w:val="000000" w:themeColor="text1"/>
          <w:sz w:val="32"/>
          <w:szCs w:val="32"/>
          <w14:textFill>
            <w14:solidFill>
              <w14:schemeClr w14:val="tx1"/>
            </w14:solidFill>
          </w14:textFill>
        </w:rPr>
        <w:t>单价</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万元以上通用设备,0台（套），单价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万元以上专用设备0台（套）。</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3" w:firstLineChars="200"/>
        <w:jc w:val="left"/>
        <w:textAlignment w:val="auto"/>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t>根据预算绩效管理要求，本部门（单位）在年初预算编制阶段，组织对1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个项目开展了预算事前绩效评估，对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个项目编制了绩效目标，</w:t>
      </w:r>
      <w:r>
        <w:rPr>
          <w:rFonts w:hint="eastAsia" w:ascii="仿宋_GB2312" w:hAnsi="仿宋_GB2312" w:eastAsia="仿宋_GB2312" w:cs="仿宋_GB2312"/>
          <w:sz w:val="32"/>
          <w:szCs w:val="32"/>
        </w:rPr>
        <w:t>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个项目开展绩效监控，年终执行完毕后，对2个项目开展了绩效目标完成情况梳理填报。</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_GB2312" w:hAnsi="仿宋" w:eastAsia="仿宋_GB2312" w:cs="仿宋"/>
          <w:bCs/>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年部门整体支出开展绩效自评，从评价情况来看绩效目标完成较好，预、决算编制较为合理，充分发挥了财政资金的效益。本部门还自行组织了2个项目绩效评价，从评价情况来看各项目编制合理、规划明确，</w:t>
      </w:r>
      <w:r>
        <w:rPr>
          <w:rFonts w:hint="eastAsia" w:ascii="仿宋_GB2312" w:hAnsi="仿宋" w:eastAsia="仿宋_GB2312" w:cs="仿宋"/>
          <w:bCs/>
          <w:sz w:val="32"/>
          <w:szCs w:val="32"/>
        </w:rPr>
        <w:t>项目绩效目标完成情况好，为助推民族团结、宗教和顺提供了保障。</w:t>
      </w:r>
    </w:p>
    <w:p>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_GB2312" w:hAnsi="仿宋_GB2312" w:eastAsia="仿宋_GB2312"/>
          <w:sz w:val="32"/>
          <w:szCs w:val="32"/>
        </w:rPr>
      </w:pPr>
      <w:r>
        <w:rPr>
          <w:rFonts w:hint="eastAsia" w:ascii="仿宋_GB2312" w:hAnsi="仿宋" w:eastAsia="仿宋_GB2312" w:cs="仿宋"/>
          <w:bCs/>
          <w:sz w:val="32"/>
          <w:szCs w:val="32"/>
          <w:lang w:val="en-US" w:eastAsia="zh-CN"/>
        </w:rPr>
        <w:t>1、项目绩效目标完成情况。</w:t>
      </w:r>
      <w:r>
        <w:rPr>
          <w:rFonts w:ascii="楷体_GB2312" w:hAnsi="楷体_GB2312" w:eastAsia="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年度部门决算中反映“市属大中专院校彝族年活动”、“宗教团体办公经费补助”等2个项目绩效目标实际完成情况。</w:t>
      </w:r>
    </w:p>
    <w:p>
      <w:pPr>
        <w:keepNext w:val="0"/>
        <w:keepLines w:val="0"/>
        <w:pageBreakBefore w:val="0"/>
        <w:widowControl w:val="0"/>
        <w:tabs>
          <w:tab w:val="left" w:pos="312"/>
        </w:tabs>
        <w:kinsoku/>
        <w:wordWrap/>
        <w:overflowPunct/>
        <w:topLinePunct w:val="0"/>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“市属大中专院校彝族年活动”项目绩效目标完成情况综述。项目全年预算数</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。通过项目实施，完成市委市政府部署的相关工作，促进各民族团结进步，助推民族地区和少数民族经济社会发展。发现的主要问题：资金覆盖面还不广。下一步改进措施：最大限度发挥项目资金的效益。</w:t>
      </w:r>
    </w:p>
    <w:p>
      <w:pPr>
        <w:keepNext w:val="0"/>
        <w:keepLines w:val="0"/>
        <w:pageBreakBefore w:val="0"/>
        <w:widowControl w:val="0"/>
        <w:kinsoku/>
        <w:wordWrap/>
        <w:overflowPunct/>
        <w:topLinePunct w:val="0"/>
        <w:bidi w:val="0"/>
        <w:snapToGrid/>
        <w:spacing w:line="560" w:lineRule="exact"/>
        <w:ind w:firstLine="645"/>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“宗教团体办公经费补助”项目绩效目标完成情况综述。项目全年预算数15万元，执行数为15万元，完成预算的100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。通过项目实施，充分发挥宗教团体的桥梁纽带作用，引导教职人员和信教群众</w:t>
      </w:r>
      <w:r>
        <w:rPr>
          <w:rFonts w:hint="eastAsia" w:ascii="仿宋_GB2312" w:eastAsia="仿宋_GB2312"/>
          <w:color w:val="000000"/>
          <w:sz w:val="32"/>
        </w:rPr>
        <w:t>始终团结在党委、政府的周围，为维护社会稳定、促进社会和谐、助推乐山发展作出贡献。</w:t>
      </w:r>
      <w:r>
        <w:rPr>
          <w:rFonts w:hint="eastAsia" w:ascii="仿宋_GB2312" w:hAnsi="仿宋_GB2312" w:eastAsia="仿宋_GB2312" w:cs="仿宋_GB2312"/>
          <w:sz w:val="32"/>
          <w:szCs w:val="32"/>
        </w:rPr>
        <w:t>发现的主要问题：资金量小，对宗教团体办公经费的补助力度还不够。下一步改进措施：加大对宗教团体办公经费的补助，加强经费的监督管理，确保专款专用。</w:t>
      </w:r>
    </w:p>
    <w:p>
      <w:pPr>
        <w:tabs>
          <w:tab w:val="left" w:pos="312"/>
        </w:tabs>
        <w:spacing w:line="56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10544" w:type="dxa"/>
        <w:tblInd w:w="-185" w:type="dxa"/>
        <w:tblLayout w:type="fixed"/>
        <w:tblCellMar>
          <w:top w:w="0" w:type="dxa"/>
          <w:left w:w="0" w:type="dxa"/>
          <w:bottom w:w="0" w:type="dxa"/>
          <w:right w:w="0" w:type="dxa"/>
        </w:tblCellMar>
      </w:tblPr>
      <w:tblGrid>
        <w:gridCol w:w="575"/>
        <w:gridCol w:w="1291"/>
        <w:gridCol w:w="1217"/>
        <w:gridCol w:w="2276"/>
        <w:gridCol w:w="2394"/>
        <w:gridCol w:w="2791"/>
      </w:tblGrid>
      <w:tr>
        <w:tblPrEx>
          <w:tblCellMar>
            <w:top w:w="0" w:type="dxa"/>
            <w:left w:w="0" w:type="dxa"/>
            <w:bottom w:w="0" w:type="dxa"/>
            <w:right w:w="0" w:type="dxa"/>
          </w:tblCellMar>
        </w:tblPrEx>
        <w:trPr>
          <w:trHeight w:val="985" w:hRule="atLeast"/>
        </w:trPr>
        <w:tc>
          <w:tcPr>
            <w:tcW w:w="10544" w:type="dxa"/>
            <w:gridSpan w:val="6"/>
            <w:tcMar>
              <w:top w:w="15" w:type="dxa"/>
              <w:left w:w="15" w:type="dxa"/>
              <w:bottom w:w="0" w:type="dxa"/>
              <w:right w:w="15" w:type="dxa"/>
            </w:tcMar>
            <w:vAlign w:val="center"/>
          </w:tcPr>
          <w:p>
            <w:pPr>
              <w:pStyle w:val="26"/>
              <w:keepNext w:val="0"/>
              <w:keepLines w:val="0"/>
              <w:widowControl/>
              <w:suppressLineNumbers w:val="0"/>
              <w:spacing w:before="0" w:beforeAutospacing="0" w:after="0" w:afterAutospacing="0" w:line="560" w:lineRule="exact"/>
              <w:ind w:left="4015" w:leftChars="1310" w:right="0" w:hanging="1264" w:hangingChars="395"/>
              <w:textAlignment w:val="center"/>
              <w:rPr>
                <w:rFonts w:hint="default" w:ascii="宋体"/>
                <w:color w:val="000000"/>
                <w:sz w:val="36"/>
                <w:szCs w:val="36"/>
              </w:rPr>
            </w:pPr>
            <w:r>
              <w:rPr>
                <w:rFonts w:hint="eastAsia" w:ascii="黑体" w:hAnsi="黑体" w:eastAsia="黑体" w:cs="黑体"/>
                <w:color w:val="000000"/>
                <w:kern w:val="0"/>
                <w:sz w:val="32"/>
                <w:szCs w:val="32"/>
              </w:rPr>
              <w:t>项目支出绩效目标完成情况表</w:t>
            </w:r>
            <w:r>
              <w:rPr>
                <w:rFonts w:hint="default" w:ascii="宋体"/>
                <w:b/>
                <w:bCs/>
                <w:color w:val="000000"/>
                <w:kern w:val="0"/>
                <w:sz w:val="32"/>
                <w:szCs w:val="32"/>
              </w:rPr>
              <w:br w:type="textWrapping"/>
            </w:r>
            <w:r>
              <w:rPr>
                <w:rFonts w:hint="default" w:ascii="宋体" w:hAnsi="宋体" w:cs="宋体"/>
                <w:color w:val="000000"/>
                <w:kern w:val="0"/>
                <w:sz w:val="32"/>
                <w:szCs w:val="32"/>
              </w:rPr>
              <w:t>(201</w:t>
            </w:r>
            <w:r>
              <w:rPr>
                <w:rFonts w:hint="eastAsia" w:ascii="宋体" w:hAnsi="宋体" w:cs="宋体"/>
                <w:color w:val="000000"/>
                <w:kern w:val="0"/>
                <w:sz w:val="32"/>
                <w:szCs w:val="32"/>
                <w:lang w:val="en-US" w:eastAsia="zh-CN"/>
              </w:rPr>
              <w:t>9</w:t>
            </w:r>
            <w:r>
              <w:rPr>
                <w:rFonts w:hint="default" w:ascii="宋体" w:hAnsi="宋体" w:cs="宋体"/>
                <w:color w:val="000000"/>
                <w:kern w:val="0"/>
                <w:sz w:val="32"/>
                <w:szCs w:val="32"/>
              </w:rPr>
              <w:t xml:space="preserve"> </w:t>
            </w:r>
            <w:r>
              <w:rPr>
                <w:rFonts w:hint="eastAsia" w:ascii="宋体" w:hAnsi="宋体" w:cs="宋体"/>
                <w:color w:val="000000"/>
                <w:kern w:val="0"/>
                <w:sz w:val="32"/>
                <w:szCs w:val="32"/>
              </w:rPr>
              <w:t>年度</w:t>
            </w:r>
            <w:r>
              <w:rPr>
                <w:rFonts w:hint="default" w:ascii="宋体" w:hAnsi="宋体" w:cs="宋体"/>
                <w:color w:val="000000"/>
                <w:kern w:val="0"/>
                <w:sz w:val="32"/>
                <w:szCs w:val="32"/>
              </w:rPr>
              <w:t>)</w:t>
            </w:r>
          </w:p>
        </w:tc>
      </w:tr>
      <w:tr>
        <w:tblPrEx>
          <w:tblCellMar>
            <w:top w:w="0" w:type="dxa"/>
            <w:left w:w="0" w:type="dxa"/>
            <w:bottom w:w="0" w:type="dxa"/>
            <w:right w:w="0" w:type="dxa"/>
          </w:tblCellMar>
        </w:tblPrEx>
        <w:trPr>
          <w:trHeight w:val="431" w:hRule="atLeast"/>
        </w:trPr>
        <w:tc>
          <w:tcPr>
            <w:tcW w:w="3083"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项目名称</w:t>
            </w:r>
          </w:p>
        </w:tc>
        <w:tc>
          <w:tcPr>
            <w:tcW w:w="746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“市属大中专院校彝族年活动”</w:t>
            </w:r>
          </w:p>
        </w:tc>
      </w:tr>
      <w:tr>
        <w:tblPrEx>
          <w:tblCellMar>
            <w:top w:w="0" w:type="dxa"/>
            <w:left w:w="0" w:type="dxa"/>
            <w:bottom w:w="0" w:type="dxa"/>
            <w:right w:w="0" w:type="dxa"/>
          </w:tblCellMar>
        </w:tblPrEx>
        <w:trPr>
          <w:trHeight w:val="499" w:hRule="atLeast"/>
        </w:trPr>
        <w:tc>
          <w:tcPr>
            <w:tcW w:w="3083"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预算单位</w:t>
            </w:r>
          </w:p>
        </w:tc>
        <w:tc>
          <w:tcPr>
            <w:tcW w:w="746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乐山市民族宗教事务委员会</w:t>
            </w:r>
          </w:p>
        </w:tc>
      </w:tr>
      <w:tr>
        <w:tblPrEx>
          <w:tblCellMar>
            <w:top w:w="0" w:type="dxa"/>
            <w:left w:w="0" w:type="dxa"/>
            <w:bottom w:w="0" w:type="dxa"/>
            <w:right w:w="0" w:type="dxa"/>
          </w:tblCellMar>
        </w:tblPrEx>
        <w:trPr>
          <w:trHeight w:val="415" w:hRule="atLeast"/>
        </w:trPr>
        <w:tc>
          <w:tcPr>
            <w:tcW w:w="57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预算执行情况</w:t>
            </w:r>
            <w:r>
              <w:rPr>
                <w:rFonts w:hint="default" w:ascii="宋体" w:hAnsi="宋体" w:cs="宋体"/>
                <w:color w:val="000000"/>
                <w:kern w:val="0"/>
                <w:sz w:val="18"/>
                <w:szCs w:val="18"/>
              </w:rPr>
              <w:t>(</w:t>
            </w:r>
            <w:r>
              <w:rPr>
                <w:rFonts w:hint="eastAsia" w:ascii="宋体" w:hAnsi="宋体" w:cs="宋体"/>
                <w:color w:val="000000"/>
                <w:kern w:val="0"/>
                <w:sz w:val="18"/>
                <w:szCs w:val="18"/>
              </w:rPr>
              <w:t>万元</w:t>
            </w:r>
            <w:r>
              <w:rPr>
                <w:rFonts w:hint="default" w:ascii="宋体" w:hAnsi="宋体" w:cs="宋体"/>
                <w:color w:val="000000"/>
                <w:kern w:val="0"/>
                <w:sz w:val="18"/>
                <w:szCs w:val="18"/>
              </w:rPr>
              <w:t>)</w:t>
            </w:r>
          </w:p>
        </w:tc>
        <w:tc>
          <w:tcPr>
            <w:tcW w:w="250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预算数</w:t>
            </w:r>
            <w:r>
              <w:rPr>
                <w:rFonts w:hint="default" w:ascii="宋体" w:hAnsi="宋体" w:cs="宋体"/>
                <w:color w:val="000000"/>
                <w:kern w:val="0"/>
                <w:sz w:val="18"/>
                <w:szCs w:val="18"/>
              </w:rPr>
              <w:t>:</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eastAsia="宋体"/>
                <w:color w:val="000000"/>
                <w:sz w:val="18"/>
                <w:szCs w:val="18"/>
                <w:lang w:val="en-US" w:eastAsia="zh-CN"/>
              </w:rPr>
            </w:pPr>
            <w:r>
              <w:rPr>
                <w:rFonts w:hint="eastAsia" w:ascii="宋体"/>
                <w:color w:val="000000"/>
                <w:sz w:val="18"/>
                <w:szCs w:val="18"/>
                <w:lang w:val="en-US" w:eastAsia="zh-CN"/>
              </w:rPr>
              <w:t>11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执行数</w:t>
            </w:r>
            <w:r>
              <w:rPr>
                <w:rFonts w:hint="default" w:ascii="宋体" w:hAnsi="宋体" w:cs="宋体"/>
                <w:color w:val="000000"/>
                <w:kern w:val="0"/>
                <w:sz w:val="18"/>
                <w:szCs w:val="18"/>
              </w:rPr>
              <w:t>:</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eastAsia="宋体"/>
                <w:color w:val="000000"/>
                <w:sz w:val="18"/>
                <w:szCs w:val="18"/>
                <w:lang w:val="en-US" w:eastAsia="zh-CN"/>
              </w:rPr>
            </w:pPr>
            <w:r>
              <w:rPr>
                <w:rFonts w:hint="eastAsia" w:ascii="宋体"/>
                <w:color w:val="000000"/>
                <w:sz w:val="18"/>
                <w:szCs w:val="18"/>
                <w:lang w:val="en-US" w:eastAsia="zh-CN"/>
              </w:rPr>
              <w:t>11</w:t>
            </w:r>
          </w:p>
        </w:tc>
      </w:tr>
      <w:tr>
        <w:tblPrEx>
          <w:tblCellMar>
            <w:top w:w="0" w:type="dxa"/>
            <w:left w:w="0" w:type="dxa"/>
            <w:bottom w:w="0" w:type="dxa"/>
            <w:right w:w="0" w:type="dxa"/>
          </w:tblCellMar>
        </w:tblPrEx>
        <w:trPr>
          <w:trHeight w:val="276"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250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其中</w:t>
            </w:r>
            <w:r>
              <w:rPr>
                <w:rFonts w:hint="default" w:ascii="宋体" w:cs="宋体"/>
                <w:color w:val="000000"/>
                <w:kern w:val="0"/>
                <w:sz w:val="18"/>
                <w:szCs w:val="18"/>
              </w:rPr>
              <w:t>-</w:t>
            </w:r>
            <w:r>
              <w:rPr>
                <w:rFonts w:hint="eastAsia" w:ascii="宋体" w:hAnsi="宋体" w:cs="宋体"/>
                <w:color w:val="000000"/>
                <w:kern w:val="0"/>
                <w:sz w:val="18"/>
                <w:szCs w:val="18"/>
              </w:rPr>
              <w:t>财政拨款</w:t>
            </w:r>
            <w:r>
              <w:rPr>
                <w:rFonts w:hint="default" w:ascii="宋体" w:hAnsi="宋体" w:cs="宋体"/>
                <w:color w:val="000000"/>
                <w:kern w:val="0"/>
                <w:sz w:val="18"/>
                <w:szCs w:val="18"/>
              </w:rPr>
              <w:t>:</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eastAsia="宋体"/>
                <w:color w:val="000000"/>
                <w:sz w:val="18"/>
                <w:szCs w:val="18"/>
                <w:lang w:val="en-US" w:eastAsia="zh-CN"/>
              </w:rPr>
            </w:pPr>
            <w:r>
              <w:rPr>
                <w:rFonts w:hint="eastAsia" w:ascii="宋体"/>
                <w:color w:val="000000"/>
                <w:sz w:val="18"/>
                <w:szCs w:val="18"/>
                <w:lang w:val="en-US" w:eastAsia="zh-CN"/>
              </w:rPr>
              <w:t>11</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其中</w:t>
            </w:r>
            <w:r>
              <w:rPr>
                <w:rFonts w:hint="default" w:ascii="宋体" w:cs="宋体"/>
                <w:color w:val="000000"/>
                <w:kern w:val="0"/>
                <w:sz w:val="18"/>
                <w:szCs w:val="18"/>
              </w:rPr>
              <w:t>-</w:t>
            </w:r>
            <w:r>
              <w:rPr>
                <w:rFonts w:hint="eastAsia" w:ascii="宋体" w:hAnsi="宋体" w:cs="宋体"/>
                <w:color w:val="000000"/>
                <w:kern w:val="0"/>
                <w:sz w:val="18"/>
                <w:szCs w:val="18"/>
              </w:rPr>
              <w:t>财政拨款</w:t>
            </w:r>
            <w:r>
              <w:rPr>
                <w:rFonts w:hint="default" w:ascii="宋体" w:hAnsi="宋体" w:cs="宋体"/>
                <w:color w:val="000000"/>
                <w:kern w:val="0"/>
                <w:sz w:val="18"/>
                <w:szCs w:val="18"/>
              </w:rPr>
              <w:t>:</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eastAsia="宋体"/>
                <w:color w:val="000000"/>
                <w:sz w:val="18"/>
                <w:szCs w:val="18"/>
                <w:lang w:val="en-US" w:eastAsia="zh-CN"/>
              </w:rPr>
            </w:pPr>
            <w:r>
              <w:rPr>
                <w:rFonts w:hint="eastAsia" w:ascii="宋体"/>
                <w:color w:val="000000"/>
                <w:sz w:val="18"/>
                <w:szCs w:val="18"/>
                <w:lang w:val="en-US" w:eastAsia="zh-CN"/>
              </w:rPr>
              <w:t>11</w:t>
            </w:r>
          </w:p>
        </w:tc>
      </w:tr>
      <w:tr>
        <w:tblPrEx>
          <w:tblCellMar>
            <w:top w:w="0" w:type="dxa"/>
            <w:left w:w="0" w:type="dxa"/>
            <w:bottom w:w="0" w:type="dxa"/>
            <w:right w:w="0" w:type="dxa"/>
          </w:tblCellMar>
        </w:tblPrEx>
        <w:trPr>
          <w:trHeight w:val="1173"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250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其它资金</w:t>
            </w:r>
            <w:r>
              <w:rPr>
                <w:rFonts w:hint="default" w:ascii="宋体" w:hAnsi="宋体" w:cs="宋体"/>
                <w:color w:val="000000"/>
                <w:kern w:val="0"/>
                <w:sz w:val="18"/>
                <w:szCs w:val="18"/>
              </w:rPr>
              <w:t>:</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default" w:ascii="宋体" w:cs="宋体"/>
                <w:color w:val="000000"/>
                <w:kern w:val="0"/>
                <w:sz w:val="18"/>
                <w:szCs w:val="18"/>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其它资金</w:t>
            </w:r>
            <w:r>
              <w:rPr>
                <w:rFonts w:hint="default" w:ascii="宋体" w:hAnsi="宋体" w:cs="宋体"/>
                <w:color w:val="000000"/>
                <w:kern w:val="0"/>
                <w:sz w:val="18"/>
                <w:szCs w:val="18"/>
              </w:rPr>
              <w:t>:</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line="560" w:lineRule="exact"/>
              <w:ind w:left="0" w:right="0"/>
              <w:jc w:val="center"/>
              <w:rPr>
                <w:rFonts w:hint="default" w:ascii="宋体"/>
                <w:color w:val="000000"/>
                <w:sz w:val="18"/>
                <w:szCs w:val="18"/>
              </w:rPr>
            </w:pPr>
          </w:p>
        </w:tc>
      </w:tr>
      <w:tr>
        <w:tblPrEx>
          <w:tblCellMar>
            <w:top w:w="0" w:type="dxa"/>
            <w:left w:w="0" w:type="dxa"/>
            <w:bottom w:w="0" w:type="dxa"/>
            <w:right w:w="0" w:type="dxa"/>
          </w:tblCellMar>
        </w:tblPrEx>
        <w:trPr>
          <w:trHeight w:val="276" w:hRule="atLeast"/>
        </w:trPr>
        <w:tc>
          <w:tcPr>
            <w:tcW w:w="57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预期目标</w:t>
            </w:r>
          </w:p>
        </w:tc>
        <w:tc>
          <w:tcPr>
            <w:tcW w:w="518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实际完成目标</w:t>
            </w:r>
          </w:p>
        </w:tc>
      </w:tr>
      <w:tr>
        <w:tblPrEx>
          <w:tblCellMar>
            <w:top w:w="0" w:type="dxa"/>
            <w:left w:w="0" w:type="dxa"/>
            <w:bottom w:w="0" w:type="dxa"/>
            <w:right w:w="0" w:type="dxa"/>
          </w:tblCellMar>
        </w:tblPrEx>
        <w:trPr>
          <w:trHeight w:val="1159"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促进各民族团结进步，助推民族地区和少数民族经济社会发展。</w:t>
            </w:r>
          </w:p>
        </w:tc>
        <w:tc>
          <w:tcPr>
            <w:tcW w:w="518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完成预期目标。</w:t>
            </w:r>
          </w:p>
        </w:tc>
      </w:tr>
      <w:tr>
        <w:tblPrEx>
          <w:tblCellMar>
            <w:top w:w="0" w:type="dxa"/>
            <w:left w:w="0" w:type="dxa"/>
            <w:bottom w:w="0" w:type="dxa"/>
            <w:right w:w="0" w:type="dxa"/>
          </w:tblCellMar>
        </w:tblPrEx>
        <w:trPr>
          <w:trHeight w:val="1042" w:hRule="atLeast"/>
        </w:trPr>
        <w:tc>
          <w:tcPr>
            <w:tcW w:w="575"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sz w:val="18"/>
                <w:szCs w:val="18"/>
              </w:rPr>
              <w:t>绩效指标完成情况</w:t>
            </w:r>
          </w:p>
        </w:tc>
        <w:tc>
          <w:tcPr>
            <w:tcW w:w="12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一级指标</w:t>
            </w:r>
          </w:p>
        </w:tc>
        <w:tc>
          <w:tcPr>
            <w:tcW w:w="12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二级指标</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预期指标值</w:t>
            </w:r>
            <w:r>
              <w:rPr>
                <w:rFonts w:hint="default" w:ascii="宋体" w:hAnsi="宋体" w:cs="宋体"/>
                <w:color w:val="000000"/>
                <w:kern w:val="0"/>
                <w:sz w:val="18"/>
                <w:szCs w:val="18"/>
              </w:rPr>
              <w:t>(</w:t>
            </w:r>
            <w:r>
              <w:rPr>
                <w:rFonts w:hint="eastAsia" w:ascii="宋体" w:hAnsi="宋体" w:cs="宋体"/>
                <w:color w:val="000000"/>
                <w:kern w:val="0"/>
                <w:sz w:val="18"/>
                <w:szCs w:val="18"/>
              </w:rPr>
              <w:t>包含数字及文字描述</w:t>
            </w:r>
            <w:r>
              <w:rPr>
                <w:rFonts w:hint="default" w:ascii="宋体" w:hAnsi="宋体" w:cs="宋体"/>
                <w:color w:val="000000"/>
                <w:kern w:val="0"/>
                <w:sz w:val="18"/>
                <w:szCs w:val="18"/>
              </w:rPr>
              <w:t>)</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实际完成指标值</w:t>
            </w:r>
            <w:r>
              <w:rPr>
                <w:rFonts w:hint="default" w:ascii="宋体" w:hAnsi="宋体" w:cs="宋体"/>
                <w:color w:val="000000"/>
                <w:kern w:val="0"/>
                <w:sz w:val="18"/>
                <w:szCs w:val="18"/>
              </w:rPr>
              <w:t>(</w:t>
            </w:r>
            <w:r>
              <w:rPr>
                <w:rFonts w:hint="eastAsia" w:ascii="宋体" w:hAnsi="宋体" w:cs="宋体"/>
                <w:color w:val="000000"/>
                <w:kern w:val="0"/>
                <w:sz w:val="18"/>
                <w:szCs w:val="18"/>
              </w:rPr>
              <w:t>包含数字及文字描述</w:t>
            </w:r>
            <w:r>
              <w:rPr>
                <w:rFonts w:hint="default" w:ascii="宋体" w:hAnsi="宋体" w:cs="宋体"/>
                <w:color w:val="000000"/>
                <w:kern w:val="0"/>
                <w:sz w:val="18"/>
                <w:szCs w:val="18"/>
              </w:rPr>
              <w:t>)</w:t>
            </w:r>
          </w:p>
        </w:tc>
      </w:tr>
      <w:tr>
        <w:tblPrEx>
          <w:tblCellMar>
            <w:top w:w="0" w:type="dxa"/>
            <w:left w:w="0" w:type="dxa"/>
            <w:bottom w:w="0" w:type="dxa"/>
            <w:right w:w="0" w:type="dxa"/>
          </w:tblCellMar>
        </w:tblPrEx>
        <w:trPr>
          <w:trHeight w:val="953"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项目完成指标</w:t>
            </w:r>
          </w:p>
        </w:tc>
        <w:tc>
          <w:tcPr>
            <w:tcW w:w="12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数量指标</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完成两所市属大中专院校的</w:t>
            </w:r>
            <w:r>
              <w:rPr>
                <w:rFonts w:hint="eastAsia" w:ascii="宋体"/>
                <w:color w:val="000000"/>
                <w:sz w:val="18"/>
                <w:szCs w:val="18"/>
                <w:lang w:val="en-US" w:eastAsia="zh-CN"/>
              </w:rPr>
              <w:t>2474</w:t>
            </w:r>
            <w:r>
              <w:rPr>
                <w:rFonts w:hint="eastAsia" w:ascii="宋体"/>
                <w:color w:val="000000"/>
                <w:sz w:val="18"/>
                <w:szCs w:val="18"/>
              </w:rPr>
              <w:t>余名彝族学生的彝族年慰问活动。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完成两所市属大中专院校的</w:t>
            </w:r>
            <w:r>
              <w:rPr>
                <w:rFonts w:hint="eastAsia" w:ascii="宋体"/>
                <w:color w:val="000000"/>
                <w:sz w:val="18"/>
                <w:szCs w:val="18"/>
                <w:lang w:val="en-US" w:eastAsia="zh-CN"/>
              </w:rPr>
              <w:t>2474</w:t>
            </w:r>
            <w:r>
              <w:rPr>
                <w:rFonts w:hint="eastAsia" w:ascii="宋体"/>
                <w:color w:val="000000"/>
                <w:sz w:val="18"/>
                <w:szCs w:val="18"/>
              </w:rPr>
              <w:t>余名彝族学生的彝族年慰问活动。</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完成两所市属大中专院校的</w:t>
            </w:r>
            <w:r>
              <w:rPr>
                <w:rFonts w:hint="eastAsia" w:ascii="宋体"/>
                <w:color w:val="000000"/>
                <w:sz w:val="18"/>
                <w:szCs w:val="18"/>
                <w:lang w:val="en-US" w:eastAsia="zh-CN"/>
              </w:rPr>
              <w:t>2474</w:t>
            </w:r>
            <w:r>
              <w:rPr>
                <w:rFonts w:hint="eastAsia" w:ascii="宋体"/>
                <w:color w:val="000000"/>
                <w:sz w:val="18"/>
                <w:szCs w:val="18"/>
              </w:rPr>
              <w:t>余名彝族学生的彝族年慰问活动。</w:t>
            </w:r>
          </w:p>
        </w:tc>
      </w:tr>
      <w:tr>
        <w:tblPrEx>
          <w:tblCellMar>
            <w:top w:w="0" w:type="dxa"/>
            <w:left w:w="0" w:type="dxa"/>
            <w:bottom w:w="0" w:type="dxa"/>
            <w:right w:w="0" w:type="dxa"/>
          </w:tblCellMar>
        </w:tblPrEx>
        <w:trPr>
          <w:trHeight w:val="2112"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kern w:val="0"/>
                <w:sz w:val="18"/>
                <w:szCs w:val="18"/>
              </w:rPr>
            </w:pPr>
            <w:r>
              <w:rPr>
                <w:rFonts w:hint="eastAsia" w:ascii="宋体" w:hAnsi="宋体" w:cs="宋体"/>
                <w:color w:val="000000"/>
                <w:kern w:val="0"/>
                <w:sz w:val="18"/>
                <w:szCs w:val="18"/>
              </w:rPr>
              <w:t>项目完成指标</w:t>
            </w:r>
          </w:p>
        </w:tc>
        <w:tc>
          <w:tcPr>
            <w:tcW w:w="12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社会效益指标</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促进各民族团结进步，助推民族地区和少数民族经济社会发展。</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完成市委市政府部署的相关工作，促进各民族团结进步，助推民族地区和少数民族经济社会发展。</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完成市委市政府部署的相关工作，促进各民族团结进步，助推民族地区和少数民族经济社会发展。</w:t>
            </w:r>
          </w:p>
        </w:tc>
      </w:tr>
      <w:tr>
        <w:tblPrEx>
          <w:tblCellMar>
            <w:top w:w="0" w:type="dxa"/>
            <w:left w:w="0" w:type="dxa"/>
            <w:bottom w:w="0" w:type="dxa"/>
            <w:right w:w="0" w:type="dxa"/>
          </w:tblCellMar>
        </w:tblPrEx>
        <w:trPr>
          <w:trHeight w:val="1042" w:hRule="atLeast"/>
        </w:trPr>
        <w:tc>
          <w:tcPr>
            <w:tcW w:w="575"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项目完成指标</w:t>
            </w:r>
          </w:p>
        </w:tc>
        <w:tc>
          <w:tcPr>
            <w:tcW w:w="12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满意度指标</w:t>
            </w:r>
          </w:p>
        </w:tc>
        <w:tc>
          <w:tcPr>
            <w:tcW w:w="227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%95以上的服务对象表示满意。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%9</w:t>
            </w:r>
            <w:r>
              <w:rPr>
                <w:rFonts w:hint="eastAsia" w:ascii="宋体"/>
                <w:color w:val="000000"/>
                <w:sz w:val="18"/>
                <w:szCs w:val="18"/>
                <w:lang w:val="en-US" w:eastAsia="zh-CN"/>
              </w:rPr>
              <w:t>5</w:t>
            </w:r>
            <w:r>
              <w:rPr>
                <w:rFonts w:hint="eastAsia" w:ascii="宋体"/>
                <w:color w:val="000000"/>
                <w:sz w:val="18"/>
                <w:szCs w:val="18"/>
              </w:rPr>
              <w:t>以上的服务对象表示满意。</w:t>
            </w:r>
          </w:p>
        </w:tc>
        <w:tc>
          <w:tcPr>
            <w:tcW w:w="27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%95以上的服务对象表示满意。</w:t>
            </w:r>
          </w:p>
        </w:tc>
      </w:tr>
    </w:tbl>
    <w:p>
      <w:pPr>
        <w:spacing w:line="560" w:lineRule="exact"/>
        <w:rPr>
          <w:rFonts w:ascii="仿宋_GB2312" w:hAnsi="仿宋_GB2312" w:eastAsia="仿宋_GB2312"/>
          <w:sz w:val="32"/>
          <w:szCs w:val="32"/>
        </w:rPr>
      </w:pPr>
    </w:p>
    <w:tbl>
      <w:tblPr>
        <w:tblStyle w:val="13"/>
        <w:tblpPr w:leftFromText="180" w:rightFromText="180" w:vertAnchor="text" w:horzAnchor="page" w:tblpXSpec="center" w:tblpY="423"/>
        <w:tblOverlap w:val="never"/>
        <w:tblW w:w="10775" w:type="dxa"/>
        <w:tblInd w:w="-353" w:type="dxa"/>
        <w:tblLayout w:type="fixed"/>
        <w:tblCellMar>
          <w:top w:w="0" w:type="dxa"/>
          <w:left w:w="0" w:type="dxa"/>
          <w:bottom w:w="0" w:type="dxa"/>
          <w:right w:w="0" w:type="dxa"/>
        </w:tblCellMar>
      </w:tblPr>
      <w:tblGrid>
        <w:gridCol w:w="867"/>
        <w:gridCol w:w="1243"/>
        <w:gridCol w:w="1025"/>
        <w:gridCol w:w="2523"/>
        <w:gridCol w:w="2517"/>
        <w:gridCol w:w="2600"/>
      </w:tblGrid>
      <w:tr>
        <w:tblPrEx>
          <w:tblCellMar>
            <w:top w:w="0" w:type="dxa"/>
            <w:left w:w="0" w:type="dxa"/>
            <w:bottom w:w="0" w:type="dxa"/>
            <w:right w:w="0" w:type="dxa"/>
          </w:tblCellMar>
        </w:tblPrEx>
        <w:trPr>
          <w:trHeight w:val="1035" w:hRule="atLeast"/>
        </w:trPr>
        <w:tc>
          <w:tcPr>
            <w:tcW w:w="10775" w:type="dxa"/>
            <w:gridSpan w:val="6"/>
            <w:tcMar>
              <w:top w:w="15" w:type="dxa"/>
              <w:left w:w="15" w:type="dxa"/>
              <w:bottom w:w="0" w:type="dxa"/>
              <w:right w:w="15" w:type="dxa"/>
            </w:tcMar>
            <w:vAlign w:val="center"/>
          </w:tcPr>
          <w:p>
            <w:pPr>
              <w:pStyle w:val="26"/>
              <w:keepNext w:val="0"/>
              <w:keepLines w:val="0"/>
              <w:widowControl/>
              <w:suppressLineNumbers w:val="0"/>
              <w:spacing w:before="0" w:beforeAutospacing="0" w:after="0" w:afterAutospacing="0" w:line="560" w:lineRule="exact"/>
              <w:ind w:left="4173" w:leftChars="1310" w:right="0" w:hanging="1422" w:hangingChars="395"/>
              <w:textAlignment w:val="center"/>
              <w:rPr>
                <w:rFonts w:hint="default" w:ascii="宋体"/>
                <w:color w:val="000000"/>
                <w:sz w:val="36"/>
                <w:szCs w:val="36"/>
              </w:rPr>
            </w:pPr>
            <w:r>
              <w:rPr>
                <w:rFonts w:hint="eastAsia" w:ascii="黑体" w:hAnsi="黑体" w:eastAsia="黑体" w:cs="黑体"/>
                <w:color w:val="000000"/>
                <w:kern w:val="0"/>
                <w:sz w:val="36"/>
                <w:szCs w:val="36"/>
              </w:rPr>
              <w:t>项目支出绩效目标完成情况表</w:t>
            </w:r>
            <w:r>
              <w:rPr>
                <w:rFonts w:hint="default" w:ascii="宋体"/>
                <w:b/>
                <w:bCs/>
                <w:color w:val="000000"/>
                <w:kern w:val="0"/>
                <w:sz w:val="36"/>
                <w:szCs w:val="36"/>
              </w:rPr>
              <w:br w:type="textWrapping"/>
            </w:r>
            <w:r>
              <w:rPr>
                <w:rFonts w:hint="default" w:ascii="宋体" w:hAnsi="宋体" w:cs="宋体"/>
                <w:color w:val="000000"/>
                <w:kern w:val="0"/>
                <w:sz w:val="36"/>
                <w:szCs w:val="36"/>
              </w:rPr>
              <w:t>(201</w:t>
            </w:r>
            <w:r>
              <w:rPr>
                <w:rFonts w:hint="eastAsia" w:ascii="宋体" w:hAnsi="宋体" w:cs="宋体"/>
                <w:color w:val="000000"/>
                <w:kern w:val="0"/>
                <w:sz w:val="36"/>
                <w:szCs w:val="36"/>
                <w:lang w:val="en-US" w:eastAsia="zh-CN"/>
              </w:rPr>
              <w:t>9</w:t>
            </w:r>
            <w:r>
              <w:rPr>
                <w:rFonts w:hint="default" w:ascii="宋体" w:hAnsi="宋体" w:cs="宋体"/>
                <w:color w:val="000000"/>
                <w:kern w:val="0"/>
                <w:sz w:val="36"/>
                <w:szCs w:val="36"/>
              </w:rPr>
              <w:t xml:space="preserve"> </w:t>
            </w:r>
            <w:r>
              <w:rPr>
                <w:rFonts w:hint="eastAsia" w:ascii="宋体" w:hAnsi="宋体" w:cs="宋体"/>
                <w:color w:val="000000"/>
                <w:kern w:val="0"/>
                <w:sz w:val="36"/>
                <w:szCs w:val="36"/>
              </w:rPr>
              <w:t>年度</w:t>
            </w:r>
            <w:r>
              <w:rPr>
                <w:rFonts w:hint="default" w:ascii="宋体" w:hAnsi="宋体" w:cs="宋体"/>
                <w:color w:val="000000"/>
                <w:kern w:val="0"/>
                <w:sz w:val="36"/>
                <w:szCs w:val="36"/>
              </w:rPr>
              <w:t>)</w:t>
            </w:r>
          </w:p>
        </w:tc>
      </w:tr>
      <w:tr>
        <w:tblPrEx>
          <w:tblCellMar>
            <w:top w:w="0" w:type="dxa"/>
            <w:left w:w="0" w:type="dxa"/>
            <w:bottom w:w="0" w:type="dxa"/>
            <w:right w:w="0" w:type="dxa"/>
          </w:tblCellMar>
        </w:tblPrEx>
        <w:trPr>
          <w:trHeight w:val="432" w:hRule="atLeast"/>
        </w:trPr>
        <w:tc>
          <w:tcPr>
            <w:tcW w:w="3135"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项目名称</w:t>
            </w:r>
          </w:p>
        </w:tc>
        <w:tc>
          <w:tcPr>
            <w:tcW w:w="76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“宗教团体办公经费补助”</w:t>
            </w:r>
          </w:p>
        </w:tc>
      </w:tr>
      <w:tr>
        <w:tblPrEx>
          <w:tblCellMar>
            <w:top w:w="0" w:type="dxa"/>
            <w:left w:w="0" w:type="dxa"/>
            <w:bottom w:w="0" w:type="dxa"/>
            <w:right w:w="0" w:type="dxa"/>
          </w:tblCellMar>
        </w:tblPrEx>
        <w:trPr>
          <w:trHeight w:val="448" w:hRule="atLeast"/>
        </w:trPr>
        <w:tc>
          <w:tcPr>
            <w:tcW w:w="3135"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预算单位</w:t>
            </w:r>
          </w:p>
        </w:tc>
        <w:tc>
          <w:tcPr>
            <w:tcW w:w="7640"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乐山市民族宗教事务委员会</w:t>
            </w:r>
          </w:p>
        </w:tc>
      </w:tr>
      <w:tr>
        <w:tblPrEx>
          <w:tblCellMar>
            <w:top w:w="0" w:type="dxa"/>
            <w:left w:w="0" w:type="dxa"/>
            <w:bottom w:w="0" w:type="dxa"/>
            <w:right w:w="0" w:type="dxa"/>
          </w:tblCellMar>
        </w:tblPrEx>
        <w:trPr>
          <w:trHeight w:val="465" w:hRule="atLeast"/>
        </w:trPr>
        <w:tc>
          <w:tcPr>
            <w:tcW w:w="867"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预算执行情况</w:t>
            </w:r>
            <w:r>
              <w:rPr>
                <w:rFonts w:hint="default" w:ascii="宋体" w:hAnsi="宋体" w:cs="宋体"/>
                <w:color w:val="000000"/>
                <w:kern w:val="0"/>
                <w:sz w:val="18"/>
                <w:szCs w:val="18"/>
              </w:rPr>
              <w:t>(</w:t>
            </w:r>
            <w:r>
              <w:rPr>
                <w:rFonts w:hint="eastAsia" w:ascii="宋体" w:hAnsi="宋体" w:cs="宋体"/>
                <w:color w:val="000000"/>
                <w:kern w:val="0"/>
                <w:sz w:val="18"/>
                <w:szCs w:val="18"/>
              </w:rPr>
              <w:t>万元</w:t>
            </w:r>
            <w:r>
              <w:rPr>
                <w:rFonts w:hint="default" w:ascii="宋体" w:hAnsi="宋体" w:cs="宋体"/>
                <w:color w:val="000000"/>
                <w:kern w:val="0"/>
                <w:sz w:val="18"/>
                <w:szCs w:val="18"/>
              </w:rPr>
              <w:t>)</w:t>
            </w:r>
          </w:p>
        </w:tc>
        <w:tc>
          <w:tcPr>
            <w:tcW w:w="226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预算数</w:t>
            </w:r>
            <w:r>
              <w:rPr>
                <w:rFonts w:hint="default" w:ascii="宋体" w:hAnsi="宋体" w:cs="宋体"/>
                <w:color w:val="000000"/>
                <w:kern w:val="0"/>
                <w:sz w:val="18"/>
                <w:szCs w:val="18"/>
              </w:rPr>
              <w:t>:</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15</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执行数</w:t>
            </w:r>
            <w:r>
              <w:rPr>
                <w:rFonts w:hint="default" w:ascii="宋体" w:hAnsi="宋体" w:cs="宋体"/>
                <w:color w:val="000000"/>
                <w:kern w:val="0"/>
                <w:sz w:val="18"/>
                <w:szCs w:val="18"/>
              </w:rPr>
              <w:t>:</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15</w:t>
            </w:r>
          </w:p>
        </w:tc>
      </w:tr>
      <w:tr>
        <w:tblPrEx>
          <w:tblCellMar>
            <w:top w:w="0" w:type="dxa"/>
            <w:left w:w="0" w:type="dxa"/>
            <w:bottom w:w="0" w:type="dxa"/>
            <w:right w:w="0" w:type="dxa"/>
          </w:tblCellMar>
        </w:tblPrEx>
        <w:trPr>
          <w:trHeight w:val="276"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226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其中</w:t>
            </w:r>
            <w:r>
              <w:rPr>
                <w:rFonts w:hint="default" w:ascii="宋体" w:cs="宋体"/>
                <w:color w:val="000000"/>
                <w:kern w:val="0"/>
                <w:sz w:val="18"/>
                <w:szCs w:val="18"/>
              </w:rPr>
              <w:t>-</w:t>
            </w:r>
            <w:r>
              <w:rPr>
                <w:rFonts w:hint="eastAsia" w:ascii="宋体" w:hAnsi="宋体" w:cs="宋体"/>
                <w:color w:val="000000"/>
                <w:kern w:val="0"/>
                <w:sz w:val="18"/>
                <w:szCs w:val="18"/>
              </w:rPr>
              <w:t>财政拨款</w:t>
            </w:r>
            <w:r>
              <w:rPr>
                <w:rFonts w:hint="default" w:ascii="宋体" w:hAnsi="宋体" w:cs="宋体"/>
                <w:color w:val="000000"/>
                <w:kern w:val="0"/>
                <w:sz w:val="18"/>
                <w:szCs w:val="18"/>
              </w:rPr>
              <w:t>:</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15</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其中</w:t>
            </w:r>
            <w:r>
              <w:rPr>
                <w:rFonts w:hint="default" w:ascii="宋体" w:cs="宋体"/>
                <w:color w:val="000000"/>
                <w:kern w:val="0"/>
                <w:sz w:val="18"/>
                <w:szCs w:val="18"/>
              </w:rPr>
              <w:t>-</w:t>
            </w:r>
            <w:r>
              <w:rPr>
                <w:rFonts w:hint="eastAsia" w:ascii="宋体" w:hAnsi="宋体" w:cs="宋体"/>
                <w:color w:val="000000"/>
                <w:kern w:val="0"/>
                <w:sz w:val="18"/>
                <w:szCs w:val="18"/>
              </w:rPr>
              <w:t>财政拨款</w:t>
            </w:r>
            <w:r>
              <w:rPr>
                <w:rFonts w:hint="default" w:ascii="宋体" w:hAnsi="宋体" w:cs="宋体"/>
                <w:color w:val="000000"/>
                <w:kern w:val="0"/>
                <w:sz w:val="18"/>
                <w:szCs w:val="18"/>
              </w:rPr>
              <w:t>:</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15</w:t>
            </w:r>
          </w:p>
        </w:tc>
      </w:tr>
      <w:tr>
        <w:tblPrEx>
          <w:tblCellMar>
            <w:top w:w="0" w:type="dxa"/>
            <w:left w:w="0" w:type="dxa"/>
            <w:bottom w:w="0" w:type="dxa"/>
            <w:right w:w="0" w:type="dxa"/>
          </w:tblCellMar>
        </w:tblPrEx>
        <w:trPr>
          <w:trHeight w:val="895"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226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其它资金</w:t>
            </w:r>
            <w:r>
              <w:rPr>
                <w:rFonts w:hint="default" w:ascii="宋体" w:hAnsi="宋体" w:cs="宋体"/>
                <w:color w:val="000000"/>
                <w:kern w:val="0"/>
                <w:sz w:val="18"/>
                <w:szCs w:val="18"/>
              </w:rPr>
              <w:t>:</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default" w:ascii="宋体" w:cs="宋体"/>
                <w:color w:val="000000"/>
                <w:kern w:val="0"/>
                <w:sz w:val="18"/>
                <w:szCs w:val="18"/>
              </w:rPr>
              <w:t>0</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其它资金</w:t>
            </w:r>
            <w:r>
              <w:rPr>
                <w:rFonts w:hint="default" w:ascii="宋体" w:hAnsi="宋体" w:cs="宋体"/>
                <w:color w:val="000000"/>
                <w:kern w:val="0"/>
                <w:sz w:val="18"/>
                <w:szCs w:val="18"/>
              </w:rPr>
              <w:t>:</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suppressLineNumbers w:val="0"/>
              <w:spacing w:before="0" w:beforeAutospacing="0" w:after="0" w:afterAutospacing="0" w:line="560" w:lineRule="exact"/>
              <w:ind w:left="0" w:right="0"/>
              <w:jc w:val="center"/>
              <w:rPr>
                <w:rFonts w:hint="default" w:ascii="宋体"/>
                <w:color w:val="000000"/>
                <w:sz w:val="18"/>
                <w:szCs w:val="18"/>
              </w:rPr>
            </w:pPr>
          </w:p>
        </w:tc>
      </w:tr>
      <w:tr>
        <w:tblPrEx>
          <w:tblCellMar>
            <w:top w:w="0" w:type="dxa"/>
            <w:left w:w="0" w:type="dxa"/>
            <w:bottom w:w="0" w:type="dxa"/>
            <w:right w:w="0" w:type="dxa"/>
          </w:tblCellMar>
        </w:tblPrEx>
        <w:trPr>
          <w:trHeight w:val="276" w:hRule="atLeast"/>
        </w:trPr>
        <w:tc>
          <w:tcPr>
            <w:tcW w:w="867"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年度目标完成情况</w:t>
            </w:r>
          </w:p>
        </w:tc>
        <w:tc>
          <w:tcPr>
            <w:tcW w:w="47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预期目标</w:t>
            </w:r>
          </w:p>
        </w:tc>
        <w:tc>
          <w:tcPr>
            <w:tcW w:w="511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实际完成目标</w:t>
            </w:r>
          </w:p>
        </w:tc>
      </w:tr>
      <w:tr>
        <w:tblPrEx>
          <w:tblCellMar>
            <w:top w:w="0" w:type="dxa"/>
            <w:left w:w="0" w:type="dxa"/>
            <w:bottom w:w="0" w:type="dxa"/>
            <w:right w:w="0" w:type="dxa"/>
          </w:tblCellMar>
        </w:tblPrEx>
        <w:trPr>
          <w:trHeight w:val="1159"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4791"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充分发挥宗教团体的桥梁纽带作用，引导教职人员和信教群众始终团结在党委、政府的周围，为维护社会稳定、促进社会和谐、助推乐山发展作出贡献。</w:t>
            </w:r>
          </w:p>
        </w:tc>
        <w:tc>
          <w:tcPr>
            <w:tcW w:w="511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完成预期目标。</w:t>
            </w:r>
          </w:p>
        </w:tc>
      </w:tr>
      <w:tr>
        <w:tblPrEx>
          <w:tblCellMar>
            <w:top w:w="0" w:type="dxa"/>
            <w:left w:w="0" w:type="dxa"/>
            <w:bottom w:w="0" w:type="dxa"/>
            <w:right w:w="0" w:type="dxa"/>
          </w:tblCellMar>
        </w:tblPrEx>
        <w:trPr>
          <w:trHeight w:val="1042" w:hRule="atLeast"/>
        </w:trPr>
        <w:tc>
          <w:tcPr>
            <w:tcW w:w="867"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sz w:val="18"/>
                <w:szCs w:val="18"/>
              </w:rPr>
              <w:t>绩效指标完成情况</w:t>
            </w:r>
          </w:p>
        </w:tc>
        <w:tc>
          <w:tcPr>
            <w:tcW w:w="124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二级指标</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三级指标</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预期指标值</w:t>
            </w:r>
            <w:r>
              <w:rPr>
                <w:rFonts w:hint="default" w:ascii="宋体" w:hAnsi="宋体" w:cs="宋体"/>
                <w:color w:val="000000"/>
                <w:kern w:val="0"/>
                <w:sz w:val="18"/>
                <w:szCs w:val="18"/>
              </w:rPr>
              <w:t>(</w:t>
            </w:r>
            <w:r>
              <w:rPr>
                <w:rFonts w:hint="eastAsia" w:ascii="宋体" w:hAnsi="宋体" w:cs="宋体"/>
                <w:color w:val="000000"/>
                <w:kern w:val="0"/>
                <w:sz w:val="18"/>
                <w:szCs w:val="18"/>
              </w:rPr>
              <w:t>包含数字及文字描述</w:t>
            </w:r>
            <w:r>
              <w:rPr>
                <w:rFonts w:hint="default" w:ascii="宋体" w:hAnsi="宋体" w:cs="宋体"/>
                <w:color w:val="000000"/>
                <w:kern w:val="0"/>
                <w:sz w:val="18"/>
                <w:szCs w:val="18"/>
              </w:rPr>
              <w:t>)</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实际完成指标值</w:t>
            </w:r>
            <w:r>
              <w:rPr>
                <w:rFonts w:hint="default" w:ascii="宋体" w:hAnsi="宋体" w:cs="宋体"/>
                <w:color w:val="000000"/>
                <w:kern w:val="0"/>
                <w:sz w:val="18"/>
                <w:szCs w:val="18"/>
              </w:rPr>
              <w:t>(</w:t>
            </w:r>
            <w:r>
              <w:rPr>
                <w:rFonts w:hint="eastAsia" w:ascii="宋体" w:hAnsi="宋体" w:cs="宋体"/>
                <w:color w:val="000000"/>
                <w:kern w:val="0"/>
                <w:sz w:val="18"/>
                <w:szCs w:val="18"/>
              </w:rPr>
              <w:t>包含数字及文字描述</w:t>
            </w:r>
            <w:r>
              <w:rPr>
                <w:rFonts w:hint="default" w:ascii="宋体" w:hAnsi="宋体" w:cs="宋体"/>
                <w:color w:val="000000"/>
                <w:kern w:val="0"/>
                <w:sz w:val="18"/>
                <w:szCs w:val="18"/>
              </w:rPr>
              <w:t>)</w:t>
            </w:r>
          </w:p>
        </w:tc>
      </w:tr>
      <w:tr>
        <w:tblPrEx>
          <w:tblCellMar>
            <w:top w:w="0" w:type="dxa"/>
            <w:left w:w="0" w:type="dxa"/>
            <w:bottom w:w="0" w:type="dxa"/>
            <w:right w:w="0" w:type="dxa"/>
          </w:tblCellMar>
        </w:tblPrEx>
        <w:trPr>
          <w:trHeight w:val="953"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4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数量指标</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对4个市级宗教团体和1个清真寺管委会办公经费补助。</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对4个市级宗教团体和1个清真寺管委会办公经费补助。</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对4个市级宗教团体和1个清真寺管委会办公经费补助。</w:t>
            </w:r>
          </w:p>
        </w:tc>
      </w:tr>
      <w:tr>
        <w:tblPrEx>
          <w:tblCellMar>
            <w:top w:w="0" w:type="dxa"/>
            <w:left w:w="0" w:type="dxa"/>
            <w:bottom w:w="0" w:type="dxa"/>
            <w:right w:w="0" w:type="dxa"/>
          </w:tblCellMar>
        </w:tblPrEx>
        <w:trPr>
          <w:trHeight w:val="1297"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4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kern w:val="0"/>
                <w:sz w:val="18"/>
                <w:szCs w:val="18"/>
              </w:rPr>
            </w:pPr>
            <w:r>
              <w:rPr>
                <w:rFonts w:hint="eastAsia" w:ascii="宋体" w:hAnsi="宋体" w:cs="宋体"/>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社会效益指标</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充分发挥宗教团体的桥梁纽带作用，引导教职人员和信教群众始终团结在党委、政府的周围，为维护社会稳定、促进社会和谐、助推乐山发展作出贡献。</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rPr>
            </w:pPr>
            <w:r>
              <w:rPr>
                <w:rFonts w:hint="eastAsia" w:ascii="宋体"/>
                <w:color w:val="000000"/>
                <w:sz w:val="18"/>
                <w:szCs w:val="18"/>
              </w:rPr>
              <w:t>充分发挥宗教团体的桥梁纽带作用，引导教职人员和信教群众始终团结在党委、政府的周围，为维护社会稳定、促进社会和谐、助推乐山发展作出贡献。</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rPr>
            </w:pPr>
            <w:r>
              <w:rPr>
                <w:rFonts w:hint="eastAsia" w:ascii="宋体"/>
                <w:color w:val="000000"/>
                <w:sz w:val="18"/>
                <w:szCs w:val="18"/>
              </w:rPr>
              <w:t>充分发挥宗教团体的桥梁纽带作用，引导教职人员和信教群众始终团结在党委、政府的周围，为维护社会稳定、促进社会和谐、助推乐山发展作出贡献。</w:t>
            </w:r>
          </w:p>
        </w:tc>
      </w:tr>
      <w:tr>
        <w:tblPrEx>
          <w:tblCellMar>
            <w:top w:w="0" w:type="dxa"/>
            <w:left w:w="0" w:type="dxa"/>
            <w:bottom w:w="0" w:type="dxa"/>
            <w:right w:w="0" w:type="dxa"/>
          </w:tblCellMar>
        </w:tblPrEx>
        <w:trPr>
          <w:trHeight w:val="691" w:hRule="atLeast"/>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60" w:lineRule="exact"/>
              <w:ind w:left="0" w:right="0"/>
              <w:jc w:val="left"/>
              <w:rPr>
                <w:rFonts w:hint="default" w:ascii="宋体"/>
                <w:color w:val="000000"/>
                <w:sz w:val="18"/>
                <w:szCs w:val="18"/>
              </w:rPr>
            </w:pPr>
          </w:p>
        </w:tc>
        <w:tc>
          <w:tcPr>
            <w:tcW w:w="124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hAnsi="宋体" w:cs="宋体"/>
                <w:color w:val="000000"/>
                <w:kern w:val="0"/>
                <w:sz w:val="18"/>
                <w:szCs w:val="18"/>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满意度指标</w:t>
            </w:r>
          </w:p>
        </w:tc>
        <w:tc>
          <w:tcPr>
            <w:tcW w:w="25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color w:val="000000"/>
                <w:sz w:val="18"/>
                <w:szCs w:val="18"/>
              </w:rPr>
            </w:pPr>
            <w:r>
              <w:rPr>
                <w:rFonts w:hint="eastAsia" w:ascii="宋体"/>
                <w:color w:val="000000"/>
                <w:sz w:val="18"/>
                <w:szCs w:val="18"/>
              </w:rPr>
              <w:t>%95以上的服务对象表示满意。</w:t>
            </w:r>
          </w:p>
        </w:tc>
        <w:tc>
          <w:tcPr>
            <w:tcW w:w="251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%90以上的服务对象表示满意。</w:t>
            </w:r>
          </w:p>
        </w:tc>
        <w:tc>
          <w:tcPr>
            <w:tcW w:w="260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tcPr>
          <w:p>
            <w:pPr>
              <w:keepNext w:val="0"/>
              <w:keepLines w:val="0"/>
              <w:suppressLineNumbers w:val="0"/>
              <w:spacing w:before="0" w:beforeAutospacing="0" w:after="0" w:afterAutospacing="0" w:line="560" w:lineRule="exact"/>
              <w:ind w:left="0" w:right="0"/>
              <w:rPr>
                <w:rFonts w:hint="default"/>
                <w:sz w:val="18"/>
                <w:szCs w:val="18"/>
              </w:rPr>
            </w:pPr>
            <w:r>
              <w:rPr>
                <w:rFonts w:hint="eastAsia" w:ascii="宋体"/>
                <w:color w:val="000000"/>
                <w:sz w:val="18"/>
                <w:szCs w:val="18"/>
              </w:rPr>
              <w:t>%95以上的服务对象表示满意。</w:t>
            </w:r>
          </w:p>
        </w:tc>
      </w:tr>
    </w:tbl>
    <w:p>
      <w:pPr>
        <w:spacing w:line="580" w:lineRule="exact"/>
        <w:ind w:firstLine="640" w:firstLineChars="200"/>
        <w:rPr>
          <w:rFonts w:hint="eastAsia" w:ascii="楷体_GB2312" w:hAnsi="楷体_GB2312" w:eastAsia="楷体_GB2312" w:cs="楷体_GB2312"/>
          <w:sz w:val="32"/>
          <w:szCs w:val="32"/>
        </w:rPr>
      </w:pPr>
    </w:p>
    <w:p>
      <w:pPr>
        <w:spacing w:line="58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w:t>
      </w:r>
      <w:r>
        <w:rPr>
          <w:rFonts w:hint="eastAsia" w:ascii="仿宋_GB2312" w:hAnsi="仿宋_GB2312" w:eastAsia="仿宋_GB2312" w:cs="仿宋_GB2312"/>
          <w:sz w:val="32"/>
          <w:szCs w:val="32"/>
          <w:lang w:eastAsia="zh-CN"/>
        </w:rPr>
        <w:t>乐山市民族宗教事务委员会</w:t>
      </w:r>
      <w:r>
        <w:rPr>
          <w:rFonts w:hint="eastAsia" w:ascii="仿宋_GB2312" w:hAnsi="仿宋_GB2312" w:eastAsia="仿宋_GB2312" w:cs="仿宋_GB2312"/>
          <w:sz w:val="32"/>
          <w:szCs w:val="32"/>
        </w:rPr>
        <w:t>2019年部门整体支出绩效评价报告》见附件（附件1）。</w:t>
      </w:r>
    </w:p>
    <w:p>
      <w:pPr>
        <w:widowControl/>
        <w:ind w:firstLine="640" w:firstLineChars="200"/>
        <w:jc w:val="left"/>
        <w:rPr>
          <w:rFonts w:ascii="仿宋_GB2312" w:eastAsia="仿宋_GB2312"/>
          <w:b/>
          <w:color w:val="000000"/>
          <w:sz w:val="32"/>
          <w:szCs w:val="32"/>
        </w:rPr>
      </w:pPr>
      <w:r>
        <w:rPr>
          <w:rFonts w:hint="eastAsia" w:ascii="仿宋_GB2312" w:hAnsi="仿宋_GB2312" w:eastAsia="仿宋_GB2312" w:cs="仿宋_GB2312"/>
          <w:sz w:val="32"/>
          <w:szCs w:val="32"/>
        </w:rPr>
        <w:t>本部门自行组织对开展了绩效评价，《“市属大中专院校彝族年活动”项目2019年绩效评价报告》见附件（附件2）。</w:t>
      </w:r>
      <w:r>
        <w:rPr>
          <w:rFonts w:ascii="仿宋_GB2312" w:eastAsia="仿宋_GB2312"/>
          <w:b/>
          <w:color w:val="000000"/>
          <w:sz w:val="32"/>
          <w:szCs w:val="32"/>
        </w:rPr>
        <w:br w:type="page"/>
      </w:r>
    </w:p>
    <w:p>
      <w:pPr>
        <w:pageBreakBefore w:val="0"/>
        <w:numPr>
          <w:ilvl w:val="0"/>
          <w:numId w:val="4"/>
        </w:numPr>
        <w:kinsoku/>
        <w:wordWrap/>
        <w:overflowPunct/>
        <w:topLinePunct w:val="0"/>
        <w:bidi w:val="0"/>
        <w:spacing w:line="560" w:lineRule="exact"/>
        <w:ind w:firstLine="660" w:firstLineChars="150"/>
        <w:jc w:val="center"/>
        <w:textAlignment w:val="auto"/>
        <w:outlineLvl w:val="0"/>
        <w:rPr>
          <w:rStyle w:val="27"/>
          <w:rFonts w:ascii="黑体" w:hAnsi="黑体" w:eastAsia="黑体"/>
          <w:b w:val="0"/>
        </w:rPr>
      </w:pPr>
      <w:bookmarkStart w:id="51" w:name="_Toc15396613"/>
      <w:bookmarkStart w:id="52" w:name="_Toc15377225"/>
      <w:r>
        <w:rPr>
          <w:rFonts w:hint="eastAsia" w:ascii="黑体" w:hAnsi="黑体" w:eastAsia="黑体"/>
          <w:color w:val="000000"/>
          <w:sz w:val="44"/>
          <w:szCs w:val="44"/>
        </w:rPr>
        <w:t>名</w:t>
      </w:r>
      <w:r>
        <w:rPr>
          <w:rStyle w:val="27"/>
          <w:rFonts w:hint="eastAsia" w:ascii="黑体" w:hAnsi="黑体" w:eastAsia="黑体"/>
          <w:b w:val="0"/>
        </w:rPr>
        <w:t>词解释</w:t>
      </w:r>
      <w:bookmarkEnd w:id="51"/>
      <w:bookmarkEnd w:id="52"/>
    </w:p>
    <w:p>
      <w:pPr>
        <w:pageBreakBefore w:val="0"/>
        <w:kinsoku/>
        <w:wordWrap/>
        <w:overflowPunct/>
        <w:topLinePunct w:val="0"/>
        <w:bidi w:val="0"/>
        <w:spacing w:line="560" w:lineRule="exact"/>
        <w:jc w:val="left"/>
        <w:textAlignment w:val="auto"/>
        <w:rPr>
          <w:rFonts w:ascii="宋体"/>
          <w:b/>
          <w:color w:val="000000"/>
          <w:sz w:val="44"/>
          <w:szCs w:val="44"/>
        </w:rPr>
      </w:pP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25"/>
        <w:pageBreakBefore w:val="0"/>
        <w:kinsoku/>
        <w:wordWrap/>
        <w:overflowPunct/>
        <w:topLinePunct w:val="0"/>
        <w:bidi w:val="0"/>
        <w:spacing w:line="560" w:lineRule="exact"/>
        <w:ind w:firstLine="640" w:firstLineChars="200"/>
        <w:textAlignment w:val="auto"/>
        <w:rPr>
          <w:rFonts w:hint="eastAsia" w:ascii="仿宋_GB2312" w:eastAsia="仿宋_GB2312"/>
          <w:sz w:val="32"/>
          <w:szCs w:val="32"/>
          <w:lang w:eastAsia="zh-CN"/>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r>
        <w:rPr>
          <w:rFonts w:hint="eastAsia" w:ascii="仿宋_GB2312" w:eastAsia="仿宋_GB2312" w:cs="仿宋_GB2312"/>
          <w:sz w:val="32"/>
          <w:szCs w:val="32"/>
        </w:rPr>
        <w:t>主要是银行利息（收入类型）等</w:t>
      </w:r>
      <w:r>
        <w:rPr>
          <w:rFonts w:hint="eastAsia" w:ascii="仿宋_GB2312" w:eastAsia="仿宋_GB2312" w:cs="仿宋_GB2312"/>
          <w:sz w:val="32"/>
          <w:szCs w:val="32"/>
          <w:lang w:eastAsia="zh-CN"/>
        </w:rPr>
        <w:t>。</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pageBreakBefore w:val="0"/>
        <w:kinsoku/>
        <w:wordWrap/>
        <w:overflowPunct/>
        <w:topLinePunct w:val="0"/>
        <w:bidi w:val="0"/>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9</w:t>
      </w:r>
      <w:r>
        <w:rPr>
          <w:rFonts w:ascii="仿宋_GB2312" w:eastAsia="仿宋_GB2312" w:cs="仿宋_GB2312"/>
          <w:sz w:val="32"/>
          <w:szCs w:val="32"/>
        </w:rPr>
        <w:t>.</w:t>
      </w:r>
      <w:r>
        <w:rPr>
          <w:rFonts w:hint="eastAsia" w:ascii="仿宋_GB2312" w:eastAsia="仿宋_GB2312" w:cs="仿宋_GB2312"/>
          <w:color w:val="000000"/>
          <w:sz w:val="32"/>
          <w:szCs w:val="32"/>
        </w:rPr>
        <w:t xml:space="preserve">一般公共服务（类）民族事务（款）行政运行（项）:反映行政单位的基本支出。 </w:t>
      </w:r>
    </w:p>
    <w:p>
      <w:pPr>
        <w:pageBreakBefore w:val="0"/>
        <w:kinsoku/>
        <w:wordWrap/>
        <w:overflowPunct/>
        <w:topLinePunct w:val="0"/>
        <w:bidi w:val="0"/>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10</w:t>
      </w:r>
      <w:r>
        <w:rPr>
          <w:rFonts w:ascii="仿宋_GB2312" w:eastAsia="仿宋_GB2312" w:cs="仿宋_GB2312"/>
          <w:sz w:val="32"/>
          <w:szCs w:val="32"/>
        </w:rPr>
        <w:t>.</w:t>
      </w:r>
      <w:r>
        <w:rPr>
          <w:rFonts w:hint="eastAsia" w:ascii="仿宋_GB2312" w:eastAsia="仿宋_GB2312" w:cs="仿宋_GB2312"/>
          <w:color w:val="000000"/>
          <w:sz w:val="32"/>
          <w:szCs w:val="32"/>
        </w:rPr>
        <w:t xml:space="preserve">一般公共服务（类）民族事务（款）一般行政管理事务（项）：反映行政单位未单独设置项级科目的其他项目支出。 </w:t>
      </w:r>
    </w:p>
    <w:p>
      <w:pPr>
        <w:pageBreakBefore w:val="0"/>
        <w:kinsoku/>
        <w:wordWrap/>
        <w:overflowPunct/>
        <w:topLinePunct w:val="0"/>
        <w:bidi w:val="0"/>
        <w:spacing w:line="560" w:lineRule="exact"/>
        <w:ind w:firstLine="640" w:firstLineChars="200"/>
        <w:textAlignment w:val="auto"/>
        <w:rPr>
          <w:rFonts w:hint="eastAsia" w:ascii="仿宋_GB2312" w:eastAsia="仿宋_GB2312" w:cs="仿宋_GB2312"/>
          <w:color w:val="000000"/>
          <w:sz w:val="32"/>
          <w:szCs w:val="32"/>
        </w:rPr>
      </w:pPr>
      <w:r>
        <w:rPr>
          <w:rFonts w:hint="eastAsia" w:ascii="仿宋_GB2312" w:eastAsia="仿宋_GB2312" w:cs="仿宋_GB2312"/>
          <w:color w:val="000000"/>
          <w:sz w:val="32"/>
          <w:szCs w:val="32"/>
        </w:rPr>
        <w:t>11</w:t>
      </w:r>
      <w:r>
        <w:rPr>
          <w:rFonts w:ascii="仿宋_GB2312" w:eastAsia="仿宋_GB2312" w:cs="仿宋_GB2312"/>
          <w:sz w:val="32"/>
          <w:szCs w:val="32"/>
        </w:rPr>
        <w:t>.</w:t>
      </w:r>
      <w:r>
        <w:rPr>
          <w:rFonts w:hint="eastAsia" w:ascii="仿宋_GB2312" w:eastAsia="仿宋_GB2312" w:cs="仿宋_GB2312"/>
          <w:color w:val="000000"/>
          <w:sz w:val="32"/>
          <w:szCs w:val="32"/>
        </w:rPr>
        <w:t xml:space="preserve">一般公共服务（类）民族事务（款）民族工作专项（项）：反映用于民族事务管理方面的专项支出。 </w:t>
      </w:r>
    </w:p>
    <w:p>
      <w:pPr>
        <w:pageBreakBefore w:val="0"/>
        <w:kinsoku/>
        <w:wordWrap/>
        <w:overflowPunct/>
        <w:topLinePunct w:val="0"/>
        <w:bidi w:val="0"/>
        <w:spacing w:line="560" w:lineRule="exact"/>
        <w:ind w:firstLine="640" w:firstLineChars="200"/>
        <w:textAlignment w:val="auto"/>
        <w:rPr>
          <w:rFonts w:hint="eastAsia" w:ascii="仿宋_GB2312" w:eastAsia="仿宋_GB2312" w:cs="仿宋_GB2312"/>
          <w:color w:val="000000"/>
          <w:sz w:val="32"/>
          <w:szCs w:val="32"/>
        </w:rPr>
      </w:pPr>
      <w:r>
        <w:rPr>
          <w:rFonts w:hint="eastAsia" w:ascii="仿宋_GB2312" w:eastAsia="仿宋_GB2312" w:cs="仿宋_GB2312"/>
          <w:color w:val="000000"/>
          <w:sz w:val="32"/>
          <w:szCs w:val="32"/>
        </w:rPr>
        <w:t>12</w:t>
      </w:r>
      <w:r>
        <w:rPr>
          <w:rFonts w:ascii="仿宋_GB2312" w:eastAsia="仿宋_GB2312" w:cs="仿宋_GB2312"/>
          <w:sz w:val="32"/>
          <w:szCs w:val="32"/>
        </w:rPr>
        <w:t>.</w:t>
      </w:r>
      <w:r>
        <w:rPr>
          <w:rFonts w:hint="eastAsia" w:ascii="仿宋_GB2312" w:eastAsia="仿宋_GB2312" w:cs="仿宋_GB2312"/>
          <w:color w:val="000000"/>
          <w:sz w:val="32"/>
          <w:szCs w:val="32"/>
        </w:rPr>
        <w:t>一般公共服务（类）民族事务（款）事业运行（项）：反映用于民族事务管理方面的专项支出。</w:t>
      </w:r>
    </w:p>
    <w:p>
      <w:pPr>
        <w:pageBreakBefore w:val="0"/>
        <w:kinsoku/>
        <w:wordWrap/>
        <w:overflowPunct/>
        <w:topLinePunct w:val="0"/>
        <w:bidi w:val="0"/>
        <w:spacing w:line="560" w:lineRule="exact"/>
        <w:ind w:firstLine="640" w:firstLineChars="200"/>
        <w:textAlignment w:val="auto"/>
        <w:rPr>
          <w:rFonts w:hint="eastAsia" w:ascii="仿宋_GB2312" w:eastAsia="仿宋_GB2312" w:cs="仿宋_GB2312"/>
          <w:color w:val="000000"/>
          <w:sz w:val="32"/>
          <w:szCs w:val="32"/>
        </w:rPr>
      </w:pPr>
      <w:r>
        <w:rPr>
          <w:rFonts w:hint="eastAsia" w:ascii="仿宋_GB2312" w:eastAsia="仿宋_GB2312" w:cs="仿宋_GB2312"/>
          <w:color w:val="000000"/>
          <w:sz w:val="32"/>
          <w:szCs w:val="32"/>
        </w:rPr>
        <w:t>13</w:t>
      </w:r>
      <w:r>
        <w:rPr>
          <w:rFonts w:ascii="仿宋_GB2312" w:eastAsia="仿宋_GB2312" w:cs="仿宋_GB2312"/>
          <w:sz w:val="32"/>
          <w:szCs w:val="32"/>
        </w:rPr>
        <w:t>.</w:t>
      </w:r>
      <w:r>
        <w:rPr>
          <w:rFonts w:hint="eastAsia" w:ascii="仿宋_GB2312" w:eastAsia="仿宋_GB2312" w:cs="仿宋_GB2312"/>
          <w:color w:val="000000"/>
          <w:sz w:val="32"/>
          <w:szCs w:val="32"/>
        </w:rPr>
        <w:t>一般公共服务（类）民族事务（款）其他民族事务支出（项）：反映用于民族事务管理方面的专项支出。</w:t>
      </w:r>
    </w:p>
    <w:p>
      <w:pPr>
        <w:pStyle w:val="25"/>
        <w:pageBreakBefore w:val="0"/>
        <w:kinsoku/>
        <w:wordWrap/>
        <w:overflowPunct/>
        <w:topLinePunct w:val="0"/>
        <w:bidi w:val="0"/>
        <w:spacing w:line="560" w:lineRule="exact"/>
        <w:ind w:firstLine="640" w:firstLineChars="200"/>
        <w:textAlignment w:val="auto"/>
        <w:rPr>
          <w:rFonts w:ascii="仿宋_GB2312" w:eastAsia="仿宋_GB2312" w:cs="仿宋_GB2312"/>
          <w:b w:val="0"/>
          <w:bCs w:val="0"/>
          <w:sz w:val="32"/>
          <w:szCs w:val="32"/>
        </w:rPr>
      </w:pPr>
      <w:r>
        <w:rPr>
          <w:rStyle w:val="15"/>
          <w:rFonts w:hint="eastAsia" w:ascii="仿宋_GB2312" w:hAnsi="仿宋_GB2312" w:eastAsia="仿宋_GB2312" w:cs="仿宋_GB2312"/>
          <w:b w:val="0"/>
          <w:bCs w:val="0"/>
          <w:sz w:val="32"/>
          <w:szCs w:val="32"/>
        </w:rPr>
        <w:t>14.一般公共服务（类）组织事务（款）一般行政管理事务（项）: 反映行政单位（包括实行公务员管理的事业单位）未单独设置顶级科目的其他项目支出。</w:t>
      </w:r>
    </w:p>
    <w:p>
      <w:pPr>
        <w:pageBreakBefore w:val="0"/>
        <w:kinsoku/>
        <w:wordWrap/>
        <w:overflowPunct/>
        <w:topLinePunct w:val="0"/>
        <w:bidi w:val="0"/>
        <w:spacing w:line="560" w:lineRule="exact"/>
        <w:ind w:firstLine="640" w:firstLineChars="200"/>
        <w:textAlignment w:val="auto"/>
        <w:rPr>
          <w:rFonts w:hint="eastAsia" w:ascii="仿宋_GB2312" w:eastAsia="仿宋_GB2312" w:cs="仿宋_GB2312"/>
          <w:color w:val="000000"/>
          <w:sz w:val="32"/>
          <w:szCs w:val="32"/>
        </w:rPr>
      </w:pPr>
      <w:r>
        <w:rPr>
          <w:rFonts w:hint="eastAsia" w:ascii="仿宋_GB2312" w:eastAsia="仿宋_GB2312" w:cs="仿宋_GB2312"/>
          <w:color w:val="000000"/>
          <w:sz w:val="32"/>
          <w:szCs w:val="32"/>
        </w:rPr>
        <w:t>15</w:t>
      </w:r>
      <w:r>
        <w:rPr>
          <w:rFonts w:ascii="仿宋_GB2312" w:eastAsia="仿宋_GB2312" w:cs="仿宋_GB2312"/>
          <w:sz w:val="32"/>
          <w:szCs w:val="32"/>
        </w:rPr>
        <w:t>.</w:t>
      </w:r>
      <w:r>
        <w:rPr>
          <w:rFonts w:hint="eastAsia" w:ascii="仿宋_GB2312" w:eastAsia="仿宋_GB2312" w:cs="仿宋_GB2312"/>
          <w:color w:val="000000"/>
          <w:sz w:val="32"/>
          <w:szCs w:val="32"/>
        </w:rPr>
        <w:t>一般公共服务（类）统战事务（款）宗教事务（项）：反映用于宗教事务管理方面的支出。。</w:t>
      </w:r>
    </w:p>
    <w:p>
      <w:pPr>
        <w:pStyle w:val="25"/>
        <w:pageBreakBefore w:val="0"/>
        <w:kinsoku/>
        <w:wordWrap/>
        <w:overflowPunct/>
        <w:topLinePunct w:val="0"/>
        <w:bidi w:val="0"/>
        <w:spacing w:line="560" w:lineRule="exact"/>
        <w:ind w:firstLine="640" w:firstLineChars="200"/>
        <w:textAlignment w:val="auto"/>
        <w:rPr>
          <w:rStyle w:val="15"/>
          <w:rFonts w:ascii="仿宋_GB2312" w:hAnsi="仿宋_GB2312" w:eastAsia="仿宋_GB2312" w:cs="仿宋_GB2312"/>
          <w:b w:val="0"/>
          <w:bCs w:val="0"/>
          <w:sz w:val="32"/>
          <w:szCs w:val="32"/>
        </w:rPr>
      </w:pPr>
      <w:r>
        <w:rPr>
          <w:rStyle w:val="15"/>
          <w:rFonts w:hint="eastAsia" w:ascii="仿宋_GB2312" w:hAnsi="仿宋_GB2312" w:eastAsia="仿宋_GB2312" w:cs="仿宋_GB2312"/>
          <w:b w:val="0"/>
          <w:bCs w:val="0"/>
          <w:sz w:val="32"/>
          <w:szCs w:val="32"/>
        </w:rPr>
        <w:t>16.社会保障和就业（类）人力资源和社会保障管理事务（款）综合业务管理（项）:反映人力资源和社会保障管理方面综合性管理事务支出。</w:t>
      </w:r>
    </w:p>
    <w:p>
      <w:pPr>
        <w:pageBreakBefore w:val="0"/>
        <w:kinsoku/>
        <w:wordWrap/>
        <w:overflowPunct/>
        <w:topLinePunct w:val="0"/>
        <w:bidi w:val="0"/>
        <w:spacing w:line="560" w:lineRule="exact"/>
        <w:ind w:firstLine="640" w:firstLineChars="200"/>
        <w:textAlignment w:val="auto"/>
        <w:rPr>
          <w:rFonts w:ascii="仿宋_GB2312" w:hAnsi="仿宋_GB2312" w:eastAsia="仿宋_GB2312" w:cs="仿宋_GB2312"/>
          <w:sz w:val="32"/>
          <w:szCs w:val="32"/>
        </w:rPr>
      </w:pPr>
      <w:r>
        <w:rPr>
          <w:rStyle w:val="15"/>
          <w:rFonts w:hint="eastAsia" w:ascii="仿宋_GB2312" w:hAnsi="仿宋_GB2312" w:eastAsia="仿宋_GB2312" w:cs="仿宋_GB2312"/>
          <w:b w:val="0"/>
          <w:bCs w:val="0"/>
          <w:color w:val="000000"/>
          <w:sz w:val="32"/>
          <w:szCs w:val="32"/>
        </w:rPr>
        <w:t>17.社会保障和就业（类）行政事业单位离退休（款）归口管理的行政单位离退休（项）:</w:t>
      </w:r>
      <w:r>
        <w:rPr>
          <w:rFonts w:hint="eastAsia" w:ascii="仿宋_GB2312" w:hAnsi="仿宋_GB2312" w:eastAsia="仿宋_GB2312" w:cs="仿宋_GB2312"/>
          <w:sz w:val="32"/>
          <w:szCs w:val="32"/>
        </w:rPr>
        <w:t xml:space="preserve"> 指实行归口管理的行政单位开支的离退休支出。</w:t>
      </w:r>
    </w:p>
    <w:p>
      <w:pPr>
        <w:pStyle w:val="25"/>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18.社会保障和就业支出（类）行政事业单位离退休（款）未归口管理的行政单位离退休（项）:指未实行归口管理的行政单位开支的离退休支出。</w:t>
      </w:r>
    </w:p>
    <w:p>
      <w:pPr>
        <w:pStyle w:val="25"/>
        <w:pageBreakBefore w:val="0"/>
        <w:kinsoku/>
        <w:wordWrap/>
        <w:overflowPunct/>
        <w:topLinePunct w:val="0"/>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19.社会保障和就业支出（类）行政事业单位离退休（款）机关事业单位基本养老保险缴费支出（项）:指部门实施养老保险制度由单位缴纳的养老保险费的支出。</w:t>
      </w:r>
    </w:p>
    <w:p>
      <w:pPr>
        <w:pStyle w:val="25"/>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20.社会保障和就业支出（类）行政事业单位离退休（款）  机关事业单位职业年金缴费支出（项）:指部门实施养老保险制度由单位缴纳的职业年金的支出。</w:t>
      </w:r>
    </w:p>
    <w:p>
      <w:pPr>
        <w:pStyle w:val="25"/>
        <w:pageBreakBefore w:val="0"/>
        <w:kinsoku/>
        <w:wordWrap/>
        <w:overflowPunct/>
        <w:topLinePunct w:val="0"/>
        <w:bidi w:val="0"/>
        <w:spacing w:line="560" w:lineRule="exact"/>
        <w:ind w:firstLine="640" w:firstLineChars="200"/>
        <w:textAlignment w:val="auto"/>
        <w:rPr>
          <w:rFonts w:ascii="仿宋_GB2312" w:hAnsi="仿宋_GB2312" w:eastAsia="仿宋_GB2312" w:cs="仿宋_GB2312"/>
          <w:sz w:val="32"/>
          <w:szCs w:val="32"/>
        </w:rPr>
      </w:pPr>
      <w:r>
        <w:rPr>
          <w:rStyle w:val="15"/>
          <w:rFonts w:hint="eastAsia" w:ascii="仿宋_GB2312" w:hAnsi="仿宋_GB2312" w:eastAsia="仿宋_GB2312" w:cs="仿宋_GB2312"/>
          <w:b w:val="0"/>
          <w:bCs w:val="0"/>
          <w:sz w:val="32"/>
          <w:szCs w:val="32"/>
        </w:rPr>
        <w:t>21.卫生健康支出（类）行政事业单位医疗（款）行政单位医疗（项）:</w:t>
      </w:r>
      <w:r>
        <w:rPr>
          <w:rFonts w:hint="eastAsia" w:ascii="仿宋_GB2312" w:hAnsi="仿宋_GB2312" w:eastAsia="仿宋_GB2312" w:cs="仿宋_GB2312"/>
          <w:sz w:val="32"/>
          <w:szCs w:val="32"/>
        </w:rPr>
        <w:t xml:space="preserve"> 指财政部门集中安排的行政单位基本医疗保险缴费经费支出。</w:t>
      </w:r>
    </w:p>
    <w:p>
      <w:pPr>
        <w:pStyle w:val="25"/>
        <w:pageBreakBefore w:val="0"/>
        <w:kinsoku/>
        <w:wordWrap/>
        <w:overflowPunct/>
        <w:topLinePunct w:val="0"/>
        <w:bidi w:val="0"/>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rPr>
        <w:t>22.</w:t>
      </w:r>
      <w:r>
        <w:rPr>
          <w:rStyle w:val="15"/>
          <w:rFonts w:hint="eastAsia" w:ascii="仿宋_GB2312" w:hAnsi="仿宋_GB2312" w:eastAsia="仿宋_GB2312" w:cs="仿宋_GB2312"/>
          <w:b w:val="0"/>
          <w:bCs w:val="0"/>
          <w:sz w:val="32"/>
          <w:szCs w:val="32"/>
        </w:rPr>
        <w:t>卫生健康支出</w:t>
      </w:r>
      <w:r>
        <w:rPr>
          <w:rFonts w:hint="eastAsia" w:ascii="仿宋_GB2312" w:hAnsi="仿宋_GB2312" w:eastAsia="仿宋_GB2312" w:cs="仿宋_GB2312"/>
          <w:sz w:val="32"/>
          <w:szCs w:val="32"/>
        </w:rPr>
        <w:t>（类）医疗保障（款）事业单位医疗（项）:指财政部门集中安排的事业单位基本医疗保险缴费经费支出。</w:t>
      </w:r>
    </w:p>
    <w:p>
      <w:pPr>
        <w:pageBreakBefore w:val="0"/>
        <w:kinsoku/>
        <w:wordWrap/>
        <w:overflowPunct/>
        <w:topLinePunct w:val="0"/>
        <w:bidi w:val="0"/>
        <w:spacing w:line="560" w:lineRule="exact"/>
        <w:ind w:firstLine="640" w:firstLineChars="200"/>
        <w:textAlignment w:val="auto"/>
        <w:rPr>
          <w:rFonts w:ascii="仿宋_GB2312" w:eastAsia="仿宋_GB2312" w:cs="仿宋_GB2312"/>
          <w:color w:val="000000"/>
          <w:sz w:val="32"/>
          <w:szCs w:val="32"/>
        </w:rPr>
      </w:pPr>
      <w:r>
        <w:rPr>
          <w:rFonts w:hint="eastAsia" w:ascii="仿宋_GB2312" w:eastAsia="仿宋_GB2312" w:cs="仿宋_GB2312"/>
          <w:color w:val="000000"/>
          <w:sz w:val="32"/>
          <w:szCs w:val="32"/>
        </w:rPr>
        <w:t>23</w:t>
      </w:r>
      <w:r>
        <w:rPr>
          <w:rFonts w:ascii="仿宋_GB2312" w:eastAsia="仿宋_GB2312" w:cs="仿宋_GB2312"/>
          <w:sz w:val="32"/>
          <w:szCs w:val="32"/>
        </w:rPr>
        <w:t>.</w:t>
      </w:r>
      <w:r>
        <w:rPr>
          <w:rFonts w:hint="eastAsia"/>
        </w:rPr>
        <w:t xml:space="preserve"> </w:t>
      </w:r>
      <w:r>
        <w:rPr>
          <w:rFonts w:hint="eastAsia" w:ascii="仿宋_GB2312" w:eastAsia="仿宋_GB2312" w:cs="仿宋_GB2312"/>
          <w:color w:val="000000"/>
          <w:sz w:val="32"/>
          <w:szCs w:val="32"/>
        </w:rPr>
        <w:t>农林水支出（类）扶贫（款）其他扶贫支出（项）：指其他用于扶贫方面的支出。</w:t>
      </w:r>
    </w:p>
    <w:p>
      <w:pPr>
        <w:pageBreakBefore w:val="0"/>
        <w:kinsoku/>
        <w:wordWrap/>
        <w:overflowPunct/>
        <w:topLinePunct w:val="0"/>
        <w:bidi w:val="0"/>
        <w:spacing w:line="560" w:lineRule="exact"/>
        <w:ind w:firstLine="640" w:firstLineChars="200"/>
        <w:textAlignment w:val="auto"/>
        <w:rPr>
          <w:rFonts w:ascii="仿宋" w:hAnsi="仿宋" w:eastAsia="仿宋"/>
          <w:b/>
          <w:color w:val="000000"/>
          <w:sz w:val="32"/>
          <w:szCs w:val="32"/>
        </w:rPr>
      </w:pPr>
      <w:r>
        <w:rPr>
          <w:rFonts w:hint="eastAsia" w:ascii="仿宋_GB2312" w:eastAsia="仿宋_GB2312" w:cs="仿宋_GB2312"/>
          <w:color w:val="000000"/>
          <w:sz w:val="32"/>
          <w:szCs w:val="32"/>
        </w:rPr>
        <w:t>24</w:t>
      </w:r>
      <w:r>
        <w:rPr>
          <w:rFonts w:ascii="仿宋_GB2312" w:eastAsia="仿宋_GB2312" w:cs="仿宋_GB2312"/>
          <w:sz w:val="32"/>
          <w:szCs w:val="32"/>
        </w:rPr>
        <w:t>.</w:t>
      </w:r>
      <w:r>
        <w:rPr>
          <w:rFonts w:hint="eastAsia" w:ascii="仿宋_GB2312" w:eastAsia="仿宋_GB2312" w:cs="仿宋_GB2312"/>
          <w:color w:val="000000"/>
          <w:sz w:val="32"/>
          <w:szCs w:val="32"/>
        </w:rPr>
        <w:t>住房保障支出（类）住房改革支出（款）住房公积金（项）: 反映行政单位按人力资源和社会保障部、财政部规定的基本工资和津贴补贴以及规定比例为职工缴纳的住房公积金。</w:t>
      </w:r>
    </w:p>
    <w:p>
      <w:pPr>
        <w:pageBreakBefore w:val="0"/>
        <w:kinsoku/>
        <w:wordWrap/>
        <w:overflowPunct/>
        <w:topLinePunct w:val="0"/>
        <w:bidi w:val="0"/>
        <w:spacing w:line="56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5</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pageBreakBefore w:val="0"/>
        <w:kinsoku/>
        <w:wordWrap/>
        <w:overflowPunct/>
        <w:topLinePunct w:val="0"/>
        <w:bidi w:val="0"/>
        <w:spacing w:line="56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6</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p>
    <w:p>
      <w:pPr>
        <w:pageBreakBefore w:val="0"/>
        <w:kinsoku/>
        <w:wordWrap/>
        <w:overflowPunct/>
        <w:topLinePunct w:val="0"/>
        <w:bidi w:val="0"/>
        <w:spacing w:line="56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7</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28</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pageBreakBefore w:val="0"/>
        <w:kinsoku/>
        <w:wordWrap/>
        <w:overflowPunct/>
        <w:topLinePunct w:val="0"/>
        <w:bidi w:val="0"/>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29</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5"/>
        <w:pageBreakBefore w:val="0"/>
        <w:kinsoku/>
        <w:wordWrap/>
        <w:overflowPunct/>
        <w:topLinePunct w:val="0"/>
        <w:bidi w:val="0"/>
        <w:spacing w:line="560" w:lineRule="exact"/>
        <w:ind w:firstLine="640" w:firstLineChars="200"/>
        <w:textAlignment w:val="auto"/>
        <w:rPr>
          <w:rFonts w:ascii="仿宋_GB2312" w:eastAsia="仿宋_GB2312" w:cs="黑体"/>
          <w:sz w:val="32"/>
          <w:szCs w:val="32"/>
        </w:rPr>
      </w:pPr>
    </w:p>
    <w:p>
      <w:pPr>
        <w:pageBreakBefore w:val="0"/>
        <w:kinsoku/>
        <w:wordWrap/>
        <w:overflowPunct/>
        <w:topLinePunct w:val="0"/>
        <w:bidi w:val="0"/>
        <w:spacing w:line="560" w:lineRule="exact"/>
        <w:jc w:val="center"/>
        <w:textAlignment w:val="auto"/>
        <w:outlineLvl w:val="0"/>
        <w:rPr>
          <w:rStyle w:val="33"/>
          <w:rFonts w:ascii="黑体" w:hAnsi="黑体" w:eastAsia="黑体"/>
          <w:b w:val="0"/>
        </w:rPr>
      </w:pPr>
      <w:bookmarkStart w:id="53" w:name="_Toc15377226"/>
      <w:r>
        <w:rPr>
          <w:rFonts w:ascii="宋体"/>
          <w:b/>
          <w:color w:val="000000"/>
          <w:sz w:val="44"/>
          <w:szCs w:val="44"/>
        </w:rPr>
        <w:br w:type="page"/>
      </w:r>
      <w:bookmarkStart w:id="54" w:name="_Toc15396614"/>
      <w:r>
        <w:rPr>
          <w:rFonts w:hint="eastAsia" w:ascii="黑体" w:hAnsi="黑体" w:eastAsia="黑体"/>
          <w:color w:val="000000"/>
          <w:sz w:val="44"/>
          <w:szCs w:val="44"/>
        </w:rPr>
        <w:t>第</w:t>
      </w:r>
      <w:r>
        <w:rPr>
          <w:rStyle w:val="33"/>
          <w:rFonts w:hint="eastAsia" w:ascii="黑体" w:hAnsi="黑体" w:eastAsia="黑体"/>
          <w:b w:val="0"/>
        </w:rPr>
        <w:t>四部分 附件</w:t>
      </w:r>
      <w:bookmarkEnd w:id="54"/>
    </w:p>
    <w:p>
      <w:pPr>
        <w:pageBreakBefore w:val="0"/>
        <w:kinsoku/>
        <w:wordWrap/>
        <w:overflowPunct/>
        <w:topLinePunct w:val="0"/>
        <w:bidi w:val="0"/>
        <w:spacing w:line="560" w:lineRule="exact"/>
        <w:jc w:val="left"/>
        <w:textAlignment w:val="auto"/>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pageBreakBefore w:val="0"/>
        <w:kinsoku/>
        <w:wordWrap/>
        <w:overflowPunct/>
        <w:topLinePunct w:val="0"/>
        <w:bidi w:val="0"/>
        <w:spacing w:line="560" w:lineRule="exact"/>
        <w:jc w:val="center"/>
        <w:textAlignment w:val="auto"/>
        <w:rPr>
          <w:rFonts w:ascii="方正小标宋简体" w:hAnsi="方正小标宋简体" w:eastAsia="方正小标宋简体" w:cs="方正小标宋简体"/>
          <w:sz w:val="44"/>
          <w:szCs w:val="44"/>
        </w:rPr>
      </w:pPr>
    </w:p>
    <w:p>
      <w:pPr>
        <w:pageBreakBefore w:val="0"/>
        <w:kinsoku/>
        <w:wordWrap/>
        <w:overflowPunct/>
        <w:topLinePunct w:val="0"/>
        <w:bidi w:val="0"/>
        <w:spacing w:line="560" w:lineRule="exact"/>
        <w:jc w:val="center"/>
        <w:textAlignment w:val="auto"/>
        <w:rPr>
          <w:rFonts w:hint="eastAsia" w:ascii="方正小标宋简体" w:hAnsi="宋体" w:eastAsia="方正小标宋简体"/>
          <w:color w:val="000000"/>
          <w:kern w:val="0"/>
          <w:sz w:val="40"/>
          <w:szCs w:val="44"/>
          <w:lang w:eastAsia="zh-CN"/>
        </w:rPr>
      </w:pPr>
      <w:r>
        <w:rPr>
          <w:rFonts w:hint="eastAsia" w:ascii="方正小标宋简体" w:hAnsi="宋体" w:eastAsia="方正小标宋简体"/>
          <w:color w:val="000000"/>
          <w:kern w:val="0"/>
          <w:sz w:val="40"/>
          <w:szCs w:val="44"/>
          <w:lang w:eastAsia="zh-CN"/>
        </w:rPr>
        <w:t>乐山市民族宗教事务委员会</w:t>
      </w:r>
    </w:p>
    <w:p>
      <w:pPr>
        <w:pageBreakBefore w:val="0"/>
        <w:kinsoku/>
        <w:wordWrap/>
        <w:overflowPunct/>
        <w:topLinePunct w:val="0"/>
        <w:bidi w:val="0"/>
        <w:spacing w:line="560" w:lineRule="exact"/>
        <w:jc w:val="center"/>
        <w:textAlignment w:val="auto"/>
        <w:rPr>
          <w:rFonts w:ascii="方正小标宋简体" w:hAnsi="宋体" w:eastAsia="方正小标宋简体"/>
          <w:color w:val="000000"/>
          <w:kern w:val="0"/>
          <w:sz w:val="40"/>
          <w:szCs w:val="44"/>
          <w:lang w:val="zh-CN"/>
        </w:rPr>
      </w:pP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p>
    <w:p>
      <w:pPr>
        <w:pageBreakBefore w:val="0"/>
        <w:widowControl/>
        <w:kinsoku/>
        <w:wordWrap/>
        <w:overflowPunct/>
        <w:topLinePunct w:val="0"/>
        <w:bidi w:val="0"/>
        <w:adjustRightInd w:val="0"/>
        <w:snapToGrid w:val="0"/>
        <w:spacing w:line="560" w:lineRule="exact"/>
        <w:ind w:firstLine="480" w:firstLineChars="200"/>
        <w:contextualSpacing/>
        <w:jc w:val="left"/>
        <w:textAlignment w:val="auto"/>
        <w:rPr>
          <w:rFonts w:ascii="黑体" w:hAnsi="宋体" w:eastAsia="黑体" w:cs="宋体"/>
          <w:color w:val="000000"/>
          <w:kern w:val="0"/>
          <w:sz w:val="24"/>
          <w:szCs w:val="32"/>
          <w:shd w:val="clear" w:color="auto" w:fill="FFFFFF"/>
        </w:rPr>
      </w:pP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rPr>
        <w:t>一、</w:t>
      </w:r>
      <w:r>
        <w:rPr>
          <w:rFonts w:hint="eastAsia" w:ascii="仿宋_GB2312" w:hAnsi="仿宋_GB2312" w:eastAsia="仿宋_GB2312" w:cs="仿宋_GB2312"/>
          <w:b/>
          <w:bCs/>
          <w:color w:val="auto"/>
          <w:kern w:val="0"/>
          <w:sz w:val="32"/>
          <w:szCs w:val="32"/>
          <w:shd w:val="clear" w:color="auto" w:fill="FFFFFF"/>
          <w:lang w:val="zh-CN"/>
        </w:rPr>
        <w:t>部门（单位）概况</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（一）机构组成。</w:t>
      </w:r>
    </w:p>
    <w:p>
      <w:pPr>
        <w:pageBreakBefore w:val="0"/>
        <w:kinsoku/>
        <w:wordWrap/>
        <w:overflowPunct/>
        <w:topLinePunct w:val="0"/>
        <w:autoSpaceDE/>
        <w:autoSpaceDN/>
        <w:bidi w:val="0"/>
        <w:spacing w:line="560" w:lineRule="exact"/>
        <w:ind w:firstLine="63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乐山市民族宗教事务委员会下属二级单位1个，其中行政单位0个，参照公务员法管理的事业单位0个，其他事业单位1个。</w:t>
      </w:r>
    </w:p>
    <w:p>
      <w:pPr>
        <w:pageBreakBefore w:val="0"/>
        <w:kinsoku/>
        <w:wordWrap/>
        <w:overflowPunct/>
        <w:topLinePunct w:val="0"/>
        <w:autoSpaceDE/>
        <w:autoSpaceDN/>
        <w:bidi w:val="0"/>
        <w:spacing w:line="560" w:lineRule="exact"/>
        <w:ind w:firstLine="630"/>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sz w:val="32"/>
          <w:szCs w:val="32"/>
        </w:rPr>
        <w:t>没有纳入乐山市民族宗教事务委员会201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年度部门决算编制范围的二级预算单位。</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（二）机构职能。</w:t>
      </w:r>
    </w:p>
    <w:p>
      <w:pPr>
        <w:pageBreakBefore w:val="0"/>
        <w:kinsoku/>
        <w:wordWrap/>
        <w:overflowPunct/>
        <w:topLinePunct w:val="0"/>
        <w:autoSpaceDE/>
        <w:autoSpaceDN/>
        <w:bidi w:val="0"/>
        <w:spacing w:line="560" w:lineRule="exact"/>
        <w:ind w:firstLine="787" w:firstLineChars="246"/>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贯彻执行党和政府关于民族宗教工作的方针政策和法律法规，依法监督各县（市、区）、市级各部门、各企事业单位贯彻执行民族宗教政策法规；保障少数民族合法权益，联系民族自治县，督促指导民族区域自治法的贯彻落实。</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2、组织开展民族宗教理论、民族宗教政策和民族宗教问题等重大课题的调查研究，提出全市民族宗教工作的政策和建议，拟订有关民族宗教事务管理的规范性文件并组织实施。</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3、负责协调推动有关部门履行民族宗教工作相关职责，推进民族宗教事务法治化、社会化管理工作，促进民族宗教政策在经济发展和社会事业等相关领域的实施、衔接。</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4、深入开展民族团结进步宣传教育活动和民族团结进步创建活动；协调推进本系统依法行政，落实行政执法责任制，依法治理宗教领域的非法、违法活动。</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5、依法保障少数民族合法权益，保护公民宗教信仰自由和正常的宗教活动；协调处理民族宗教关系中的重大事宜，抵御境外利用民族宗教进行的分裂、渗透和破坏活动，维护社会稳定和国家统一。</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分析民族地区经济运行情况，协助民族地区拟定经济发展规划，研究提出加快民族地区经济发展的特殊政策措施;完善城市民族工作机制，健全城市民族工作功能；帮助散杂居少数民族加快经济和社会事业发展。</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组织协调民族地区科技发展、对口支援、经济技术协作，配合承办民族地区扶贫开发事宜，研究少数民族和民族地区教育、文化、科技、卫生、体育、新闻出版等方面的特殊问题并提出相关意见，承办相应事务，协助开展少数民族和民族地区对外宣传工作，组织协调民族宗教工作领域对外交流与合作。</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8、协助开展民族地区干部队伍建设的调查研究和少数民族干部的培养、教育和使用等工作，组织对少数民族合法权益维护、妇女儿童状况和散杂居少数民族情况的调查研究。</w:t>
      </w:r>
    </w:p>
    <w:p>
      <w:pPr>
        <w:pageBreakBefore w:val="0"/>
        <w:widowControl/>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9、做好少数民族界代表人士、宗教界代表人士的联系和有关服务工作。</w:t>
      </w:r>
    </w:p>
    <w:p>
      <w:pPr>
        <w:pageBreakBefore w:val="0"/>
        <w:kinsoku/>
        <w:wordWrap/>
        <w:overflowPunct/>
        <w:topLinePunct w:val="0"/>
        <w:autoSpaceDE/>
        <w:autoSpaceDN/>
        <w:bidi w:val="0"/>
        <w:spacing w:line="560" w:lineRule="exact"/>
        <w:ind w:firstLine="63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10、依法保障少数民族语言文字的使用、推广，指导民族地区少数民族语言文字工作。</w:t>
      </w:r>
    </w:p>
    <w:p>
      <w:pPr>
        <w:pageBreakBefore w:val="0"/>
        <w:kinsoku/>
        <w:wordWrap/>
        <w:overflowPunct/>
        <w:topLinePunct w:val="0"/>
        <w:autoSpaceDE/>
        <w:autoSpaceDN/>
        <w:bidi w:val="0"/>
        <w:spacing w:line="560" w:lineRule="exact"/>
        <w:ind w:firstLine="63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11、承担市政府公布的有关行政审批事项。</w:t>
      </w:r>
    </w:p>
    <w:p>
      <w:pPr>
        <w:pageBreakBefore w:val="0"/>
        <w:kinsoku/>
        <w:wordWrap/>
        <w:overflowPunct/>
        <w:topLinePunct w:val="0"/>
        <w:autoSpaceDE/>
        <w:autoSpaceDN/>
        <w:bidi w:val="0"/>
        <w:spacing w:line="560" w:lineRule="exact"/>
        <w:ind w:firstLine="630"/>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sz w:val="32"/>
          <w:szCs w:val="32"/>
        </w:rPr>
        <w:t>12、承办市政府交办的其它事项。</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（三）人员概况。</w:t>
      </w:r>
    </w:p>
    <w:p>
      <w:pPr>
        <w:pStyle w:val="35"/>
        <w:pageBreakBefore w:val="0"/>
        <w:numPr>
          <w:ilvl w:val="0"/>
          <w:numId w:val="0"/>
        </w:numPr>
        <w:kinsoku/>
        <w:wordWrap/>
        <w:overflowPunct/>
        <w:topLinePunct w:val="0"/>
        <w:autoSpaceDE/>
        <w:autoSpaceDN/>
        <w:bidi w:val="0"/>
        <w:spacing w:line="560" w:lineRule="exact"/>
        <w:ind w:firstLine="640" w:firstLineChars="200"/>
        <w:textAlignment w:val="auto"/>
        <w:rPr>
          <w:rStyle w:val="17"/>
          <w:rFonts w:hint="eastAsia" w:ascii="仿宋_GB2312" w:hAnsi="仿宋_GB2312" w:eastAsia="仿宋_GB2312" w:cs="仿宋_GB2312"/>
          <w:color w:val="auto"/>
          <w:kern w:val="0"/>
          <w:sz w:val="32"/>
          <w:szCs w:val="32"/>
          <w:shd w:val="clear" w:color="auto" w:fill="FFFFFF"/>
          <w:lang w:val="en-US"/>
        </w:rPr>
      </w:pPr>
      <w:r>
        <w:rPr>
          <w:rStyle w:val="17"/>
          <w:rFonts w:hint="eastAsia" w:ascii="仿宋_GB2312" w:hAnsi="仿宋_GB2312" w:eastAsia="仿宋_GB2312" w:cs="仿宋_GB2312"/>
          <w:color w:val="auto"/>
          <w:kern w:val="0"/>
          <w:sz w:val="32"/>
          <w:szCs w:val="32"/>
          <w:shd w:val="clear" w:color="auto" w:fill="FFFFFF"/>
          <w:lang w:val="en-US"/>
        </w:rPr>
        <w:t>市民族宗教委编制数 26名，其中：行政编制24名，工勤编制2名。在职实有人数28人，其中：行政26人，工勤2人。另有用工控制数聘用人员1人。</w:t>
      </w:r>
    </w:p>
    <w:p>
      <w:pPr>
        <w:pStyle w:val="5"/>
        <w:pageBreakBefore w:val="0"/>
        <w:kinsoku/>
        <w:wordWrap/>
        <w:overflowPunct/>
        <w:topLinePunct w:val="0"/>
        <w:autoSpaceDE/>
        <w:autoSpaceDN/>
        <w:bidi w:val="0"/>
        <w:adjustRightInd w:val="0"/>
        <w:snapToGrid w:val="0"/>
        <w:spacing w:before="93" w:line="560" w:lineRule="exact"/>
        <w:ind w:firstLine="672" w:firstLineChars="210"/>
        <w:textAlignment w:val="auto"/>
        <w:rPr>
          <w:rFonts w:hint="eastAsia" w:ascii="仿宋_GB2312" w:hAnsi="仿宋_GB2312" w:eastAsia="仿宋_GB2312" w:cs="仿宋_GB2312"/>
          <w:color w:val="auto"/>
          <w:kern w:val="0"/>
          <w:sz w:val="32"/>
          <w:szCs w:val="32"/>
          <w:shd w:val="clear" w:color="auto" w:fill="FFFFFF"/>
          <w:lang w:val="zh-CN"/>
        </w:rPr>
      </w:pPr>
      <w:r>
        <w:rPr>
          <w:rStyle w:val="17"/>
          <w:rFonts w:hint="eastAsia" w:ascii="仿宋_GB2312" w:hAnsi="仿宋_GB2312" w:eastAsia="仿宋_GB2312" w:cs="仿宋_GB2312"/>
          <w:color w:val="auto"/>
          <w:sz w:val="32"/>
          <w:szCs w:val="32"/>
          <w:shd w:val="clear" w:color="auto" w:fill="FFFFFF"/>
        </w:rPr>
        <w:t>乐山市少数民族研究所编制数 5名，实有人1人。</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rPr>
      </w:pPr>
      <w:r>
        <w:rPr>
          <w:rFonts w:hint="eastAsia" w:ascii="仿宋_GB2312" w:hAnsi="仿宋_GB2312" w:eastAsia="仿宋_GB2312" w:cs="仿宋_GB2312"/>
          <w:b/>
          <w:bCs/>
          <w:color w:val="auto"/>
          <w:kern w:val="0"/>
          <w:sz w:val="32"/>
          <w:szCs w:val="32"/>
          <w:shd w:val="clear" w:color="auto" w:fill="FFFFFF"/>
        </w:rPr>
        <w:t>二、部门财政资金收支情况</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（一）部门财政资金收入情况。</w:t>
      </w:r>
    </w:p>
    <w:p>
      <w:pPr>
        <w:pageBreakBefore w:val="0"/>
        <w:kinsoku/>
        <w:wordWrap/>
        <w:overflowPunct/>
        <w:topLinePunct w:val="0"/>
        <w:autoSpaceDE/>
        <w:autoSpaceDN/>
        <w:bidi w:val="0"/>
        <w:spacing w:line="560" w:lineRule="exact"/>
        <w:ind w:firstLine="640" w:firstLineChars="200"/>
        <w:textAlignment w:val="auto"/>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2019年本年收入合计902.85万元，其中：一般公共预算财政拨款收入902.00万元，占100%；政府性基金预算财政拨款收入0万元，占0%；上级补助收入0万元，占0%；事业收入0万元，占0%；经营收入0万元，占0%；附属单位上缴收入0万元，占0%；其他收入0.85万元，占0%。</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（二）部门财政资金支出情况。</w:t>
      </w:r>
    </w:p>
    <w:p>
      <w:pPr>
        <w:pageBreakBefore w:val="0"/>
        <w:kinsoku/>
        <w:wordWrap/>
        <w:overflowPunct/>
        <w:topLinePunct w:val="0"/>
        <w:autoSpaceDE/>
        <w:autoSpaceDN/>
        <w:bidi w:val="0"/>
        <w:spacing w:line="560" w:lineRule="exact"/>
        <w:ind w:firstLine="640" w:firstLineChars="200"/>
        <w:textAlignment w:val="auto"/>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2019年本年支出合计946.50万元，其中：基本支出602.65万元，占64%；项目支出343.85万元，占36%；上缴上级支出0万元，占0%；经营支出0万元，占0%；对附属单位补助支出0万元，占0%。</w:t>
      </w:r>
    </w:p>
    <w:p>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kern w:val="0"/>
          <w:sz w:val="32"/>
          <w:szCs w:val="32"/>
          <w:shd w:val="clear" w:color="auto" w:fill="FFFFFF"/>
        </w:rPr>
      </w:pP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rPr>
      </w:pPr>
      <w:r>
        <w:rPr>
          <w:rFonts w:hint="eastAsia" w:ascii="仿宋_GB2312" w:hAnsi="仿宋_GB2312" w:eastAsia="仿宋_GB2312" w:cs="仿宋_GB2312"/>
          <w:b/>
          <w:bCs/>
          <w:color w:val="auto"/>
          <w:kern w:val="0"/>
          <w:sz w:val="32"/>
          <w:szCs w:val="32"/>
          <w:shd w:val="clear" w:color="auto" w:fill="FFFFFF"/>
        </w:rPr>
        <w:t>三、部门整体预算绩效管理情况</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（一）部门预算管理。</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绩效目标制定：</w:t>
      </w:r>
      <w:r>
        <w:rPr>
          <w:rFonts w:hint="eastAsia" w:ascii="仿宋_GB2312" w:hAnsi="仿宋_GB2312" w:eastAsia="仿宋_GB2312" w:cs="仿宋_GB2312"/>
          <w:color w:val="auto"/>
          <w:sz w:val="32"/>
          <w:szCs w:val="32"/>
        </w:rPr>
        <w:t>根据预算绩效管理要求，本部门在年初预算编制阶段，组织对</w:t>
      </w:r>
      <w:r>
        <w:rPr>
          <w:rFonts w:hint="eastAsia" w:ascii="仿宋_GB2312" w:hAnsi="仿宋_GB2312" w:eastAsia="仿宋_GB2312" w:cs="仿宋_GB2312"/>
          <w:color w:val="auto"/>
          <w:sz w:val="32"/>
          <w:szCs w:val="32"/>
          <w:lang w:eastAsia="zh-CN"/>
        </w:rPr>
        <w:t>“宗教团体办公经费补助”和“市属大中专院校彝族年活动”</w:t>
      </w:r>
      <w:r>
        <w:rPr>
          <w:rFonts w:hint="eastAsia" w:ascii="仿宋_GB2312" w:hAnsi="仿宋_GB2312" w:eastAsia="仿宋_GB2312" w:cs="仿宋_GB2312"/>
          <w:color w:val="auto"/>
          <w:sz w:val="32"/>
          <w:szCs w:val="32"/>
        </w:rPr>
        <w:t>开展了预算事前绩效评估，对</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个项目编制了绩效目标，预算执行过程中，选取</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个项目开展绩效监控，年终执行完毕后，对</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个项目开展了绩效目标完成情况自评。</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lang w:val="zh-CN"/>
        </w:rPr>
        <w:t>目标实现：</w:t>
      </w:r>
      <w:r>
        <w:rPr>
          <w:rFonts w:hint="eastAsia" w:ascii="仿宋_GB2312" w:hAnsi="仿宋_GB2312" w:eastAsia="仿宋_GB2312" w:cs="仿宋_GB2312"/>
          <w:color w:val="auto"/>
          <w:sz w:val="32"/>
          <w:szCs w:val="32"/>
        </w:rPr>
        <w:t>加强项目经费支出进度管理，完善预算动态监控，绩效目标完成较好，发挥财政资金的最大效益。</w:t>
      </w:r>
    </w:p>
    <w:p>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kern w:val="0"/>
          <w:sz w:val="32"/>
          <w:szCs w:val="32"/>
          <w:shd w:val="clear" w:color="auto" w:fill="FFFFFF"/>
          <w:lang w:val="zh-CN" w:eastAsia="zh-CN"/>
        </w:rPr>
      </w:pPr>
      <w:r>
        <w:rPr>
          <w:rFonts w:hint="eastAsia" w:ascii="仿宋_GB2312" w:hAnsi="仿宋_GB2312" w:eastAsia="仿宋_GB2312" w:cs="仿宋_GB2312"/>
          <w:color w:val="auto"/>
          <w:kern w:val="0"/>
          <w:sz w:val="32"/>
          <w:szCs w:val="32"/>
          <w:shd w:val="clear" w:color="auto" w:fill="FFFFFF"/>
          <w:lang w:val="zh-CN"/>
        </w:rPr>
        <w:t>预算编制准确：</w:t>
      </w:r>
      <w:r>
        <w:rPr>
          <w:rFonts w:hint="eastAsia" w:ascii="仿宋_GB2312" w:hAnsi="仿宋_GB2312" w:eastAsia="仿宋_GB2312" w:cs="仿宋_GB2312"/>
          <w:color w:val="auto"/>
          <w:sz w:val="32"/>
          <w:szCs w:val="32"/>
        </w:rPr>
        <w:t>以预算编制为引领，以支出管理为核心，严格按照市财政局预算编制要求，扎实做好 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预算执行工作，预、决算编制较为合理，规划明确</w:t>
      </w:r>
      <w:r>
        <w:rPr>
          <w:rFonts w:hint="eastAsia" w:ascii="仿宋_GB2312" w:hAnsi="仿宋_GB2312" w:eastAsia="仿宋_GB2312" w:cs="仿宋_GB2312"/>
          <w:color w:val="auto"/>
          <w:sz w:val="32"/>
          <w:szCs w:val="32"/>
          <w:lang w:eastAsia="zh-CN"/>
        </w:rPr>
        <w:t>。</w:t>
      </w:r>
    </w:p>
    <w:p>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支出控制：</w:t>
      </w:r>
      <w:r>
        <w:rPr>
          <w:rFonts w:hint="eastAsia" w:ascii="仿宋_GB2312" w:hAnsi="仿宋_GB2312" w:eastAsia="仿宋_GB2312" w:cs="仿宋_GB2312"/>
          <w:color w:val="auto"/>
          <w:sz w:val="32"/>
          <w:szCs w:val="32"/>
        </w:rPr>
        <w:t>认真贯彻落实中央八项规定和省市十项规定，无超预算或无预算安排支出，虚列支出、转嫁支出、转移或者套取预算资金情况，无超标准、超范围列支“三公”经费、会议费、培训费和差旅费，滥发工资、奖金、补贴等问题。</w:t>
      </w:r>
    </w:p>
    <w:p>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kern w:val="0"/>
          <w:sz w:val="32"/>
          <w:szCs w:val="32"/>
          <w:shd w:val="clear" w:color="auto" w:fill="FFFFFF"/>
          <w:lang w:val="zh-CN"/>
        </w:rPr>
      </w:pPr>
      <w:r>
        <w:rPr>
          <w:rFonts w:hint="eastAsia" w:ascii="仿宋_GB2312" w:hAnsi="仿宋_GB2312" w:eastAsia="仿宋_GB2312" w:cs="仿宋_GB2312"/>
          <w:color w:val="auto"/>
          <w:kern w:val="0"/>
          <w:sz w:val="32"/>
          <w:szCs w:val="32"/>
          <w:shd w:val="clear" w:color="auto" w:fill="FFFFFF"/>
          <w:lang w:val="zh-CN"/>
        </w:rPr>
        <w:t>预算动态调整：2019年度，乐山市民族宗教委部门预算仅作了经济分类个别调整，无新增项目支出预算调整情况。</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shd w:val="clear" w:color="auto" w:fill="FFFFFF"/>
          <w:lang w:val="zh-CN"/>
        </w:rPr>
        <w:t>执行进度：</w:t>
      </w:r>
      <w:r>
        <w:rPr>
          <w:rFonts w:hint="eastAsia" w:ascii="仿宋_GB2312" w:hAnsi="仿宋_GB2312" w:eastAsia="仿宋_GB2312" w:cs="仿宋_GB2312"/>
          <w:color w:val="auto"/>
          <w:sz w:val="32"/>
          <w:szCs w:val="32"/>
        </w:rPr>
        <w:t>根据本单位工作实际，在建立并实施内部监督和控制制度过程中，修订完善《财务管理制度》，在保证各项工作顺利运转的同时，</w:t>
      </w:r>
      <w:r>
        <w:rPr>
          <w:rFonts w:hint="eastAsia" w:ascii="仿宋_GB2312" w:hAnsi="仿宋_GB2312" w:eastAsia="仿宋_GB2312" w:cs="仿宋_GB2312"/>
          <w:color w:val="auto"/>
          <w:sz w:val="32"/>
          <w:szCs w:val="32"/>
          <w:lang w:eastAsia="zh-CN"/>
        </w:rPr>
        <w:t>较好地完成各项预算进度。</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zh-CN"/>
        </w:rPr>
        <w:t>预算完成情况：</w:t>
      </w:r>
      <w:r>
        <w:rPr>
          <w:rFonts w:hint="eastAsia" w:ascii="仿宋_GB2312" w:hAnsi="仿宋_GB2312" w:eastAsia="仿宋_GB2312" w:cs="仿宋_GB2312"/>
          <w:color w:val="auto"/>
          <w:sz w:val="32"/>
          <w:szCs w:val="32"/>
        </w:rPr>
        <w:t>2019年度，乐山市</w:t>
      </w:r>
      <w:r>
        <w:rPr>
          <w:rFonts w:hint="eastAsia" w:ascii="仿宋_GB2312" w:hAnsi="仿宋_GB2312" w:eastAsia="仿宋_GB2312" w:cs="仿宋_GB2312"/>
          <w:color w:val="auto"/>
          <w:sz w:val="32"/>
          <w:szCs w:val="32"/>
          <w:lang w:eastAsia="zh-CN"/>
        </w:rPr>
        <w:t>民族宗教委</w:t>
      </w:r>
      <w:r>
        <w:rPr>
          <w:rFonts w:hint="eastAsia" w:ascii="仿宋_GB2312" w:hAnsi="仿宋_GB2312" w:eastAsia="仿宋_GB2312" w:cs="仿宋_GB2312"/>
          <w:color w:val="auto"/>
          <w:sz w:val="32"/>
          <w:szCs w:val="32"/>
        </w:rPr>
        <w:t>部门预算</w:t>
      </w:r>
      <w:r>
        <w:rPr>
          <w:rFonts w:hint="eastAsia" w:ascii="仿宋_GB2312" w:hAnsi="仿宋_GB2312" w:eastAsia="仿宋_GB2312" w:cs="仿宋_GB2312"/>
          <w:color w:val="auto"/>
          <w:sz w:val="32"/>
          <w:szCs w:val="32"/>
          <w:lang w:eastAsia="zh-CN"/>
        </w:rPr>
        <w:t>执行了</w:t>
      </w: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lang w:val="en-US" w:eastAsia="zh-CN"/>
        </w:rPr>
        <w:t>5%。</w:t>
      </w:r>
    </w:p>
    <w:p>
      <w:pPr>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auto"/>
          <w:kern w:val="0"/>
          <w:sz w:val="32"/>
          <w:szCs w:val="32"/>
          <w:shd w:val="clear" w:color="auto" w:fill="FFFFFF"/>
          <w:lang w:val="zh-CN"/>
        </w:rPr>
      </w:pPr>
      <w:r>
        <w:rPr>
          <w:rFonts w:hint="eastAsia" w:ascii="仿宋_GB2312" w:hAnsi="仿宋_GB2312" w:eastAsia="仿宋_GB2312" w:cs="仿宋_GB2312"/>
          <w:b/>
          <w:bCs/>
          <w:color w:val="auto"/>
          <w:kern w:val="0"/>
          <w:sz w:val="32"/>
          <w:szCs w:val="32"/>
          <w:shd w:val="clear" w:color="auto" w:fill="FFFFFF"/>
          <w:lang w:val="zh-CN"/>
        </w:rPr>
        <w:t>（二）结果应用情况。</w:t>
      </w:r>
    </w:p>
    <w:p>
      <w:pPr>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年，乐山市民族宗教事务委员会严格按照市委市政府要求，服务大局，高效运转，改革创新，预算支出做到了使用规范、程序透明、达到预期绩效目标，对20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年预算编制工作起到了较好的参考作用。</w:t>
      </w:r>
    </w:p>
    <w:p>
      <w:pPr>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四、评价结论及建议</w:t>
      </w:r>
    </w:p>
    <w:p>
      <w:pPr>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（一）评价结论</w:t>
      </w:r>
    </w:p>
    <w:p>
      <w:pPr>
        <w:pStyle w:val="12"/>
        <w:pageBreakBefore w:val="0"/>
        <w:widowControl/>
        <w:kinsoku/>
        <w:wordWrap/>
        <w:overflowPunct/>
        <w:topLinePunct w:val="0"/>
        <w:autoSpaceDE/>
        <w:autoSpaceDN/>
        <w:bidi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乐山市民族宗教事务委员会201</w:t>
      </w:r>
      <w:r>
        <w:rPr>
          <w:rFonts w:hint="eastAsia" w:ascii="仿宋_GB2312" w:hAnsi="仿宋_GB2312" w:eastAsia="仿宋_GB2312" w:cs="仿宋_GB2312"/>
          <w:color w:val="auto"/>
          <w:kern w:val="2"/>
          <w:sz w:val="32"/>
          <w:szCs w:val="32"/>
          <w:lang w:val="en-US" w:eastAsia="zh-CN"/>
        </w:rPr>
        <w:t>9</w:t>
      </w:r>
      <w:r>
        <w:rPr>
          <w:rFonts w:hint="eastAsia" w:ascii="仿宋_GB2312" w:hAnsi="仿宋_GB2312" w:eastAsia="仿宋_GB2312" w:cs="仿宋_GB2312"/>
          <w:color w:val="auto"/>
          <w:kern w:val="2"/>
          <w:sz w:val="32"/>
          <w:szCs w:val="32"/>
        </w:rPr>
        <w:t>年度部门决算支出从自评情况来看，预、决算编制合理，支出高效规范，既确保了机关正常运转，又保证了专项开支，财政支出绩效良好，综合考核自评得分 9</w:t>
      </w:r>
      <w:r>
        <w:rPr>
          <w:rFonts w:hint="eastAsia" w:ascii="仿宋_GB2312" w:hAnsi="仿宋_GB2312" w:eastAsia="仿宋_GB2312" w:cs="仿宋_GB2312"/>
          <w:color w:val="auto"/>
          <w:kern w:val="2"/>
          <w:sz w:val="32"/>
          <w:szCs w:val="32"/>
          <w:lang w:val="en-US" w:eastAsia="zh-CN"/>
        </w:rPr>
        <w:t>5</w:t>
      </w:r>
      <w:r>
        <w:rPr>
          <w:rFonts w:hint="eastAsia" w:ascii="仿宋_GB2312" w:hAnsi="仿宋_GB2312" w:eastAsia="仿宋_GB2312" w:cs="仿宋_GB2312"/>
          <w:color w:val="auto"/>
          <w:kern w:val="2"/>
          <w:sz w:val="32"/>
          <w:szCs w:val="32"/>
        </w:rPr>
        <w:t>分。</w:t>
      </w:r>
    </w:p>
    <w:p>
      <w:pPr>
        <w:pageBreakBefore w:val="0"/>
        <w:numPr>
          <w:ilvl w:val="0"/>
          <w:numId w:val="5"/>
        </w:numPr>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存在问题</w:t>
      </w:r>
    </w:p>
    <w:p>
      <w:pPr>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支出绩效评价工作还存在个别项目绩效考核指标不准确、 不完善，绩效指标细化、量化不够。</w:t>
      </w:r>
    </w:p>
    <w:p>
      <w:pPr>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（三）改进建议</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结合近年来</w:t>
      </w:r>
      <w:r>
        <w:rPr>
          <w:rFonts w:hint="eastAsia" w:ascii="仿宋_GB2312" w:hAnsi="仿宋_GB2312" w:eastAsia="仿宋_GB2312" w:cs="仿宋_GB2312"/>
          <w:color w:val="auto"/>
          <w:sz w:val="32"/>
          <w:szCs w:val="32"/>
          <w:lang w:eastAsia="zh-CN"/>
        </w:rPr>
        <w:t>我单位</w:t>
      </w:r>
      <w:r>
        <w:rPr>
          <w:rFonts w:hint="eastAsia" w:ascii="仿宋_GB2312" w:hAnsi="仿宋_GB2312" w:eastAsia="仿宋_GB2312" w:cs="仿宋_GB2312"/>
          <w:color w:val="auto"/>
          <w:sz w:val="32"/>
          <w:szCs w:val="32"/>
        </w:rPr>
        <w:t>各项经济科目实际执行情况，将项目细化到对应的部门经济科目，提高经济科目编制准确性，减少预算执行中的调剂。</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tbl>
      <w:tblPr>
        <w:tblStyle w:val="13"/>
        <w:tblW w:w="8715" w:type="dxa"/>
        <w:tblInd w:w="0" w:type="dxa"/>
        <w:tblLayout w:type="fixed"/>
        <w:tblCellMar>
          <w:top w:w="0" w:type="dxa"/>
          <w:left w:w="0" w:type="dxa"/>
          <w:bottom w:w="0" w:type="dxa"/>
          <w:right w:w="0" w:type="dxa"/>
        </w:tblCellMar>
      </w:tblPr>
      <w:tblGrid>
        <w:gridCol w:w="1185"/>
        <w:gridCol w:w="930"/>
        <w:gridCol w:w="1305"/>
        <w:gridCol w:w="705"/>
        <w:gridCol w:w="3975"/>
        <w:gridCol w:w="615"/>
      </w:tblGrid>
      <w:tr>
        <w:tblPrEx>
          <w:tblCellMar>
            <w:top w:w="0" w:type="dxa"/>
            <w:left w:w="0" w:type="dxa"/>
            <w:bottom w:w="0" w:type="dxa"/>
            <w:right w:w="0" w:type="dxa"/>
          </w:tblCellMar>
        </w:tblPrEx>
        <w:trPr>
          <w:trHeight w:val="510" w:hRule="atLeast"/>
        </w:trPr>
        <w:tc>
          <w:tcPr>
            <w:tcW w:w="8715" w:type="dxa"/>
            <w:gridSpan w:val="6"/>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b/>
                <w:color w:val="000000"/>
                <w:sz w:val="40"/>
                <w:szCs w:val="40"/>
              </w:rPr>
            </w:pPr>
            <w:r>
              <w:rPr>
                <w:rFonts w:hint="eastAsia" w:ascii="宋体" w:hAnsi="宋体" w:cs="宋体"/>
                <w:b/>
                <w:color w:val="000000"/>
                <w:kern w:val="0"/>
                <w:sz w:val="40"/>
                <w:szCs w:val="40"/>
              </w:rPr>
              <w:t>201</w:t>
            </w:r>
            <w:r>
              <w:rPr>
                <w:rFonts w:hint="eastAsia" w:ascii="宋体" w:hAnsi="宋体" w:cs="宋体"/>
                <w:b/>
                <w:color w:val="000000"/>
                <w:kern w:val="0"/>
                <w:sz w:val="40"/>
                <w:szCs w:val="40"/>
                <w:lang w:val="en-US" w:eastAsia="zh-CN"/>
              </w:rPr>
              <w:t>9</w:t>
            </w:r>
            <w:r>
              <w:rPr>
                <w:rFonts w:hint="eastAsia" w:ascii="宋体" w:hAnsi="宋体" w:cs="宋体"/>
                <w:b/>
                <w:color w:val="000000"/>
                <w:kern w:val="0"/>
                <w:sz w:val="40"/>
                <w:szCs w:val="40"/>
              </w:rPr>
              <w:t xml:space="preserve"> 年整体支出绩效自评表</w:t>
            </w:r>
          </w:p>
        </w:tc>
      </w:tr>
      <w:tr>
        <w:tblPrEx>
          <w:tblCellMar>
            <w:top w:w="0" w:type="dxa"/>
            <w:left w:w="0" w:type="dxa"/>
            <w:bottom w:w="0" w:type="dxa"/>
            <w:right w:w="0" w:type="dxa"/>
          </w:tblCellMar>
        </w:tblPrEx>
        <w:trPr>
          <w:trHeight w:val="285" w:hRule="atLeast"/>
        </w:trPr>
        <w:tc>
          <w:tcPr>
            <w:tcW w:w="34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绩效指标</w:t>
            </w:r>
          </w:p>
        </w:tc>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指标分值</w:t>
            </w:r>
          </w:p>
        </w:tc>
        <w:tc>
          <w:tcPr>
            <w:tcW w:w="3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计分标准</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评分</w:t>
            </w:r>
          </w:p>
        </w:tc>
      </w:tr>
      <w:tr>
        <w:tblPrEx>
          <w:tblCellMar>
            <w:top w:w="0" w:type="dxa"/>
            <w:left w:w="0" w:type="dxa"/>
            <w:bottom w:w="0" w:type="dxa"/>
            <w:right w:w="0" w:type="dxa"/>
          </w:tblCellMar>
        </w:tblPrEx>
        <w:trPr>
          <w:trHeight w:val="570" w:hRule="atLeast"/>
        </w:trPr>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一级指标</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二级指标</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b/>
                <w:color w:val="000000"/>
                <w:sz w:val="16"/>
                <w:szCs w:val="16"/>
              </w:rPr>
            </w:pPr>
            <w:r>
              <w:rPr>
                <w:rFonts w:hint="eastAsia" w:ascii="宋体" w:hAnsi="宋体" w:cs="宋体"/>
                <w:b/>
                <w:color w:val="000000"/>
                <w:kern w:val="0"/>
                <w:sz w:val="16"/>
                <w:szCs w:val="16"/>
              </w:rPr>
              <w:t>三级指标</w:t>
            </w:r>
          </w:p>
        </w:tc>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b/>
                <w:color w:val="000000"/>
                <w:sz w:val="16"/>
                <w:szCs w:val="16"/>
              </w:rPr>
            </w:pPr>
          </w:p>
        </w:tc>
        <w:tc>
          <w:tcPr>
            <w:tcW w:w="3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b/>
                <w:color w:val="000000"/>
                <w:sz w:val="16"/>
                <w:szCs w:val="16"/>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560" w:lineRule="exact"/>
              <w:ind w:left="0" w:right="0"/>
              <w:jc w:val="center"/>
              <w:rPr>
                <w:rFonts w:hint="default" w:ascii="宋体" w:hAnsi="宋体" w:cs="宋体"/>
                <w:b/>
                <w:color w:val="000000"/>
                <w:sz w:val="16"/>
                <w:szCs w:val="16"/>
              </w:rPr>
            </w:pPr>
          </w:p>
        </w:tc>
      </w:tr>
      <w:tr>
        <w:tblPrEx>
          <w:tblCellMar>
            <w:top w:w="0" w:type="dxa"/>
            <w:left w:w="0" w:type="dxa"/>
            <w:bottom w:w="0" w:type="dxa"/>
            <w:right w:w="0" w:type="dxa"/>
          </w:tblCellMar>
        </w:tblPrEx>
        <w:trPr>
          <w:trHeight w:val="675"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部门预算管理（30 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预算编制（10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目标制定</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1.绩效目标编制要素完整的，得 2 分，否则酌情扣分。 2.绩效指标细化量化的，得 2 分，否则酌情扣分。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目标完成</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以项目完成数量指标为核心，评价项目实际完成情况是否达到预期绩效 目标，指标得分=达到预期绩效目标的部门项目个数/纳入绩效目标管理 的部门预算项目个数*4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编制准确</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2</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指标得分=（年度预算总额-绩效监控调整取消额-预算结余注销额）÷ 年度预算总额*2 其中：年度预算总额是指省级年初预算与执行中追加预算（不含当年中 央专款）总和</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2</w:t>
            </w:r>
          </w:p>
        </w:tc>
      </w:tr>
      <w:tr>
        <w:tblPrEx>
          <w:tblCellMar>
            <w:top w:w="0" w:type="dxa"/>
            <w:left w:w="0" w:type="dxa"/>
            <w:bottom w:w="0" w:type="dxa"/>
            <w:right w:w="0" w:type="dxa"/>
          </w:tblCellMar>
        </w:tblPrEx>
        <w:trPr>
          <w:trHeight w:val="18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预算执行（12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支出控制</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计算部门日常公用经费、项目支出中“办公费、印刷费、水费、电费、 物业管理费”等科目年初预算数与决算数偏差程度 1.预决算偏差程度在 10%以内的，得 2 分。偏差度在 10%-20%之间的， 得 1 分，偏差度超过 20%的，不得分。 2.预决算偏差程度与全省平均水平进行比较，偏差度低于平均水平的， 得 2 分，高于全省平均水平的，按照与平均水平差异扣分。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动态调整</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2</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指标得分=部门绩效监控调整取消额÷(部门绩效监控调整取消额+预算 结余注销额）*2 当部门绩效监控调整取消额与结余注销额之和为零时，得满分。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2</w:t>
            </w:r>
          </w:p>
        </w:tc>
      </w:tr>
      <w:tr>
        <w:tblPrEx>
          <w:tblCellMar>
            <w:top w:w="0" w:type="dxa"/>
            <w:left w:w="0" w:type="dxa"/>
            <w:bottom w:w="0" w:type="dxa"/>
            <w:right w:w="0" w:type="dxa"/>
          </w:tblCellMar>
        </w:tblPrEx>
        <w:trPr>
          <w:trHeight w:val="135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执行进度</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部门预算执行进度在 6、9、11 月应达到序时进度的 80%、90%、95%，即 实际支出进度分别达到 40%、67.5%、82.5%。 6、9、11 月部门预算执行进度达到量化指标的各得 2 分，未达到目标进 度的的按其实际进度占目标进度的比重计算得分。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宋体" w:hAnsi="宋体" w:eastAsia="宋体" w:cs="宋体"/>
                <w:color w:val="000000"/>
                <w:sz w:val="16"/>
                <w:szCs w:val="16"/>
                <w:lang w:eastAsia="zh-CN"/>
              </w:rPr>
            </w:pPr>
            <w:r>
              <w:rPr>
                <w:rFonts w:hint="eastAsia" w:ascii="宋体" w:hAnsi="宋体" w:cs="宋体"/>
                <w:color w:val="000000"/>
                <w:kern w:val="0"/>
                <w:sz w:val="16"/>
                <w:szCs w:val="16"/>
                <w:lang w:val="en-US" w:eastAsia="zh-CN"/>
              </w:rPr>
              <w:t>6</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完成结果（8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预算完成</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1.专项项目设立时经过事前绩效评估或可行性论证的，得 4 分，否则不 得分。 2.专项资金的管理办法健全完善的，得 4 分，否则酌情扣分，无管理办 法的，该指标不得分。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3</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违规记录</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依据上一年度审计监督、财政检查结果，出现部门预算管理方面违纪违 规问题的，每个问题扣 0.5 分，直至扣完。</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900"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专项预算管理（50 分）</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项目决 策（24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程序严密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8</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1.专项项目设立时经过事前绩效评估或可行性论证的，得 4 分，否则不 得分。 2.专项资金的管理办法健全完善的，得 4 分，否则酌情扣分，无管理办 法的，该指标不得分。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8</w:t>
            </w:r>
          </w:p>
        </w:tc>
      </w:tr>
      <w:tr>
        <w:tblPrEx>
          <w:tblCellMar>
            <w:top w:w="0" w:type="dxa"/>
            <w:left w:w="0" w:type="dxa"/>
            <w:bottom w:w="0" w:type="dxa"/>
            <w:right w:w="0" w:type="dxa"/>
          </w:tblCellMar>
        </w:tblPrEx>
        <w:trPr>
          <w:trHeight w:val="157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规划合理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8</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1.专项项目（除一次性项目外）制定了中长期规划的，得 2 分，否则该 三级指标整体不得分。 2.项目规划符合省委、省政府重大决策部署和宏观政策规划的，得 3 分。 3.项目年度绩效目标与专项中长期规划一致的，得 3 分，有一处不符合 8</w:t>
            </w:r>
            <w:r>
              <w:rPr>
                <w:rFonts w:hint="eastAsia" w:ascii="宋体" w:hAnsi="宋体" w:cs="宋体"/>
                <w:color w:val="000000"/>
                <w:kern w:val="0"/>
                <w:sz w:val="16"/>
                <w:szCs w:val="16"/>
              </w:rPr>
              <w:br w:type="textWrapping"/>
            </w:r>
            <w:r>
              <w:rPr>
                <w:rFonts w:hint="eastAsia" w:ascii="宋体" w:hAnsi="宋体" w:cs="宋体"/>
                <w:color w:val="000000"/>
                <w:kern w:val="0"/>
                <w:sz w:val="16"/>
                <w:szCs w:val="16"/>
              </w:rPr>
              <w:t>39 的扣 1 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7</w:t>
            </w:r>
          </w:p>
        </w:tc>
      </w:tr>
      <w:tr>
        <w:tblPrEx>
          <w:tblCellMar>
            <w:top w:w="0" w:type="dxa"/>
            <w:left w:w="0" w:type="dxa"/>
            <w:bottom w:w="0" w:type="dxa"/>
            <w:right w:w="0" w:type="dxa"/>
          </w:tblCellMar>
        </w:tblPrEx>
        <w:trPr>
          <w:trHeight w:val="202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结果符合</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8</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项目实际完成任务量和效果达到规划预期情况的，得满分。按项目法分 配的项目，以所有项目点实施完成情况与规划计划情况进行对比。按因 素法分配的项目和据实据效分配的项目，将资金分配方向与规划计划支 持方向进行对比。完全达到预期的得满分。未完全达到规划预期情况的， 以达到预期情况的资金量占项目总金额占比计分。指标得分=项目实施实 施结果符合规划的金额/项目总金额*8</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r>
      <w:tr>
        <w:tblPrEx>
          <w:tblCellMar>
            <w:top w:w="0" w:type="dxa"/>
            <w:left w:w="0" w:type="dxa"/>
            <w:bottom w:w="0" w:type="dxa"/>
            <w:right w:w="0" w:type="dxa"/>
          </w:tblCellMar>
        </w:tblPrEx>
        <w:trPr>
          <w:trHeight w:val="135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项目实施（12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分配科学</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1. 项目分配选取了科学的绩效分配方法，得 2 分； 2. 采用因素分配法的项目，项目因素选取合理的，得 4 分；采用项目 法分配的项目，评分标准和立项程序合理规范的，得 4 分；据实据效的 项目，基础数据真实，测算精准的，得 4 分。否则，酌情扣分。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r>
      <w:tr>
        <w:tblPrEx>
          <w:tblCellMar>
            <w:top w:w="0" w:type="dxa"/>
            <w:left w:w="0" w:type="dxa"/>
            <w:bottom w:w="0" w:type="dxa"/>
            <w:right w:w="0" w:type="dxa"/>
          </w:tblCellMar>
        </w:tblPrEx>
        <w:trPr>
          <w:trHeight w:val="45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分配及时</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按《预算法》规定时限完成分配的考核得 6 分，否则不得分。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完成结果（14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预算完成</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专项资金实际拨付到具体项目（人）的进度达到 100%的，得 4 分，未达 到 100%的，指标得分=实际拨付金额/专项项目金额*4。</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112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FZFSJW--GB1-0" w:hAnsi="FZFSJW--GB1-0" w:eastAsia="FZFSJW--GB1-0" w:cs="FZFSJW--GB1-0"/>
                <w:color w:val="000000"/>
                <w:sz w:val="16"/>
                <w:szCs w:val="16"/>
              </w:rPr>
            </w:pPr>
            <w:r>
              <w:rPr>
                <w:rFonts w:hint="eastAsia" w:ascii="宋体" w:hAnsi="宋体" w:cs="宋体"/>
                <w:color w:val="000000"/>
                <w:kern w:val="0"/>
                <w:sz w:val="16"/>
                <w:szCs w:val="16"/>
              </w:rPr>
              <w:t>实施绩效</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6</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部门专项项目属于当年财政重点评价范围的，该项得分使用项目支出评 价共性指标、特性指标和个性指标得分换算，满分 6 分。若部门专项项 目不属于当年重点评价范围的，采用最近年度重点评价相关指标得分换 算。</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5</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违规记录</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依据上一年度审计、财政检查结果，出现专项预算管理方面违纪违规问 题的，每个问题扣 0.5 分，直至扣完。</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900"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绩效结果应用（20 分）</w:t>
            </w:r>
          </w:p>
        </w:tc>
        <w:tc>
          <w:tcPr>
            <w:tcW w:w="9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自评质量（4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自评准确</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部门整体支出自评得分与评价组抽查得分差异在 5%以内的，不扣分；在 5%-10%之间的，扣 1 分，在 10%-20%的，扣 2 分，在 20%以上的，扣 4 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22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信息公开（8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目标公开</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 xml:space="preserve">按要求随同预算公开的，得 4 分。 </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22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FZFSJW--GB1-0" w:hAnsi="FZFSJW--GB1-0" w:eastAsia="FZFSJW--GB1-0" w:cs="FZFSJW--GB1-0"/>
                <w:color w:val="000000"/>
                <w:sz w:val="16"/>
                <w:szCs w:val="16"/>
              </w:rPr>
            </w:pPr>
            <w:r>
              <w:rPr>
                <w:rFonts w:hint="eastAsia" w:ascii="宋体" w:hAnsi="宋体" w:cs="宋体"/>
                <w:color w:val="000000"/>
                <w:kern w:val="0"/>
                <w:sz w:val="16"/>
                <w:szCs w:val="16"/>
              </w:rPr>
              <w:t>自评公开</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按要求随同决算公开的，得 4 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整改反馈（8 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结果整改</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针对绩效管理过程中（包括绩效目标核查、绩效监控核查和重点绩效评 价）提出的问题，发现一处未整改的，扣 1 分，直至扣完。</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450"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color w:val="000000"/>
                <w:sz w:val="16"/>
                <w:szCs w:val="16"/>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应用反馈</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c>
          <w:tcPr>
            <w:tcW w:w="3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left"/>
              <w:textAlignment w:val="center"/>
              <w:rPr>
                <w:rFonts w:hint="default" w:ascii="宋体" w:hAnsi="宋体" w:cs="宋体"/>
                <w:color w:val="000000"/>
                <w:sz w:val="16"/>
                <w:szCs w:val="16"/>
              </w:rPr>
            </w:pPr>
            <w:r>
              <w:rPr>
                <w:rFonts w:hint="eastAsia" w:ascii="宋体" w:hAnsi="宋体" w:cs="宋体"/>
                <w:color w:val="000000"/>
                <w:kern w:val="0"/>
                <w:sz w:val="16"/>
                <w:szCs w:val="16"/>
              </w:rPr>
              <w:t>部门在规定时间内向财政部门反馈应用绩效结果报告的，得满分，否则 不得分。</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4</w:t>
            </w:r>
          </w:p>
        </w:tc>
      </w:tr>
      <w:tr>
        <w:tblPrEx>
          <w:tblCellMar>
            <w:top w:w="0" w:type="dxa"/>
            <w:left w:w="0" w:type="dxa"/>
            <w:bottom w:w="0" w:type="dxa"/>
            <w:right w:w="0" w:type="dxa"/>
          </w:tblCellMar>
        </w:tblPrEx>
        <w:trPr>
          <w:trHeight w:val="225" w:hRule="atLeast"/>
        </w:trPr>
        <w:tc>
          <w:tcPr>
            <w:tcW w:w="8100"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400" w:lineRule="exact"/>
              <w:ind w:left="0" w:right="0"/>
              <w:jc w:val="center"/>
              <w:textAlignment w:val="center"/>
              <w:rPr>
                <w:rFonts w:hint="default" w:ascii="宋体" w:hAnsi="宋体" w:cs="宋体"/>
                <w:color w:val="000000"/>
                <w:sz w:val="16"/>
                <w:szCs w:val="16"/>
              </w:rPr>
            </w:pPr>
            <w:r>
              <w:rPr>
                <w:rFonts w:hint="eastAsia" w:ascii="宋体" w:hAnsi="宋体" w:cs="宋体"/>
                <w:color w:val="000000"/>
                <w:kern w:val="0"/>
                <w:sz w:val="16"/>
                <w:szCs w:val="16"/>
              </w:rPr>
              <w:t>总分</w:t>
            </w:r>
            <w:bookmarkStart w:id="69" w:name="_GoBack"/>
            <w:bookmarkEnd w:id="69"/>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before="0" w:beforeAutospacing="0" w:after="0" w:afterAutospacing="0" w:line="560" w:lineRule="exact"/>
              <w:ind w:left="0" w:right="0"/>
              <w:jc w:val="center"/>
              <w:textAlignment w:val="center"/>
              <w:rPr>
                <w:rFonts w:hint="eastAsia" w:ascii="宋体" w:hAnsi="宋体" w:eastAsia="宋体" w:cs="宋体"/>
                <w:color w:val="000000"/>
                <w:sz w:val="16"/>
                <w:szCs w:val="16"/>
                <w:lang w:eastAsia="zh-CN"/>
              </w:rPr>
            </w:pPr>
            <w:r>
              <w:rPr>
                <w:rFonts w:hint="eastAsia" w:ascii="宋体" w:hAnsi="宋体" w:cs="宋体"/>
                <w:color w:val="000000"/>
                <w:kern w:val="0"/>
                <w:sz w:val="16"/>
                <w:szCs w:val="16"/>
              </w:rPr>
              <w:t>9</w:t>
            </w:r>
            <w:r>
              <w:rPr>
                <w:rFonts w:hint="eastAsia" w:ascii="宋体" w:hAnsi="宋体" w:cs="宋体"/>
                <w:color w:val="000000"/>
                <w:kern w:val="0"/>
                <w:sz w:val="16"/>
                <w:szCs w:val="16"/>
                <w:lang w:val="en-US" w:eastAsia="zh-CN"/>
              </w:rPr>
              <w:t>5</w:t>
            </w:r>
          </w:p>
        </w:tc>
      </w:tr>
    </w:tbl>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widowControl/>
        <w:kinsoku/>
        <w:wordWrap/>
        <w:overflowPunct/>
        <w:topLinePunct w:val="0"/>
        <w:autoSpaceDE/>
        <w:autoSpaceDN/>
        <w:bidi w:val="0"/>
        <w:spacing w:line="56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附件2</w:t>
      </w:r>
    </w:p>
    <w:p>
      <w:pPr>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p>
    <w:p>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color w:val="auto"/>
          <w:kern w:val="0"/>
          <w:sz w:val="44"/>
          <w:szCs w:val="44"/>
        </w:rPr>
      </w:pPr>
      <w:r>
        <w:rPr>
          <w:rFonts w:hint="eastAsia" w:ascii="方正小标宋简体" w:hAnsi="方正小标宋简体" w:eastAsia="方正小标宋简体" w:cs="方正小标宋简体"/>
          <w:color w:val="auto"/>
          <w:kern w:val="0"/>
          <w:sz w:val="44"/>
          <w:szCs w:val="44"/>
        </w:rPr>
        <w:t>“市属大中专院校彝族年活动”2019年</w:t>
      </w:r>
    </w:p>
    <w:p>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color w:val="auto"/>
          <w:kern w:val="0"/>
          <w:sz w:val="44"/>
          <w:szCs w:val="44"/>
          <w:lang w:val="zh-CN"/>
        </w:rPr>
      </w:pPr>
      <w:r>
        <w:rPr>
          <w:rFonts w:hint="eastAsia" w:ascii="方正小标宋简体" w:hAnsi="方正小标宋简体" w:eastAsia="方正小标宋简体" w:cs="方正小标宋简体"/>
          <w:color w:val="auto"/>
          <w:kern w:val="0"/>
          <w:sz w:val="44"/>
          <w:szCs w:val="44"/>
          <w:lang w:val="zh-CN"/>
        </w:rPr>
        <w:t>绩效评价报告</w:t>
      </w:r>
    </w:p>
    <w:p>
      <w:pPr>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lang w:val="zh-CN"/>
        </w:rPr>
      </w:pPr>
    </w:p>
    <w:p>
      <w:pPr>
        <w:keepNext w:val="0"/>
        <w:keepLines w:val="0"/>
        <w:pageBreakBefore w:val="0"/>
        <w:kinsoku/>
        <w:wordWrap/>
        <w:overflowPunct/>
        <w:topLinePunct w:val="0"/>
        <w:autoSpaceDE/>
        <w:autoSpaceDN/>
        <w:bidi w:val="0"/>
        <w:adjustRightInd w:val="0"/>
        <w:snapToGrid w:val="0"/>
        <w:spacing w:line="560" w:lineRule="exact"/>
        <w:ind w:firstLine="720"/>
        <w:jc w:val="both"/>
        <w:textAlignment w:val="auto"/>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rPr>
        <w:t>一、</w:t>
      </w:r>
      <w:r>
        <w:rPr>
          <w:rFonts w:hint="eastAsia" w:ascii="仿宋_GB2312" w:hAnsi="仿宋_GB2312" w:eastAsia="仿宋_GB2312" w:cs="仿宋_GB2312"/>
          <w:b/>
          <w:bCs/>
          <w:color w:val="auto"/>
          <w:sz w:val="32"/>
          <w:szCs w:val="32"/>
          <w:lang w:val="zh-CN"/>
        </w:rPr>
        <w:t>项目概况</w:t>
      </w:r>
    </w:p>
    <w:p>
      <w:pPr>
        <w:keepNext w:val="0"/>
        <w:keepLines w:val="0"/>
        <w:pageBreakBefore w:val="0"/>
        <w:kinsoku/>
        <w:wordWrap/>
        <w:overflowPunct/>
        <w:topLinePunct w:val="0"/>
        <w:autoSpaceDE/>
        <w:autoSpaceDN/>
        <w:bidi w:val="0"/>
        <w:adjustRightInd w:val="0"/>
        <w:snapToGrid w:val="0"/>
        <w:spacing w:line="560" w:lineRule="exact"/>
        <w:ind w:firstLine="720"/>
        <w:jc w:val="both"/>
        <w:textAlignment w:val="auto"/>
        <w:rPr>
          <w:rFonts w:hint="eastAsia" w:ascii="仿宋_GB2312" w:hAnsi="仿宋_GB2312" w:eastAsia="仿宋_GB2312" w:cs="仿宋_GB2312"/>
          <w:b/>
          <w:color w:val="auto"/>
          <w:sz w:val="32"/>
          <w:szCs w:val="32"/>
          <w:lang w:val="zh-CN"/>
        </w:rPr>
      </w:pPr>
      <w:r>
        <w:rPr>
          <w:rFonts w:hint="eastAsia" w:ascii="仿宋_GB2312" w:hAnsi="仿宋_GB2312" w:eastAsia="仿宋_GB2312" w:cs="仿宋_GB2312"/>
          <w:b/>
          <w:color w:val="auto"/>
          <w:sz w:val="32"/>
          <w:szCs w:val="32"/>
          <w:lang w:val="zh-CN"/>
        </w:rPr>
        <w:t>（一）项目基本情况。</w:t>
      </w:r>
    </w:p>
    <w:p>
      <w:pPr>
        <w:keepNext w:val="0"/>
        <w:keepLines w:val="0"/>
        <w:pageBreakBefore w:val="0"/>
        <w:kinsoku/>
        <w:wordWrap/>
        <w:overflowPunct/>
        <w:topLinePunct w:val="0"/>
        <w:autoSpaceDE/>
        <w:autoSpaceDN/>
        <w:bidi w:val="0"/>
        <w:adjustRightInd w:val="0"/>
        <w:snapToGrid w:val="0"/>
        <w:spacing w:line="560" w:lineRule="exact"/>
        <w:ind w:firstLine="720"/>
        <w:jc w:val="both"/>
        <w:textAlignment w:val="auto"/>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b/>
          <w:bCs/>
          <w:color w:val="auto"/>
          <w:sz w:val="32"/>
          <w:szCs w:val="32"/>
          <w:lang w:val="zh-CN"/>
        </w:rPr>
        <w:t>项目立项、资金申报的依据。</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val="0"/>
          <w:bCs w:val="0"/>
          <w:color w:val="auto"/>
          <w:sz w:val="32"/>
          <w:szCs w:val="32"/>
          <w:lang w:val="en-US" w:eastAsia="zh-CN"/>
        </w:rPr>
        <w:t>为深入推进民族团结进步创建，按照乐山市实施《中华人民共和国民族区域自治法》若干规定第二条之规定，每年彝历新年，我市在乐山师范学院、乐山职业技术学院开展民族团结进步宣传月（周）一系列活动。其中包括座谈会、联谊会、足（篮）球比赛、篝火晚会、制作民族团结进步宣传小册子等民族团结进步宣传活动。</w:t>
      </w:r>
    </w:p>
    <w:p>
      <w:pPr>
        <w:keepNext w:val="0"/>
        <w:keepLines w:val="0"/>
        <w:pageBreakBefore w:val="0"/>
        <w:numPr>
          <w:ilvl w:val="0"/>
          <w:numId w:val="6"/>
        </w:numPr>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资金分配的原则及考虑因素。</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两所院校少数民族大学生，大多来自我省小凉山及大凉山贫困地区，按照少数民族学生人均55元的标准，乐山师范范学院1315人、给予6万元补助，乐山职业技术学院1159人，给予5万元补助。</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val="0"/>
          <w:color w:val="auto"/>
          <w:sz w:val="32"/>
          <w:szCs w:val="32"/>
          <w:lang w:val="zh-CN"/>
        </w:rPr>
      </w:pPr>
      <w:r>
        <w:rPr>
          <w:rFonts w:hint="eastAsia" w:ascii="仿宋_GB2312" w:hAnsi="仿宋_GB2312" w:eastAsia="仿宋_GB2312" w:cs="仿宋_GB2312"/>
          <w:b/>
          <w:bCs w:val="0"/>
          <w:color w:val="auto"/>
          <w:sz w:val="32"/>
          <w:szCs w:val="32"/>
          <w:lang w:val="zh-CN"/>
        </w:rPr>
        <w:t>（二）项目绩效目标。</w:t>
      </w:r>
    </w:p>
    <w:p>
      <w:pPr>
        <w:keepNext w:val="0"/>
        <w:keepLines w:val="0"/>
        <w:pageBreakBefore w:val="0"/>
        <w:numPr>
          <w:ilvl w:val="0"/>
          <w:numId w:val="0"/>
        </w:numPr>
        <w:kinsoku/>
        <w:wordWrap/>
        <w:overflowPunct/>
        <w:topLinePunct w:val="0"/>
        <w:autoSpaceDE/>
        <w:autoSpaceDN/>
        <w:bidi w:val="0"/>
        <w:spacing w:line="560" w:lineRule="exact"/>
        <w:ind w:firstLine="643" w:firstLineChars="200"/>
        <w:jc w:val="both"/>
        <w:textAlignment w:val="auto"/>
        <w:rPr>
          <w:rFonts w:hint="eastAsia" w:ascii="仿宋_GB2312" w:hAnsi="仿宋_GB2312" w:eastAsia="仿宋_GB2312" w:cs="仿宋_GB2312"/>
          <w:b/>
          <w:bCs w:val="0"/>
          <w:color w:val="auto"/>
          <w:sz w:val="32"/>
          <w:szCs w:val="32"/>
          <w:lang w:val="en-US" w:eastAsia="zh-CN"/>
        </w:rPr>
      </w:pPr>
      <w:r>
        <w:rPr>
          <w:rFonts w:hint="eastAsia" w:ascii="仿宋_GB2312" w:hAnsi="仿宋_GB2312" w:eastAsia="仿宋_GB2312" w:cs="仿宋_GB2312"/>
          <w:b/>
          <w:bCs w:val="0"/>
          <w:color w:val="auto"/>
          <w:sz w:val="32"/>
          <w:szCs w:val="32"/>
          <w:lang w:val="en-US" w:eastAsia="zh-CN"/>
        </w:rPr>
        <w:t>1、项目主要内容。</w:t>
      </w:r>
    </w:p>
    <w:p>
      <w:pPr>
        <w:keepNext w:val="0"/>
        <w:keepLines w:val="0"/>
        <w:pageBreakBefore w:val="0"/>
        <w:widowControl w:val="0"/>
        <w:suppressLineNumbers w:val="0"/>
        <w:kinsoku/>
        <w:wordWrap/>
        <w:overflowPunct/>
        <w:topLinePunct w:val="0"/>
        <w:autoSpaceDE/>
        <w:autoSpaceDN/>
        <w:bidi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开展民族团结进步宣传月（周）一系列活动。其中包括座谈会、联谊会、足（篮）球比赛、篝火</w:t>
      </w:r>
      <w:r>
        <w:rPr>
          <w:rFonts w:hint="eastAsia" w:ascii="仿宋_GB2312" w:hAnsi="仿宋_GB2312" w:eastAsia="仿宋_GB2312" w:cs="仿宋_GB2312"/>
          <w:b w:val="0"/>
          <w:bCs w:val="0"/>
          <w:color w:val="auto"/>
          <w:sz w:val="32"/>
          <w:szCs w:val="32"/>
          <w:lang w:val="en-US" w:eastAsia="zh-CN"/>
        </w:rPr>
        <w:t>晚会、制作民族团结进步宣传小册子等民族团结进步宣传活动。</w:t>
      </w:r>
    </w:p>
    <w:p>
      <w:pPr>
        <w:keepNext w:val="0"/>
        <w:keepLines w:val="0"/>
        <w:pageBreakBefore w:val="0"/>
        <w:numPr>
          <w:ilvl w:val="0"/>
          <w:numId w:val="0"/>
        </w:numPr>
        <w:kinsoku/>
        <w:wordWrap/>
        <w:overflowPunct/>
        <w:topLinePunct w:val="0"/>
        <w:autoSpaceDE/>
        <w:autoSpaceDN/>
        <w:bidi w:val="0"/>
        <w:spacing w:line="560" w:lineRule="exact"/>
        <w:ind w:left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2、项目具体绩效目标。</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lang w:eastAsia="zh-CN"/>
        </w:rPr>
      </w:pPr>
      <w:r>
        <w:rPr>
          <w:rFonts w:hint="eastAsia" w:ascii="仿宋_GB2312" w:hAnsi="仿宋_GB2312" w:eastAsia="仿宋_GB2312" w:cs="仿宋_GB2312"/>
          <w:b w:val="0"/>
          <w:bCs w:val="0"/>
          <w:color w:val="auto"/>
          <w:sz w:val="32"/>
          <w:szCs w:val="32"/>
          <w:lang w:val="en-US" w:eastAsia="zh-CN"/>
        </w:rPr>
        <w:t>通过活动的开展，</w:t>
      </w:r>
      <w:r>
        <w:rPr>
          <w:rFonts w:hint="eastAsia" w:ascii="仿宋_GB2312" w:hAnsi="仿宋_GB2312" w:eastAsia="仿宋_GB2312" w:cs="仿宋_GB2312"/>
          <w:b w:val="0"/>
          <w:bCs w:val="0"/>
          <w:color w:val="auto"/>
          <w:kern w:val="0"/>
          <w:sz w:val="32"/>
          <w:szCs w:val="32"/>
        </w:rPr>
        <w:t>使广大少数民族</w:t>
      </w:r>
      <w:r>
        <w:rPr>
          <w:rFonts w:hint="eastAsia" w:ascii="仿宋_GB2312" w:hAnsi="仿宋_GB2312" w:eastAsia="仿宋_GB2312" w:cs="仿宋_GB2312"/>
          <w:b w:val="0"/>
          <w:bCs w:val="0"/>
          <w:color w:val="auto"/>
          <w:kern w:val="0"/>
          <w:sz w:val="32"/>
          <w:szCs w:val="32"/>
          <w:lang w:eastAsia="zh-CN"/>
        </w:rPr>
        <w:t>学生</w:t>
      </w:r>
      <w:r>
        <w:rPr>
          <w:rFonts w:hint="eastAsia" w:ascii="仿宋_GB2312" w:hAnsi="仿宋_GB2312" w:eastAsia="仿宋_GB2312" w:cs="仿宋_GB2312"/>
          <w:b w:val="0"/>
          <w:bCs w:val="0"/>
          <w:color w:val="auto"/>
          <w:kern w:val="0"/>
          <w:sz w:val="32"/>
          <w:szCs w:val="32"/>
        </w:rPr>
        <w:t>共享改革发展的成果，形成各民族</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共同团结奋斗、共同繁荣发展</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的</w:t>
      </w:r>
      <w:r>
        <w:rPr>
          <w:rFonts w:hint="eastAsia" w:ascii="仿宋_GB2312" w:hAnsi="仿宋_GB2312" w:eastAsia="仿宋_GB2312" w:cs="仿宋_GB2312"/>
          <w:b w:val="0"/>
          <w:bCs w:val="0"/>
          <w:color w:val="auto"/>
          <w:kern w:val="0"/>
          <w:sz w:val="32"/>
          <w:szCs w:val="32"/>
          <w:lang w:eastAsia="zh-CN"/>
        </w:rPr>
        <w:t>良好</w:t>
      </w:r>
      <w:r>
        <w:rPr>
          <w:rFonts w:hint="eastAsia" w:ascii="仿宋_GB2312" w:hAnsi="仿宋_GB2312" w:eastAsia="仿宋_GB2312" w:cs="仿宋_GB2312"/>
          <w:b w:val="0"/>
          <w:bCs w:val="0"/>
          <w:color w:val="auto"/>
          <w:kern w:val="0"/>
          <w:sz w:val="32"/>
          <w:szCs w:val="32"/>
        </w:rPr>
        <w:t>局面。</w:t>
      </w:r>
      <w:r>
        <w:rPr>
          <w:rFonts w:hint="eastAsia" w:ascii="仿宋_GB2312" w:hAnsi="仿宋_GB2312" w:eastAsia="仿宋_GB2312" w:cs="仿宋_GB2312"/>
          <w:b w:val="0"/>
          <w:bCs w:val="0"/>
          <w:color w:val="auto"/>
          <w:kern w:val="0"/>
          <w:sz w:val="32"/>
          <w:szCs w:val="32"/>
          <w:lang w:eastAsia="zh-CN"/>
        </w:rPr>
        <w:t>同时</w:t>
      </w:r>
      <w:r>
        <w:rPr>
          <w:rFonts w:hint="eastAsia" w:ascii="仿宋_GB2312" w:hAnsi="仿宋_GB2312" w:eastAsia="仿宋_GB2312" w:cs="仿宋_GB2312"/>
          <w:b w:val="0"/>
          <w:bCs w:val="0"/>
          <w:color w:val="auto"/>
          <w:kern w:val="0"/>
          <w:sz w:val="32"/>
          <w:szCs w:val="32"/>
        </w:rPr>
        <w:t>充分展示各族</w:t>
      </w:r>
      <w:r>
        <w:rPr>
          <w:rFonts w:hint="eastAsia" w:ascii="仿宋_GB2312" w:hAnsi="仿宋_GB2312" w:eastAsia="仿宋_GB2312" w:cs="仿宋_GB2312"/>
          <w:b w:val="0"/>
          <w:bCs w:val="0"/>
          <w:color w:val="auto"/>
          <w:kern w:val="0"/>
          <w:sz w:val="32"/>
          <w:szCs w:val="32"/>
          <w:lang w:eastAsia="zh-CN"/>
        </w:rPr>
        <w:t>学生</w:t>
      </w:r>
      <w:r>
        <w:rPr>
          <w:rFonts w:hint="eastAsia" w:ascii="仿宋_GB2312" w:hAnsi="仿宋_GB2312" w:eastAsia="仿宋_GB2312" w:cs="仿宋_GB2312"/>
          <w:b w:val="0"/>
          <w:bCs w:val="0"/>
          <w:color w:val="auto"/>
          <w:kern w:val="0"/>
          <w:sz w:val="32"/>
          <w:szCs w:val="32"/>
        </w:rPr>
        <w:t>为</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中华民族的伟大复兴梦</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而努力奋斗的良好精神风貌，促进各民族的相互了解和对中华民族的共同认</w:t>
      </w:r>
      <w:r>
        <w:rPr>
          <w:rFonts w:hint="eastAsia" w:ascii="仿宋_GB2312" w:hAnsi="仿宋_GB2312" w:eastAsia="仿宋_GB2312" w:cs="仿宋_GB2312"/>
          <w:b w:val="0"/>
          <w:bCs w:val="0"/>
          <w:color w:val="auto"/>
          <w:kern w:val="0"/>
          <w:sz w:val="32"/>
          <w:szCs w:val="32"/>
          <w:lang w:eastAsia="zh-CN"/>
        </w:rPr>
        <w:t>知</w:t>
      </w:r>
      <w:r>
        <w:rPr>
          <w:rFonts w:hint="eastAsia" w:ascii="仿宋_GB2312" w:hAnsi="仿宋_GB2312" w:eastAsia="仿宋_GB2312" w:cs="仿宋_GB2312"/>
          <w:b w:val="0"/>
          <w:bCs w:val="0"/>
          <w:color w:val="auto"/>
          <w:kern w:val="0"/>
          <w:sz w:val="32"/>
          <w:szCs w:val="32"/>
        </w:rPr>
        <w:t>，推动广大青年学生为中华民族的</w:t>
      </w:r>
      <w:r>
        <w:rPr>
          <w:rFonts w:hint="eastAsia" w:ascii="仿宋_GB2312" w:hAnsi="仿宋_GB2312" w:eastAsia="仿宋_GB2312" w:cs="仿宋_GB2312"/>
          <w:b w:val="0"/>
          <w:bCs w:val="0"/>
          <w:color w:val="auto"/>
          <w:kern w:val="0"/>
          <w:sz w:val="32"/>
          <w:szCs w:val="32"/>
          <w:lang w:eastAsia="zh-CN"/>
        </w:rPr>
        <w:t>伟大</w:t>
      </w:r>
      <w:r>
        <w:rPr>
          <w:rFonts w:hint="eastAsia" w:ascii="仿宋_GB2312" w:hAnsi="仿宋_GB2312" w:eastAsia="仿宋_GB2312" w:cs="仿宋_GB2312"/>
          <w:b w:val="0"/>
          <w:bCs w:val="0"/>
          <w:color w:val="auto"/>
          <w:kern w:val="0"/>
          <w:sz w:val="32"/>
          <w:szCs w:val="32"/>
        </w:rPr>
        <w:t>复兴而努力学习，</w:t>
      </w:r>
      <w:r>
        <w:rPr>
          <w:rFonts w:hint="eastAsia" w:ascii="仿宋_GB2312" w:hAnsi="仿宋_GB2312" w:eastAsia="仿宋_GB2312" w:cs="仿宋_GB2312"/>
          <w:b w:val="0"/>
          <w:bCs w:val="0"/>
          <w:color w:val="auto"/>
          <w:kern w:val="0"/>
          <w:sz w:val="32"/>
          <w:szCs w:val="32"/>
          <w:lang w:eastAsia="zh-CN"/>
        </w:rPr>
        <w:t>奋发有为。</w:t>
      </w:r>
    </w:p>
    <w:p>
      <w:pPr>
        <w:keepNext w:val="0"/>
        <w:keepLines w:val="0"/>
        <w:pageBreakBefore w:val="0"/>
        <w:numPr>
          <w:ilvl w:val="0"/>
          <w:numId w:val="7"/>
        </w:numPr>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分析评价申报内容是否与实际相符，申报目标是否合理可行。</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申报内容与实际相符，申报目标合理可行。</w:t>
      </w:r>
    </w:p>
    <w:p>
      <w:pPr>
        <w:keepNext w:val="0"/>
        <w:keepLines w:val="0"/>
        <w:pageBreakBefore w:val="0"/>
        <w:numPr>
          <w:ilvl w:val="0"/>
          <w:numId w:val="5"/>
        </w:numPr>
        <w:kinsoku/>
        <w:wordWrap/>
        <w:overflowPunct/>
        <w:topLinePunct w:val="0"/>
        <w:autoSpaceDE/>
        <w:autoSpaceDN/>
        <w:bidi w:val="0"/>
        <w:adjustRightInd w:val="0"/>
        <w:snapToGrid w:val="0"/>
        <w:spacing w:line="560" w:lineRule="exact"/>
        <w:ind w:left="0" w:leftChars="0" w:firstLine="643" w:firstLineChars="2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b/>
          <w:bCs/>
          <w:color w:val="auto"/>
          <w:kern w:val="0"/>
          <w:sz w:val="32"/>
          <w:szCs w:val="32"/>
          <w:lang w:val="en-US" w:eastAsia="zh-CN" w:bidi="ar"/>
        </w:rPr>
        <w:t xml:space="preserve">项目自评步骤及方法。 </w:t>
      </w:r>
    </w:p>
    <w:p>
      <w:pPr>
        <w:keepNext w:val="0"/>
        <w:keepLines w:val="0"/>
        <w:pageBreakBefore w:val="0"/>
        <w:numPr>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kern w:val="0"/>
          <w:sz w:val="32"/>
          <w:szCs w:val="32"/>
          <w:lang w:val="en-US" w:eastAsia="zh-CN" w:bidi="ar"/>
        </w:rPr>
        <w:t>该项目采取自评与他评相结合方式，结合评价内容，做到有计划，有安排，扎实开展本次自评工作。按针对申报内容、实施情况、资金兑现、财务管理、社会效益等做出自我评价。</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w:t>
      </w:r>
      <w:r>
        <w:rPr>
          <w:rFonts w:hint="eastAsia" w:ascii="仿宋_GB2312" w:hAnsi="仿宋_GB2312" w:eastAsia="仿宋_GB2312" w:cs="仿宋_GB2312"/>
          <w:b/>
          <w:bCs/>
          <w:color w:val="auto"/>
          <w:kern w:val="0"/>
          <w:sz w:val="32"/>
          <w:szCs w:val="32"/>
          <w:lang w:val="en-US" w:eastAsia="zh-CN" w:bidi="ar"/>
        </w:rPr>
        <w:t xml:space="preserve">二、项目资金申报及使用情况 </w:t>
      </w:r>
      <w:r>
        <w:rPr>
          <w:rFonts w:hint="eastAsia" w:ascii="仿宋_GB2312" w:hAnsi="仿宋_GB2312" w:eastAsia="仿宋_GB2312" w:cs="仿宋_GB2312"/>
          <w:b/>
          <w:bCs/>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w:t>
      </w:r>
      <w:r>
        <w:rPr>
          <w:rFonts w:hint="eastAsia" w:ascii="仿宋_GB2312" w:hAnsi="仿宋_GB2312" w:eastAsia="仿宋_GB2312" w:cs="仿宋_GB2312"/>
          <w:b/>
          <w:bCs/>
          <w:color w:val="auto"/>
          <w:kern w:val="0"/>
          <w:sz w:val="32"/>
          <w:szCs w:val="32"/>
          <w:lang w:val="en-US" w:eastAsia="zh-CN" w:bidi="ar"/>
        </w:rPr>
        <w:t>（一）项目资金申报及批复情况。</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sz w:val="32"/>
          <w:szCs w:val="32"/>
          <w:lang w:val="zh-CN"/>
        </w:rPr>
        <w:t>该项目在年初编制预算时按程序向财政申报项目资金，通过批复后，预算指标按时下达，中途未调整年初预算金额。</w:t>
      </w:r>
    </w:p>
    <w:p>
      <w:pPr>
        <w:keepNext w:val="0"/>
        <w:keepLines w:val="0"/>
        <w:pageBreakBefore w:val="0"/>
        <w:numPr>
          <w:ilvl w:val="0"/>
          <w:numId w:val="8"/>
        </w:numPr>
        <w:kinsoku/>
        <w:wordWrap/>
        <w:overflowPunct/>
        <w:topLinePunct w:val="0"/>
        <w:autoSpaceDE/>
        <w:autoSpaceDN/>
        <w:bidi w:val="0"/>
        <w:adjustRightInd w:val="0"/>
        <w:snapToGrid w:val="0"/>
        <w:spacing w:line="560" w:lineRule="exact"/>
        <w:ind w:left="959" w:leftChars="304" w:hanging="321" w:hangingChars="1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b/>
          <w:bCs/>
          <w:color w:val="auto"/>
          <w:kern w:val="0"/>
          <w:sz w:val="32"/>
          <w:szCs w:val="32"/>
          <w:lang w:val="en-US" w:eastAsia="zh-CN" w:bidi="ar"/>
        </w:rPr>
        <w:t xml:space="preserve">资金计划、到位及使用情况。 </w:t>
      </w:r>
    </w:p>
    <w:p>
      <w:pPr>
        <w:keepNext w:val="0"/>
        <w:keepLines w:val="0"/>
        <w:pageBreakBefore w:val="0"/>
        <w:numPr>
          <w:ilvl w:val="0"/>
          <w:numId w:val="9"/>
        </w:numPr>
        <w:kinsoku/>
        <w:wordWrap/>
        <w:overflowPunct/>
        <w:topLinePunct w:val="0"/>
        <w:autoSpaceDE/>
        <w:autoSpaceDN/>
        <w:bidi w:val="0"/>
        <w:adjustRightInd w:val="0"/>
        <w:snapToGrid w:val="0"/>
        <w:spacing w:line="560" w:lineRule="exact"/>
        <w:ind w:firstLine="960" w:firstLineChars="3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 xml:space="preserve">资金计划。统一市财政支出。 </w:t>
      </w:r>
    </w:p>
    <w:p>
      <w:pPr>
        <w:keepNext w:val="0"/>
        <w:keepLines w:val="0"/>
        <w:pageBreakBefore w:val="0"/>
        <w:numPr>
          <w:ilvl w:val="0"/>
          <w:numId w:val="9"/>
        </w:numPr>
        <w:kinsoku/>
        <w:wordWrap/>
        <w:overflowPunct/>
        <w:topLinePunct w:val="0"/>
        <w:autoSpaceDE/>
        <w:autoSpaceDN/>
        <w:bidi w:val="0"/>
        <w:adjustRightInd w:val="0"/>
        <w:snapToGrid w:val="0"/>
        <w:spacing w:line="560" w:lineRule="exact"/>
        <w:ind w:firstLine="960" w:firstLineChars="3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kern w:val="0"/>
          <w:sz w:val="32"/>
          <w:szCs w:val="32"/>
          <w:lang w:val="en-US" w:eastAsia="zh-CN" w:bidi="ar"/>
        </w:rPr>
        <w:t>资金到位。在彝族年前夕，按时将资金拨付两所院校，确保彝族年活动正常开展。</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3．资金使用。资金均用于</w:t>
      </w:r>
      <w:r>
        <w:rPr>
          <w:rFonts w:hint="eastAsia" w:ascii="仿宋_GB2312" w:hAnsi="仿宋_GB2312" w:eastAsia="仿宋_GB2312" w:cs="仿宋_GB2312"/>
          <w:b w:val="0"/>
          <w:bCs w:val="0"/>
          <w:color w:val="auto"/>
          <w:sz w:val="32"/>
          <w:szCs w:val="32"/>
          <w:lang w:val="en-US" w:eastAsia="zh-CN"/>
        </w:rPr>
        <w:t>乐山师范学院、乐山职业技术学院开展民族团结进步宣传月（周）一系列活动，没有截留、挪用情况发生。</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b/>
          <w:bCs/>
          <w:color w:val="auto"/>
          <w:kern w:val="0"/>
          <w:sz w:val="32"/>
          <w:szCs w:val="32"/>
          <w:lang w:val="en-US" w:eastAsia="zh-CN" w:bidi="ar"/>
        </w:rPr>
        <w:t>（三）项目财务管理情况。</w:t>
      </w:r>
      <w:r>
        <w:rPr>
          <w:rFonts w:hint="eastAsia" w:ascii="仿宋_GB2312" w:hAnsi="仿宋_GB2312" w:eastAsia="仿宋_GB2312" w:cs="仿宋_GB2312"/>
          <w:color w:val="auto"/>
          <w:kern w:val="0"/>
          <w:sz w:val="32"/>
          <w:szCs w:val="32"/>
          <w:lang w:val="en-US" w:eastAsia="zh-CN" w:bidi="ar"/>
        </w:rPr>
        <w:t xml:space="preserve"> </w:t>
      </w:r>
      <w:r>
        <w:rPr>
          <w:rFonts w:hint="eastAsia" w:ascii="仿宋_GB2312" w:hAnsi="仿宋_GB2312" w:eastAsia="仿宋_GB2312" w:cs="仿宋_GB2312"/>
          <w:color w:val="auto"/>
          <w:kern w:val="0"/>
          <w:sz w:val="32"/>
          <w:szCs w:val="32"/>
          <w:lang w:val="en-US" w:eastAsia="zh-CN" w:bidi="ar"/>
        </w:rPr>
        <w:br w:type="textWrapping"/>
      </w:r>
      <w:r>
        <w:rPr>
          <w:rFonts w:hint="eastAsia" w:ascii="仿宋_GB2312" w:hAnsi="仿宋_GB2312" w:eastAsia="仿宋_GB2312" w:cs="仿宋_GB2312"/>
          <w:color w:val="auto"/>
          <w:kern w:val="0"/>
          <w:sz w:val="32"/>
          <w:szCs w:val="32"/>
          <w:lang w:val="en-US" w:eastAsia="zh-CN" w:bidi="ar"/>
        </w:rPr>
        <w:t xml:space="preserve">   项目经费采取授权支付形式，由我单位严格按照项目资金管理办法对资金进行计划申请、划拨、使用，及时、规范对收支进行账务处理和会计核算。 　</w:t>
      </w:r>
    </w:p>
    <w:p>
      <w:pPr>
        <w:keepNext w:val="0"/>
        <w:keepLines w:val="0"/>
        <w:pageBreakBefore w:val="0"/>
        <w:numPr>
          <w:numId w:val="0"/>
        </w:numPr>
        <w:kinsoku/>
        <w:wordWrap/>
        <w:overflowPunct/>
        <w:topLinePunct w:val="0"/>
        <w:autoSpaceDE/>
        <w:autoSpaceDN/>
        <w:bidi w:val="0"/>
        <w:adjustRightInd w:val="0"/>
        <w:snapToGrid w:val="0"/>
        <w:spacing w:line="560" w:lineRule="exact"/>
        <w:ind w:left="640" w:leftChars="0"/>
        <w:jc w:val="both"/>
        <w:textAlignment w:val="auto"/>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eastAsia="zh-CN"/>
        </w:rPr>
        <w:t>三、</w:t>
      </w:r>
      <w:r>
        <w:rPr>
          <w:rFonts w:hint="eastAsia" w:ascii="仿宋_GB2312" w:hAnsi="仿宋_GB2312" w:eastAsia="仿宋_GB2312" w:cs="仿宋_GB2312"/>
          <w:b/>
          <w:bCs/>
          <w:color w:val="auto"/>
          <w:sz w:val="32"/>
          <w:szCs w:val="32"/>
        </w:rPr>
        <w:t>项目绩效情况</w:t>
      </w:r>
      <w:r>
        <w:rPr>
          <w:rFonts w:hint="eastAsia" w:ascii="仿宋_GB2312" w:hAnsi="仿宋_GB2312" w:eastAsia="仿宋_GB2312" w:cs="仿宋_GB2312"/>
          <w:b/>
          <w:bCs/>
          <w:color w:val="auto"/>
          <w:sz w:val="32"/>
          <w:szCs w:val="32"/>
          <w:lang w:val="zh-CN"/>
        </w:rPr>
        <w:tab/>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b w:val="0"/>
          <w:bCs w:val="0"/>
          <w:color w:val="auto"/>
          <w:sz w:val="32"/>
          <w:szCs w:val="32"/>
          <w:lang w:val="en-US" w:eastAsia="zh-CN"/>
        </w:rPr>
        <w:t>通过民族团结进步宣传月（周）活动的开展，</w:t>
      </w:r>
      <w:r>
        <w:rPr>
          <w:rFonts w:hint="eastAsia" w:ascii="仿宋_GB2312" w:hAnsi="仿宋_GB2312" w:eastAsia="仿宋_GB2312" w:cs="仿宋_GB2312"/>
          <w:b w:val="0"/>
          <w:bCs w:val="0"/>
          <w:color w:val="auto"/>
          <w:kern w:val="0"/>
          <w:sz w:val="32"/>
          <w:szCs w:val="32"/>
        </w:rPr>
        <w:t>使广大少数民族</w:t>
      </w:r>
      <w:r>
        <w:rPr>
          <w:rFonts w:hint="eastAsia" w:ascii="仿宋_GB2312" w:hAnsi="仿宋_GB2312" w:eastAsia="仿宋_GB2312" w:cs="仿宋_GB2312"/>
          <w:b w:val="0"/>
          <w:bCs w:val="0"/>
          <w:color w:val="auto"/>
          <w:kern w:val="0"/>
          <w:sz w:val="32"/>
          <w:szCs w:val="32"/>
          <w:lang w:eastAsia="zh-CN"/>
        </w:rPr>
        <w:t>学生</w:t>
      </w:r>
      <w:r>
        <w:rPr>
          <w:rFonts w:hint="eastAsia" w:ascii="仿宋_GB2312" w:hAnsi="仿宋_GB2312" w:eastAsia="仿宋_GB2312" w:cs="仿宋_GB2312"/>
          <w:b w:val="0"/>
          <w:bCs w:val="0"/>
          <w:color w:val="auto"/>
          <w:kern w:val="0"/>
          <w:sz w:val="32"/>
          <w:szCs w:val="32"/>
        </w:rPr>
        <w:t>共享改革发展的成果，形成各民族</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共同团结奋斗、共同繁荣发展</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的</w:t>
      </w:r>
      <w:r>
        <w:rPr>
          <w:rFonts w:hint="eastAsia" w:ascii="仿宋_GB2312" w:hAnsi="仿宋_GB2312" w:eastAsia="仿宋_GB2312" w:cs="仿宋_GB2312"/>
          <w:b w:val="0"/>
          <w:bCs w:val="0"/>
          <w:color w:val="auto"/>
          <w:kern w:val="0"/>
          <w:sz w:val="32"/>
          <w:szCs w:val="32"/>
          <w:lang w:eastAsia="zh-CN"/>
        </w:rPr>
        <w:t>良好</w:t>
      </w:r>
      <w:r>
        <w:rPr>
          <w:rFonts w:hint="eastAsia" w:ascii="仿宋_GB2312" w:hAnsi="仿宋_GB2312" w:eastAsia="仿宋_GB2312" w:cs="仿宋_GB2312"/>
          <w:b w:val="0"/>
          <w:bCs w:val="0"/>
          <w:color w:val="auto"/>
          <w:kern w:val="0"/>
          <w:sz w:val="32"/>
          <w:szCs w:val="32"/>
        </w:rPr>
        <w:t>局面。</w:t>
      </w:r>
      <w:r>
        <w:rPr>
          <w:rFonts w:hint="eastAsia" w:ascii="仿宋_GB2312" w:hAnsi="仿宋_GB2312" w:eastAsia="仿宋_GB2312" w:cs="仿宋_GB2312"/>
          <w:b w:val="0"/>
          <w:bCs w:val="0"/>
          <w:color w:val="auto"/>
          <w:kern w:val="0"/>
          <w:sz w:val="32"/>
          <w:szCs w:val="32"/>
          <w:lang w:eastAsia="zh-CN"/>
        </w:rPr>
        <w:t>同时</w:t>
      </w:r>
      <w:r>
        <w:rPr>
          <w:rFonts w:hint="eastAsia" w:ascii="仿宋_GB2312" w:hAnsi="仿宋_GB2312" w:eastAsia="仿宋_GB2312" w:cs="仿宋_GB2312"/>
          <w:b w:val="0"/>
          <w:bCs w:val="0"/>
          <w:color w:val="auto"/>
          <w:kern w:val="0"/>
          <w:sz w:val="32"/>
          <w:szCs w:val="32"/>
        </w:rPr>
        <w:t>充分展示各族</w:t>
      </w:r>
      <w:r>
        <w:rPr>
          <w:rFonts w:hint="eastAsia" w:ascii="仿宋_GB2312" w:hAnsi="仿宋_GB2312" w:eastAsia="仿宋_GB2312" w:cs="仿宋_GB2312"/>
          <w:b w:val="0"/>
          <w:bCs w:val="0"/>
          <w:color w:val="auto"/>
          <w:kern w:val="0"/>
          <w:sz w:val="32"/>
          <w:szCs w:val="32"/>
          <w:lang w:eastAsia="zh-CN"/>
        </w:rPr>
        <w:t>学生</w:t>
      </w:r>
      <w:r>
        <w:rPr>
          <w:rFonts w:hint="eastAsia" w:ascii="仿宋_GB2312" w:hAnsi="仿宋_GB2312" w:eastAsia="仿宋_GB2312" w:cs="仿宋_GB2312"/>
          <w:b w:val="0"/>
          <w:bCs w:val="0"/>
          <w:color w:val="auto"/>
          <w:kern w:val="0"/>
          <w:sz w:val="32"/>
          <w:szCs w:val="32"/>
        </w:rPr>
        <w:t>为</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中华民族的伟大复兴梦</w:t>
      </w:r>
      <w:r>
        <w:rPr>
          <w:rFonts w:hint="eastAsia" w:ascii="仿宋_GB2312" w:hAnsi="仿宋_GB2312" w:eastAsia="仿宋_GB2312" w:cs="仿宋_GB2312"/>
          <w:b w:val="0"/>
          <w:bCs w:val="0"/>
          <w:color w:val="auto"/>
          <w:kern w:val="0"/>
          <w:sz w:val="32"/>
          <w:szCs w:val="32"/>
          <w:lang w:eastAsia="zh-CN"/>
        </w:rPr>
        <w:t>”</w:t>
      </w:r>
      <w:r>
        <w:rPr>
          <w:rFonts w:hint="eastAsia" w:ascii="仿宋_GB2312" w:hAnsi="仿宋_GB2312" w:eastAsia="仿宋_GB2312" w:cs="仿宋_GB2312"/>
          <w:b w:val="0"/>
          <w:bCs w:val="0"/>
          <w:color w:val="auto"/>
          <w:kern w:val="0"/>
          <w:sz w:val="32"/>
          <w:szCs w:val="32"/>
        </w:rPr>
        <w:t>而努力奋斗的良好精神风貌，促进各民族的相互了解和对中华民族的共同认</w:t>
      </w:r>
      <w:r>
        <w:rPr>
          <w:rFonts w:hint="eastAsia" w:ascii="仿宋_GB2312" w:hAnsi="仿宋_GB2312" w:eastAsia="仿宋_GB2312" w:cs="仿宋_GB2312"/>
          <w:b w:val="0"/>
          <w:bCs w:val="0"/>
          <w:color w:val="auto"/>
          <w:kern w:val="0"/>
          <w:sz w:val="32"/>
          <w:szCs w:val="32"/>
          <w:lang w:eastAsia="zh-CN"/>
        </w:rPr>
        <w:t>知</w:t>
      </w:r>
      <w:r>
        <w:rPr>
          <w:rFonts w:hint="eastAsia" w:ascii="仿宋_GB2312" w:hAnsi="仿宋_GB2312" w:eastAsia="仿宋_GB2312" w:cs="仿宋_GB2312"/>
          <w:b w:val="0"/>
          <w:bCs w:val="0"/>
          <w:color w:val="auto"/>
          <w:kern w:val="0"/>
          <w:sz w:val="32"/>
          <w:szCs w:val="32"/>
        </w:rPr>
        <w:t>，推动广大青年学生为中华民族的</w:t>
      </w:r>
      <w:r>
        <w:rPr>
          <w:rFonts w:hint="eastAsia" w:ascii="仿宋_GB2312" w:hAnsi="仿宋_GB2312" w:eastAsia="仿宋_GB2312" w:cs="仿宋_GB2312"/>
          <w:b w:val="0"/>
          <w:bCs w:val="0"/>
          <w:color w:val="auto"/>
          <w:kern w:val="0"/>
          <w:sz w:val="32"/>
          <w:szCs w:val="32"/>
          <w:lang w:eastAsia="zh-CN"/>
        </w:rPr>
        <w:t>伟大</w:t>
      </w:r>
      <w:r>
        <w:rPr>
          <w:rFonts w:hint="eastAsia" w:ascii="仿宋_GB2312" w:hAnsi="仿宋_GB2312" w:eastAsia="仿宋_GB2312" w:cs="仿宋_GB2312"/>
          <w:b w:val="0"/>
          <w:bCs w:val="0"/>
          <w:color w:val="auto"/>
          <w:kern w:val="0"/>
          <w:sz w:val="32"/>
          <w:szCs w:val="32"/>
        </w:rPr>
        <w:t>复兴而努力学习，</w:t>
      </w:r>
      <w:r>
        <w:rPr>
          <w:rFonts w:hint="eastAsia" w:ascii="仿宋_GB2312" w:hAnsi="仿宋_GB2312" w:eastAsia="仿宋_GB2312" w:cs="仿宋_GB2312"/>
          <w:b w:val="0"/>
          <w:bCs w:val="0"/>
          <w:color w:val="auto"/>
          <w:kern w:val="0"/>
          <w:sz w:val="32"/>
          <w:szCs w:val="32"/>
          <w:lang w:eastAsia="zh-CN"/>
        </w:rPr>
        <w:t>奋发有为。</w:t>
      </w:r>
    </w:p>
    <w:p>
      <w:pPr>
        <w:keepNext w:val="0"/>
        <w:keepLines w:val="0"/>
        <w:pageBreakBefore w:val="0"/>
        <w:kinsoku/>
        <w:wordWrap/>
        <w:overflowPunct/>
        <w:topLinePunct w:val="0"/>
        <w:autoSpaceDE/>
        <w:autoSpaceDN/>
        <w:bidi w:val="0"/>
        <w:adjustRightInd w:val="0"/>
        <w:snapToGrid w:val="0"/>
        <w:spacing w:line="560" w:lineRule="exact"/>
        <w:ind w:firstLine="720"/>
        <w:jc w:val="both"/>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eastAsia="zh-CN"/>
        </w:rPr>
        <w:t>四、</w:t>
      </w:r>
      <w:r>
        <w:rPr>
          <w:rFonts w:hint="eastAsia" w:ascii="仿宋_GB2312" w:hAnsi="仿宋_GB2312" w:eastAsia="仿宋_GB2312" w:cs="仿宋_GB2312"/>
          <w:b/>
          <w:bCs/>
          <w:color w:val="auto"/>
          <w:sz w:val="32"/>
          <w:szCs w:val="32"/>
        </w:rPr>
        <w:t>评价结论及建议</w:t>
      </w:r>
    </w:p>
    <w:p>
      <w:pPr>
        <w:keepNext w:val="0"/>
        <w:keepLines w:val="0"/>
        <w:pageBreakBefore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val="0"/>
          <w:bCs w:val="0"/>
          <w:color w:val="auto"/>
          <w:kern w:val="0"/>
          <w:sz w:val="32"/>
          <w:szCs w:val="32"/>
        </w:rPr>
        <w:t>我国是各族人民共同缔造的统一的多民族国家。党和国家历来高度重视保护少数民族合法权益，保障各民族一律平等。为加快少数民族和民族地区经济社会发展，党和</w:t>
      </w:r>
      <w:r>
        <w:rPr>
          <w:rFonts w:hint="eastAsia" w:ascii="仿宋_GB2312" w:hAnsi="仿宋_GB2312" w:eastAsia="仿宋_GB2312" w:cs="仿宋_GB2312"/>
          <w:b w:val="0"/>
          <w:bCs w:val="0"/>
          <w:color w:val="auto"/>
          <w:kern w:val="0"/>
          <w:sz w:val="32"/>
          <w:szCs w:val="32"/>
          <w:lang w:eastAsia="zh-CN"/>
        </w:rPr>
        <w:t>国家</w:t>
      </w:r>
      <w:r>
        <w:rPr>
          <w:rFonts w:hint="eastAsia" w:ascii="仿宋_GB2312" w:hAnsi="仿宋_GB2312" w:eastAsia="仿宋_GB2312" w:cs="仿宋_GB2312"/>
          <w:b w:val="0"/>
          <w:bCs w:val="0"/>
          <w:color w:val="auto"/>
          <w:kern w:val="0"/>
          <w:sz w:val="32"/>
          <w:szCs w:val="32"/>
        </w:rPr>
        <w:t>制定了一系列优惠政策，</w:t>
      </w:r>
      <w:r>
        <w:rPr>
          <w:rFonts w:hint="eastAsia" w:ascii="仿宋_GB2312" w:hAnsi="仿宋_GB2312" w:eastAsia="仿宋_GB2312" w:cs="仿宋_GB2312"/>
          <w:b w:val="0"/>
          <w:bCs w:val="0"/>
          <w:color w:val="auto"/>
          <w:kern w:val="0"/>
          <w:sz w:val="32"/>
          <w:szCs w:val="32"/>
          <w:lang w:eastAsia="zh-CN"/>
        </w:rPr>
        <w:t>同时</w:t>
      </w:r>
      <w:r>
        <w:rPr>
          <w:rFonts w:hint="eastAsia" w:ascii="仿宋_GB2312" w:hAnsi="仿宋_GB2312" w:eastAsia="仿宋_GB2312" w:cs="仿宋_GB2312"/>
          <w:b w:val="0"/>
          <w:bCs w:val="0"/>
          <w:color w:val="auto"/>
          <w:kern w:val="0"/>
          <w:sz w:val="32"/>
          <w:szCs w:val="32"/>
        </w:rPr>
        <w:t>采取精准扶贫措施，</w:t>
      </w:r>
      <w:r>
        <w:rPr>
          <w:rFonts w:hint="eastAsia" w:ascii="仿宋_GB2312" w:hAnsi="仿宋_GB2312" w:eastAsia="仿宋_GB2312" w:cs="仿宋_GB2312"/>
          <w:b w:val="0"/>
          <w:bCs w:val="0"/>
          <w:color w:val="auto"/>
          <w:kern w:val="0"/>
          <w:sz w:val="32"/>
          <w:szCs w:val="32"/>
          <w:lang w:eastAsia="zh-CN"/>
        </w:rPr>
        <w:t>在</w:t>
      </w:r>
      <w:r>
        <w:rPr>
          <w:rFonts w:hint="eastAsia" w:ascii="仿宋_GB2312" w:hAnsi="仿宋_GB2312" w:eastAsia="仿宋_GB2312" w:cs="仿宋_GB2312"/>
          <w:b w:val="0"/>
          <w:bCs w:val="0"/>
          <w:color w:val="auto"/>
          <w:kern w:val="0"/>
          <w:sz w:val="32"/>
          <w:szCs w:val="32"/>
          <w:lang w:val="en-US" w:eastAsia="zh-CN"/>
        </w:rPr>
        <w:t>2020年底全面实现小康水平。</w:t>
      </w:r>
    </w:p>
    <w:p>
      <w:pPr>
        <w:keepNext w:val="0"/>
        <w:keepLines w:val="0"/>
        <w:pageBreakBefore w:val="0"/>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color w:val="auto"/>
          <w:sz w:val="32"/>
          <w:szCs w:val="32"/>
        </w:rPr>
      </w:pPr>
    </w:p>
    <w:p>
      <w:pPr>
        <w:keepNext w:val="0"/>
        <w:keepLines w:val="0"/>
        <w:pageBreakBefore w:val="0"/>
        <w:widowControl/>
        <w:kinsoku/>
        <w:wordWrap/>
        <w:overflowPunct/>
        <w:topLinePunct w:val="0"/>
        <w:autoSpaceDE/>
        <w:autoSpaceDN/>
        <w:bidi w:val="0"/>
        <w:spacing w:line="560" w:lineRule="exact"/>
        <w:jc w:val="both"/>
        <w:textAlignment w:val="auto"/>
        <w:rPr>
          <w:rStyle w:val="27"/>
          <w:rFonts w:hint="eastAsia" w:ascii="仿宋_GB2312" w:hAnsi="仿宋_GB2312" w:eastAsia="仿宋_GB2312" w:cs="仿宋_GB2312"/>
          <w:b w:val="0"/>
          <w:color w:val="auto"/>
          <w:sz w:val="32"/>
          <w:szCs w:val="32"/>
        </w:rPr>
      </w:pPr>
    </w:p>
    <w:p>
      <w:pPr>
        <w:pageBreakBefore w:val="0"/>
        <w:widowControl/>
        <w:kinsoku/>
        <w:wordWrap/>
        <w:overflowPunct/>
        <w:topLinePunct w:val="0"/>
        <w:autoSpaceDE/>
        <w:autoSpaceDN/>
        <w:bidi w:val="0"/>
        <w:spacing w:line="560" w:lineRule="exact"/>
        <w:jc w:val="left"/>
        <w:textAlignment w:val="auto"/>
        <w:rPr>
          <w:rStyle w:val="27"/>
          <w:rFonts w:hint="eastAsia" w:ascii="仿宋_GB2312" w:hAnsi="仿宋_GB2312" w:eastAsia="仿宋_GB2312" w:cs="仿宋_GB2312"/>
          <w:b w:val="0"/>
          <w:color w:val="auto"/>
          <w:sz w:val="32"/>
          <w:szCs w:val="32"/>
        </w:rPr>
      </w:pPr>
      <w:r>
        <w:rPr>
          <w:rStyle w:val="27"/>
          <w:rFonts w:hint="eastAsia" w:ascii="仿宋_GB2312" w:hAnsi="仿宋_GB2312" w:eastAsia="仿宋_GB2312" w:cs="仿宋_GB2312"/>
          <w:b w:val="0"/>
          <w:color w:val="auto"/>
          <w:sz w:val="32"/>
          <w:szCs w:val="32"/>
        </w:rPr>
        <w:br w:type="page"/>
      </w:r>
    </w:p>
    <w:p>
      <w:pPr>
        <w:pageBreakBefore w:val="0"/>
        <w:kinsoku/>
        <w:wordWrap/>
        <w:overflowPunct/>
        <w:topLinePunct w:val="0"/>
        <w:autoSpaceDE/>
        <w:autoSpaceDN/>
        <w:bidi w:val="0"/>
        <w:spacing w:line="560" w:lineRule="exact"/>
        <w:jc w:val="center"/>
        <w:textAlignment w:val="auto"/>
        <w:outlineLvl w:val="0"/>
        <w:rPr>
          <w:rStyle w:val="27"/>
          <w:rFonts w:hint="eastAsia" w:ascii="仿宋_GB2312" w:hAnsi="仿宋_GB2312" w:eastAsia="仿宋_GB2312" w:cs="仿宋_GB2312"/>
          <w:b w:val="0"/>
          <w:color w:val="auto"/>
          <w:sz w:val="32"/>
          <w:szCs w:val="32"/>
        </w:rPr>
      </w:pPr>
    </w:p>
    <w:p>
      <w:pPr>
        <w:pageBreakBefore w:val="0"/>
        <w:kinsoku/>
        <w:wordWrap/>
        <w:overflowPunct/>
        <w:topLinePunct w:val="0"/>
        <w:autoSpaceDE/>
        <w:autoSpaceDN/>
        <w:bidi w:val="0"/>
        <w:spacing w:line="560" w:lineRule="exact"/>
        <w:jc w:val="center"/>
        <w:textAlignment w:val="auto"/>
        <w:outlineLvl w:val="0"/>
        <w:rPr>
          <w:rStyle w:val="27"/>
          <w:rFonts w:hint="eastAsia" w:ascii="仿宋_GB2312" w:hAnsi="仿宋_GB2312" w:eastAsia="仿宋_GB2312" w:cs="仿宋_GB2312"/>
          <w:b w:val="0"/>
          <w:color w:val="auto"/>
          <w:sz w:val="32"/>
          <w:szCs w:val="32"/>
        </w:rPr>
      </w:pPr>
      <w:bookmarkStart w:id="55" w:name="_Toc15396618"/>
      <w:r>
        <w:rPr>
          <w:rFonts w:hint="eastAsia" w:ascii="仿宋_GB2312" w:hAnsi="仿宋_GB2312" w:eastAsia="仿宋_GB2312" w:cs="仿宋_GB2312"/>
          <w:color w:val="auto"/>
          <w:sz w:val="32"/>
          <w:szCs w:val="32"/>
        </w:rPr>
        <w:t>第</w:t>
      </w:r>
      <w:r>
        <w:rPr>
          <w:rStyle w:val="27"/>
          <w:rFonts w:hint="eastAsia" w:ascii="仿宋_GB2312" w:hAnsi="仿宋_GB2312" w:eastAsia="仿宋_GB2312" w:cs="仿宋_GB2312"/>
          <w:b w:val="0"/>
          <w:color w:val="auto"/>
          <w:sz w:val="32"/>
          <w:szCs w:val="32"/>
        </w:rPr>
        <w:t>五部分 附表</w:t>
      </w:r>
      <w:bookmarkEnd w:id="53"/>
      <w:bookmarkEnd w:id="55"/>
    </w:p>
    <w:p>
      <w:pPr>
        <w:pageBreakBefore w:val="0"/>
        <w:kinsoku/>
        <w:wordWrap/>
        <w:overflowPunct/>
        <w:topLinePunct w:val="0"/>
        <w:autoSpaceDE/>
        <w:autoSpaceDN/>
        <w:bidi w:val="0"/>
        <w:spacing w:line="560" w:lineRule="exact"/>
        <w:jc w:val="center"/>
        <w:textAlignment w:val="auto"/>
        <w:outlineLvl w:val="0"/>
        <w:rPr>
          <w:rFonts w:hint="eastAsia" w:ascii="仿宋_GB2312" w:hAnsi="仿宋_GB2312" w:eastAsia="仿宋_GB2312" w:cs="仿宋_GB2312"/>
          <w:b/>
          <w:color w:val="auto"/>
          <w:sz w:val="32"/>
          <w:szCs w:val="32"/>
        </w:rPr>
      </w:pPr>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56" w:name="_Toc15396619"/>
      <w:r>
        <w:rPr>
          <w:rFonts w:hint="eastAsia" w:ascii="仿宋_GB2312" w:hAnsi="仿宋_GB2312" w:eastAsia="仿宋_GB2312" w:cs="仿宋_GB2312"/>
          <w:b w:val="0"/>
          <w:color w:val="auto"/>
          <w:sz w:val="32"/>
          <w:szCs w:val="32"/>
        </w:rPr>
        <w:t>一、收</w:t>
      </w:r>
      <w:r>
        <w:rPr>
          <w:rStyle w:val="28"/>
          <w:rFonts w:hint="eastAsia" w:ascii="仿宋_GB2312" w:hAnsi="仿宋_GB2312" w:eastAsia="仿宋_GB2312" w:cs="仿宋_GB2312"/>
          <w:b w:val="0"/>
          <w:bCs w:val="0"/>
          <w:color w:val="auto"/>
          <w:sz w:val="32"/>
          <w:szCs w:val="32"/>
        </w:rPr>
        <w:t>入支出决算总表</w:t>
      </w:r>
      <w:bookmarkEnd w:id="56"/>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57" w:name="_Toc15396620"/>
      <w:r>
        <w:rPr>
          <w:rFonts w:hint="eastAsia" w:ascii="仿宋_GB2312" w:hAnsi="仿宋_GB2312" w:eastAsia="仿宋_GB2312" w:cs="仿宋_GB2312"/>
          <w:b w:val="0"/>
          <w:color w:val="auto"/>
          <w:sz w:val="32"/>
          <w:szCs w:val="32"/>
        </w:rPr>
        <w:t>二、收</w:t>
      </w:r>
      <w:r>
        <w:rPr>
          <w:rStyle w:val="28"/>
          <w:rFonts w:hint="eastAsia" w:ascii="仿宋_GB2312" w:hAnsi="仿宋_GB2312" w:eastAsia="仿宋_GB2312" w:cs="仿宋_GB2312"/>
          <w:b w:val="0"/>
          <w:bCs w:val="0"/>
          <w:color w:val="auto"/>
          <w:sz w:val="32"/>
          <w:szCs w:val="32"/>
        </w:rPr>
        <w:t>入决算表</w:t>
      </w:r>
      <w:bookmarkEnd w:id="57"/>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58" w:name="_Toc15396621"/>
      <w:r>
        <w:rPr>
          <w:rStyle w:val="28"/>
          <w:rFonts w:hint="eastAsia" w:ascii="仿宋_GB2312" w:hAnsi="仿宋_GB2312" w:eastAsia="仿宋_GB2312" w:cs="仿宋_GB2312"/>
          <w:b w:val="0"/>
          <w:bCs w:val="0"/>
          <w:color w:val="auto"/>
          <w:sz w:val="32"/>
          <w:szCs w:val="32"/>
        </w:rPr>
        <w:t>三、</w:t>
      </w:r>
      <w:r>
        <w:rPr>
          <w:rFonts w:hint="eastAsia" w:ascii="仿宋_GB2312" w:hAnsi="仿宋_GB2312" w:eastAsia="仿宋_GB2312" w:cs="仿宋_GB2312"/>
          <w:b w:val="0"/>
          <w:color w:val="auto"/>
          <w:sz w:val="32"/>
          <w:szCs w:val="32"/>
        </w:rPr>
        <w:t>支</w:t>
      </w:r>
      <w:r>
        <w:rPr>
          <w:rStyle w:val="28"/>
          <w:rFonts w:hint="eastAsia" w:ascii="仿宋_GB2312" w:hAnsi="仿宋_GB2312" w:eastAsia="仿宋_GB2312" w:cs="仿宋_GB2312"/>
          <w:b w:val="0"/>
          <w:bCs w:val="0"/>
          <w:color w:val="auto"/>
          <w:sz w:val="32"/>
          <w:szCs w:val="32"/>
        </w:rPr>
        <w:t>出决算表</w:t>
      </w:r>
      <w:bookmarkEnd w:id="58"/>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val="0"/>
          <w:color w:val="auto"/>
          <w:sz w:val="32"/>
          <w:szCs w:val="32"/>
        </w:rPr>
      </w:pPr>
      <w:bookmarkStart w:id="59" w:name="_Toc15396622"/>
      <w:r>
        <w:rPr>
          <w:rStyle w:val="28"/>
          <w:rFonts w:hint="eastAsia" w:ascii="仿宋_GB2312" w:hAnsi="仿宋_GB2312" w:eastAsia="仿宋_GB2312" w:cs="仿宋_GB2312"/>
          <w:b w:val="0"/>
          <w:bCs w:val="0"/>
          <w:color w:val="auto"/>
          <w:sz w:val="32"/>
          <w:szCs w:val="32"/>
        </w:rPr>
        <w:t>四、</w:t>
      </w:r>
      <w:r>
        <w:rPr>
          <w:rFonts w:hint="eastAsia" w:ascii="仿宋_GB2312" w:hAnsi="仿宋_GB2312" w:eastAsia="仿宋_GB2312" w:cs="仿宋_GB2312"/>
          <w:b w:val="0"/>
          <w:color w:val="auto"/>
          <w:sz w:val="32"/>
          <w:szCs w:val="32"/>
        </w:rPr>
        <w:t>财</w:t>
      </w:r>
      <w:r>
        <w:rPr>
          <w:rStyle w:val="28"/>
          <w:rFonts w:hint="eastAsia" w:ascii="仿宋_GB2312" w:hAnsi="仿宋_GB2312" w:eastAsia="仿宋_GB2312" w:cs="仿宋_GB2312"/>
          <w:b w:val="0"/>
          <w:bCs w:val="0"/>
          <w:color w:val="auto"/>
          <w:sz w:val="32"/>
          <w:szCs w:val="32"/>
        </w:rPr>
        <w:t>政拨款收入支出决算总表</w:t>
      </w:r>
      <w:bookmarkEnd w:id="59"/>
    </w:p>
    <w:p>
      <w:pPr>
        <w:pStyle w:val="3"/>
        <w:pageBreakBefore w:val="0"/>
        <w:kinsoku/>
        <w:wordWrap/>
        <w:overflowPunct/>
        <w:topLinePunct w:val="0"/>
        <w:autoSpaceDE/>
        <w:autoSpaceDN/>
        <w:bidi w:val="0"/>
        <w:spacing w:line="560" w:lineRule="exact"/>
        <w:textAlignment w:val="auto"/>
        <w:rPr>
          <w:rStyle w:val="28"/>
          <w:rFonts w:hint="eastAsia" w:ascii="仿宋_GB2312" w:hAnsi="仿宋_GB2312" w:eastAsia="仿宋_GB2312" w:cs="仿宋_GB2312"/>
          <w:b w:val="0"/>
          <w:bCs w:val="0"/>
          <w:color w:val="auto"/>
          <w:sz w:val="32"/>
          <w:szCs w:val="32"/>
        </w:rPr>
      </w:pPr>
      <w:bookmarkStart w:id="60" w:name="_Toc15396623"/>
      <w:r>
        <w:rPr>
          <w:rStyle w:val="28"/>
          <w:rFonts w:hint="eastAsia" w:ascii="仿宋_GB2312" w:hAnsi="仿宋_GB2312" w:eastAsia="仿宋_GB2312" w:cs="仿宋_GB2312"/>
          <w:b w:val="0"/>
          <w:bCs w:val="0"/>
          <w:color w:val="auto"/>
          <w:sz w:val="32"/>
          <w:szCs w:val="32"/>
        </w:rPr>
        <w:t>五、</w:t>
      </w:r>
      <w:r>
        <w:rPr>
          <w:rFonts w:hint="eastAsia" w:ascii="仿宋_GB2312" w:hAnsi="仿宋_GB2312" w:eastAsia="仿宋_GB2312" w:cs="仿宋_GB2312"/>
          <w:b w:val="0"/>
          <w:color w:val="auto"/>
          <w:sz w:val="32"/>
          <w:szCs w:val="32"/>
        </w:rPr>
        <w:t>财</w:t>
      </w:r>
      <w:r>
        <w:rPr>
          <w:rStyle w:val="28"/>
          <w:rFonts w:hint="eastAsia" w:ascii="仿宋_GB2312" w:hAnsi="仿宋_GB2312" w:eastAsia="仿宋_GB2312" w:cs="仿宋_GB2312"/>
          <w:b w:val="0"/>
          <w:bCs w:val="0"/>
          <w:color w:val="auto"/>
          <w:sz w:val="32"/>
          <w:szCs w:val="32"/>
        </w:rPr>
        <w:t>政拨款支出决算明细表</w:t>
      </w:r>
      <w:bookmarkEnd w:id="60"/>
      <w:bookmarkStart w:id="61" w:name="_Toc15396624"/>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r>
        <w:rPr>
          <w:rStyle w:val="28"/>
          <w:rFonts w:hint="eastAsia" w:ascii="仿宋_GB2312" w:hAnsi="仿宋_GB2312" w:eastAsia="仿宋_GB2312" w:cs="仿宋_GB2312"/>
          <w:b w:val="0"/>
          <w:bCs w:val="0"/>
          <w:color w:val="auto"/>
          <w:sz w:val="32"/>
          <w:szCs w:val="32"/>
        </w:rPr>
        <w:t>六、</w:t>
      </w:r>
      <w:r>
        <w:rPr>
          <w:rFonts w:hint="eastAsia" w:ascii="仿宋_GB2312" w:hAnsi="仿宋_GB2312" w:eastAsia="仿宋_GB2312" w:cs="仿宋_GB2312"/>
          <w:b w:val="0"/>
          <w:color w:val="auto"/>
          <w:sz w:val="32"/>
          <w:szCs w:val="32"/>
        </w:rPr>
        <w:t>一</w:t>
      </w:r>
      <w:r>
        <w:rPr>
          <w:rStyle w:val="28"/>
          <w:rFonts w:hint="eastAsia" w:ascii="仿宋_GB2312" w:hAnsi="仿宋_GB2312" w:eastAsia="仿宋_GB2312" w:cs="仿宋_GB2312"/>
          <w:b w:val="0"/>
          <w:bCs w:val="0"/>
          <w:color w:val="auto"/>
          <w:sz w:val="32"/>
          <w:szCs w:val="32"/>
        </w:rPr>
        <w:t>般公共预算财政拨款支出决算表</w:t>
      </w:r>
      <w:bookmarkEnd w:id="61"/>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2" w:name="_Toc15396625"/>
      <w:r>
        <w:rPr>
          <w:rStyle w:val="28"/>
          <w:rFonts w:hint="eastAsia" w:ascii="仿宋_GB2312" w:hAnsi="仿宋_GB2312" w:eastAsia="仿宋_GB2312" w:cs="仿宋_GB2312"/>
          <w:b w:val="0"/>
          <w:bCs w:val="0"/>
          <w:color w:val="auto"/>
          <w:sz w:val="32"/>
          <w:szCs w:val="32"/>
        </w:rPr>
        <w:t>七、</w:t>
      </w:r>
      <w:r>
        <w:rPr>
          <w:rFonts w:hint="eastAsia" w:ascii="仿宋_GB2312" w:hAnsi="仿宋_GB2312" w:eastAsia="仿宋_GB2312" w:cs="仿宋_GB2312"/>
          <w:b w:val="0"/>
          <w:color w:val="auto"/>
          <w:sz w:val="32"/>
          <w:szCs w:val="32"/>
        </w:rPr>
        <w:t>一</w:t>
      </w:r>
      <w:r>
        <w:rPr>
          <w:rStyle w:val="28"/>
          <w:rFonts w:hint="eastAsia" w:ascii="仿宋_GB2312" w:hAnsi="仿宋_GB2312" w:eastAsia="仿宋_GB2312" w:cs="仿宋_GB2312"/>
          <w:b w:val="0"/>
          <w:bCs w:val="0"/>
          <w:color w:val="auto"/>
          <w:sz w:val="32"/>
          <w:szCs w:val="32"/>
        </w:rPr>
        <w:t>般公共预算财政拨款支出决算明细表</w:t>
      </w:r>
      <w:bookmarkEnd w:id="62"/>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3" w:name="_Toc15396626"/>
      <w:r>
        <w:rPr>
          <w:rStyle w:val="28"/>
          <w:rFonts w:hint="eastAsia" w:ascii="仿宋_GB2312" w:hAnsi="仿宋_GB2312" w:eastAsia="仿宋_GB2312" w:cs="仿宋_GB2312"/>
          <w:b w:val="0"/>
          <w:bCs w:val="0"/>
          <w:color w:val="auto"/>
          <w:sz w:val="32"/>
          <w:szCs w:val="32"/>
        </w:rPr>
        <w:t>八、</w:t>
      </w:r>
      <w:r>
        <w:rPr>
          <w:rFonts w:hint="eastAsia" w:ascii="仿宋_GB2312" w:hAnsi="仿宋_GB2312" w:eastAsia="仿宋_GB2312" w:cs="仿宋_GB2312"/>
          <w:b w:val="0"/>
          <w:color w:val="auto"/>
          <w:sz w:val="32"/>
          <w:szCs w:val="32"/>
        </w:rPr>
        <w:t>一</w:t>
      </w:r>
      <w:r>
        <w:rPr>
          <w:rStyle w:val="28"/>
          <w:rFonts w:hint="eastAsia" w:ascii="仿宋_GB2312" w:hAnsi="仿宋_GB2312" w:eastAsia="仿宋_GB2312" w:cs="仿宋_GB2312"/>
          <w:b w:val="0"/>
          <w:bCs w:val="0"/>
          <w:color w:val="auto"/>
          <w:sz w:val="32"/>
          <w:szCs w:val="32"/>
        </w:rPr>
        <w:t>般公共预算财政拨款基本支出决算表</w:t>
      </w:r>
      <w:bookmarkEnd w:id="63"/>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4" w:name="_Toc15396627"/>
      <w:r>
        <w:rPr>
          <w:rStyle w:val="28"/>
          <w:rFonts w:hint="eastAsia" w:ascii="仿宋_GB2312" w:hAnsi="仿宋_GB2312" w:eastAsia="仿宋_GB2312" w:cs="仿宋_GB2312"/>
          <w:b w:val="0"/>
          <w:bCs w:val="0"/>
          <w:color w:val="auto"/>
          <w:sz w:val="32"/>
          <w:szCs w:val="32"/>
        </w:rPr>
        <w:t>九、</w:t>
      </w:r>
      <w:r>
        <w:rPr>
          <w:rFonts w:hint="eastAsia" w:ascii="仿宋_GB2312" w:hAnsi="仿宋_GB2312" w:eastAsia="仿宋_GB2312" w:cs="仿宋_GB2312"/>
          <w:b w:val="0"/>
          <w:color w:val="auto"/>
          <w:sz w:val="32"/>
          <w:szCs w:val="32"/>
        </w:rPr>
        <w:t>一</w:t>
      </w:r>
      <w:r>
        <w:rPr>
          <w:rStyle w:val="28"/>
          <w:rFonts w:hint="eastAsia" w:ascii="仿宋_GB2312" w:hAnsi="仿宋_GB2312" w:eastAsia="仿宋_GB2312" w:cs="仿宋_GB2312"/>
          <w:b w:val="0"/>
          <w:bCs w:val="0"/>
          <w:color w:val="auto"/>
          <w:sz w:val="32"/>
          <w:szCs w:val="32"/>
        </w:rPr>
        <w:t>般公共预算财政拨款项目支出决算表</w:t>
      </w:r>
      <w:bookmarkEnd w:id="64"/>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5" w:name="_Toc15396628"/>
      <w:r>
        <w:rPr>
          <w:rStyle w:val="28"/>
          <w:rFonts w:hint="eastAsia" w:ascii="仿宋_GB2312" w:hAnsi="仿宋_GB2312" w:eastAsia="仿宋_GB2312" w:cs="仿宋_GB2312"/>
          <w:b w:val="0"/>
          <w:bCs w:val="0"/>
          <w:color w:val="auto"/>
          <w:sz w:val="32"/>
          <w:szCs w:val="32"/>
        </w:rPr>
        <w:t>十、</w:t>
      </w:r>
      <w:r>
        <w:rPr>
          <w:rFonts w:hint="eastAsia" w:ascii="仿宋_GB2312" w:hAnsi="仿宋_GB2312" w:eastAsia="仿宋_GB2312" w:cs="仿宋_GB2312"/>
          <w:b w:val="0"/>
          <w:color w:val="auto"/>
          <w:sz w:val="32"/>
          <w:szCs w:val="32"/>
        </w:rPr>
        <w:t>一</w:t>
      </w:r>
      <w:r>
        <w:rPr>
          <w:rStyle w:val="28"/>
          <w:rFonts w:hint="eastAsia" w:ascii="仿宋_GB2312" w:hAnsi="仿宋_GB2312" w:eastAsia="仿宋_GB2312" w:cs="仿宋_GB2312"/>
          <w:b w:val="0"/>
          <w:bCs w:val="0"/>
          <w:color w:val="auto"/>
          <w:sz w:val="32"/>
          <w:szCs w:val="32"/>
        </w:rPr>
        <w:t>般公共预算财政拨款“三公”经费支出决算表</w:t>
      </w:r>
      <w:bookmarkEnd w:id="65"/>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6" w:name="_Toc15396629"/>
      <w:r>
        <w:rPr>
          <w:rStyle w:val="28"/>
          <w:rFonts w:hint="eastAsia" w:ascii="仿宋_GB2312" w:hAnsi="仿宋_GB2312" w:eastAsia="仿宋_GB2312" w:cs="仿宋_GB2312"/>
          <w:b w:val="0"/>
          <w:bCs w:val="0"/>
          <w:color w:val="auto"/>
          <w:sz w:val="32"/>
          <w:szCs w:val="32"/>
        </w:rPr>
        <w:t>十一、</w:t>
      </w:r>
      <w:r>
        <w:rPr>
          <w:rFonts w:hint="eastAsia" w:ascii="仿宋_GB2312" w:hAnsi="仿宋_GB2312" w:eastAsia="仿宋_GB2312" w:cs="仿宋_GB2312"/>
          <w:b w:val="0"/>
          <w:color w:val="auto"/>
          <w:sz w:val="32"/>
          <w:szCs w:val="32"/>
        </w:rPr>
        <w:t>政</w:t>
      </w:r>
      <w:r>
        <w:rPr>
          <w:rStyle w:val="28"/>
          <w:rFonts w:hint="eastAsia" w:ascii="仿宋_GB2312" w:hAnsi="仿宋_GB2312" w:eastAsia="仿宋_GB2312" w:cs="仿宋_GB2312"/>
          <w:b w:val="0"/>
          <w:bCs w:val="0"/>
          <w:color w:val="auto"/>
          <w:sz w:val="32"/>
          <w:szCs w:val="32"/>
        </w:rPr>
        <w:t>府性基金预算财政拨款收入支出决算表</w:t>
      </w:r>
      <w:bookmarkEnd w:id="66"/>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7" w:name="_Toc15396630"/>
      <w:r>
        <w:rPr>
          <w:rStyle w:val="28"/>
          <w:rFonts w:hint="eastAsia" w:ascii="仿宋_GB2312" w:hAnsi="仿宋_GB2312" w:eastAsia="仿宋_GB2312" w:cs="仿宋_GB2312"/>
          <w:b w:val="0"/>
          <w:bCs w:val="0"/>
          <w:color w:val="auto"/>
          <w:sz w:val="32"/>
          <w:szCs w:val="32"/>
        </w:rPr>
        <w:t>十二、</w:t>
      </w:r>
      <w:r>
        <w:rPr>
          <w:rFonts w:hint="eastAsia" w:ascii="仿宋_GB2312" w:hAnsi="仿宋_GB2312" w:eastAsia="仿宋_GB2312" w:cs="仿宋_GB2312"/>
          <w:b w:val="0"/>
          <w:color w:val="auto"/>
          <w:sz w:val="32"/>
          <w:szCs w:val="32"/>
        </w:rPr>
        <w:t>政</w:t>
      </w:r>
      <w:r>
        <w:rPr>
          <w:rStyle w:val="28"/>
          <w:rFonts w:hint="eastAsia" w:ascii="仿宋_GB2312" w:hAnsi="仿宋_GB2312" w:eastAsia="仿宋_GB2312" w:cs="仿宋_GB2312"/>
          <w:b w:val="0"/>
          <w:bCs w:val="0"/>
          <w:color w:val="auto"/>
          <w:sz w:val="32"/>
          <w:szCs w:val="32"/>
        </w:rPr>
        <w:t>府性基金预算财政拨款“三公”经费支出决算表</w:t>
      </w:r>
      <w:bookmarkEnd w:id="67"/>
    </w:p>
    <w:p>
      <w:pPr>
        <w:pStyle w:val="3"/>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color w:val="auto"/>
          <w:sz w:val="32"/>
          <w:szCs w:val="32"/>
        </w:rPr>
      </w:pPr>
      <w:bookmarkStart w:id="68" w:name="_Toc15396631"/>
      <w:r>
        <w:rPr>
          <w:rStyle w:val="28"/>
          <w:rFonts w:hint="eastAsia" w:ascii="仿宋_GB2312" w:hAnsi="仿宋_GB2312" w:eastAsia="仿宋_GB2312" w:cs="仿宋_GB2312"/>
          <w:b w:val="0"/>
          <w:bCs w:val="0"/>
          <w:color w:val="auto"/>
          <w:sz w:val="32"/>
          <w:szCs w:val="32"/>
        </w:rPr>
        <w:t>十三、</w:t>
      </w:r>
      <w:r>
        <w:rPr>
          <w:rFonts w:hint="eastAsia" w:ascii="仿宋_GB2312" w:hAnsi="仿宋_GB2312" w:eastAsia="仿宋_GB2312" w:cs="仿宋_GB2312"/>
          <w:b w:val="0"/>
          <w:color w:val="auto"/>
          <w:sz w:val="32"/>
          <w:szCs w:val="32"/>
        </w:rPr>
        <w:t>国</w:t>
      </w:r>
      <w:r>
        <w:rPr>
          <w:rStyle w:val="28"/>
          <w:rFonts w:hint="eastAsia" w:ascii="仿宋_GB2312" w:hAnsi="仿宋_GB2312" w:eastAsia="仿宋_GB2312" w:cs="仿宋_GB2312"/>
          <w:b w:val="0"/>
          <w:bCs w:val="0"/>
          <w:color w:val="auto"/>
          <w:sz w:val="32"/>
          <w:szCs w:val="32"/>
        </w:rPr>
        <w:t>有资本经营预算支出决算表</w:t>
      </w:r>
      <w:bookmarkEnd w:id="68"/>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FZFSJW--GB1-0">
    <w:altName w:val="Latha"/>
    <w:panose1 w:val="00000000000000000000"/>
    <w:charset w:val="00"/>
    <w:family w:val="auto"/>
    <w:pitch w:val="default"/>
    <w:sig w:usb0="00000000" w:usb1="00000000" w:usb2="00000000" w:usb3="00000000" w:csb0="00000000" w:csb1="00000000"/>
  </w:font>
  <w:font w:name="Latha">
    <w:panose1 w:val="020B0604020202020204"/>
    <w:charset w:val="00"/>
    <w:family w:val="auto"/>
    <w:pitch w:val="default"/>
    <w:sig w:usb0="001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18</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9D9347"/>
    <w:multiLevelType w:val="singleLevel"/>
    <w:tmpl w:val="8C9D9347"/>
    <w:lvl w:ilvl="0" w:tentative="0">
      <w:start w:val="2"/>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D7DA2270"/>
    <w:multiLevelType w:val="singleLevel"/>
    <w:tmpl w:val="D7DA2270"/>
    <w:lvl w:ilvl="0" w:tentative="0">
      <w:start w:val="3"/>
      <w:numFmt w:val="decimal"/>
      <w:suff w:val="nothing"/>
      <w:lvlText w:val="%1．"/>
      <w:lvlJc w:val="left"/>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EEBEEA26"/>
    <w:multiLevelType w:val="singleLevel"/>
    <w:tmpl w:val="EEBEEA26"/>
    <w:lvl w:ilvl="0" w:tentative="0">
      <w:start w:val="1"/>
      <w:numFmt w:val="decimal"/>
      <w:suff w:val="nothing"/>
      <w:lvlText w:val="%1．"/>
      <w:lvlJc w:val="left"/>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15F4820"/>
    <w:multiLevelType w:val="singleLevel"/>
    <w:tmpl w:val="215F4820"/>
    <w:lvl w:ilvl="0" w:tentative="0">
      <w:start w:val="2"/>
      <w:numFmt w:val="chineseCounting"/>
      <w:suff w:val="nothing"/>
      <w:lvlText w:val="（%1）"/>
      <w:lvlJc w:val="left"/>
      <w:rPr>
        <w:rFonts w:hint="eastAsia"/>
      </w:rPr>
    </w:lvl>
  </w:abstractNum>
  <w:abstractNum w:abstractNumId="7">
    <w:nsid w:val="220007DE"/>
    <w:multiLevelType w:val="multilevel"/>
    <w:tmpl w:val="220007DE"/>
    <w:lvl w:ilvl="0" w:tentative="0">
      <w:start w:val="1"/>
      <w:numFmt w:val="chineseCountingThousand"/>
      <w:pStyle w:val="35"/>
      <w:suff w:val="nothing"/>
      <w:lvlText w:val="（%1）"/>
      <w:lvlJc w:val="left"/>
      <w:pPr>
        <w:ind w:left="0" w:firstLine="635"/>
      </w:pPr>
      <w:rPr>
        <w:rFonts w:hint="eastAsia"/>
      </w:rPr>
    </w:lvl>
    <w:lvl w:ilvl="1" w:tentative="0">
      <w:start w:val="1"/>
      <w:numFmt w:val="decimal"/>
      <w:lvlText w:val="%2."/>
      <w:lvlJc w:val="left"/>
      <w:pPr>
        <w:ind w:left="980" w:hanging="360"/>
      </w:pPr>
      <w:rPr>
        <w:rFonts w:hint="default"/>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8">
    <w:nsid w:val="62B73AFD"/>
    <w:multiLevelType w:val="singleLevel"/>
    <w:tmpl w:val="62B73AFD"/>
    <w:lvl w:ilvl="0" w:tentative="0">
      <w:start w:val="2"/>
      <w:numFmt w:val="decimal"/>
      <w:suff w:val="nothing"/>
      <w:lvlText w:val="%1、"/>
      <w:lvlJc w:val="left"/>
    </w:lvl>
  </w:abstractNum>
  <w:num w:numId="1">
    <w:abstractNumId w:val="7"/>
  </w:num>
  <w:num w:numId="2">
    <w:abstractNumId w:val="5"/>
  </w:num>
  <w:num w:numId="3">
    <w:abstractNumId w:val="1"/>
  </w:num>
  <w:num w:numId="4">
    <w:abstractNumId w:val="3"/>
  </w:num>
  <w:num w:numId="5">
    <w:abstractNumId w:val="6"/>
  </w:num>
  <w:num w:numId="6">
    <w:abstractNumId w:val="8"/>
  </w:num>
  <w:num w:numId="7">
    <w:abstractNumId w:val="2"/>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5416"/>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6E8D"/>
    <w:rsid w:val="001F7506"/>
    <w:rsid w:val="002006CD"/>
    <w:rsid w:val="00202B36"/>
    <w:rsid w:val="00204B7A"/>
    <w:rsid w:val="00204CDE"/>
    <w:rsid w:val="0021101A"/>
    <w:rsid w:val="00220536"/>
    <w:rsid w:val="00235629"/>
    <w:rsid w:val="00260C38"/>
    <w:rsid w:val="002616C0"/>
    <w:rsid w:val="00265372"/>
    <w:rsid w:val="002662AA"/>
    <w:rsid w:val="00275444"/>
    <w:rsid w:val="00280496"/>
    <w:rsid w:val="00294DC9"/>
    <w:rsid w:val="00295495"/>
    <w:rsid w:val="002A31DE"/>
    <w:rsid w:val="002B2613"/>
    <w:rsid w:val="002D19B0"/>
    <w:rsid w:val="002D6D05"/>
    <w:rsid w:val="002F1818"/>
    <w:rsid w:val="002F567B"/>
    <w:rsid w:val="003073E1"/>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5119F"/>
    <w:rsid w:val="0046052C"/>
    <w:rsid w:val="00471401"/>
    <w:rsid w:val="00473F31"/>
    <w:rsid w:val="0048263A"/>
    <w:rsid w:val="00487E5D"/>
    <w:rsid w:val="004979AE"/>
    <w:rsid w:val="004A711F"/>
    <w:rsid w:val="004B199D"/>
    <w:rsid w:val="004B4690"/>
    <w:rsid w:val="004E0A2D"/>
    <w:rsid w:val="004E1D1C"/>
    <w:rsid w:val="004E206B"/>
    <w:rsid w:val="004E6DF7"/>
    <w:rsid w:val="004F0FBD"/>
    <w:rsid w:val="004F403E"/>
    <w:rsid w:val="00505A47"/>
    <w:rsid w:val="00512FDA"/>
    <w:rsid w:val="00520DA0"/>
    <w:rsid w:val="00534744"/>
    <w:rsid w:val="0055250B"/>
    <w:rsid w:val="005664BB"/>
    <w:rsid w:val="00566FFA"/>
    <w:rsid w:val="0057481D"/>
    <w:rsid w:val="00575F0B"/>
    <w:rsid w:val="0058486E"/>
    <w:rsid w:val="00585B33"/>
    <w:rsid w:val="0059014D"/>
    <w:rsid w:val="005B5C64"/>
    <w:rsid w:val="005B6B28"/>
    <w:rsid w:val="005C6BD0"/>
    <w:rsid w:val="005C6C4C"/>
    <w:rsid w:val="005D047B"/>
    <w:rsid w:val="005D1C8B"/>
    <w:rsid w:val="005D468D"/>
    <w:rsid w:val="005D5CED"/>
    <w:rsid w:val="005F02A4"/>
    <w:rsid w:val="005F1A4C"/>
    <w:rsid w:val="005F571E"/>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8F3"/>
    <w:rsid w:val="006B2B9A"/>
    <w:rsid w:val="006C1937"/>
    <w:rsid w:val="006F020C"/>
    <w:rsid w:val="006F4B4F"/>
    <w:rsid w:val="007127B7"/>
    <w:rsid w:val="0071798E"/>
    <w:rsid w:val="00727533"/>
    <w:rsid w:val="007337E2"/>
    <w:rsid w:val="007416B6"/>
    <w:rsid w:val="007453EA"/>
    <w:rsid w:val="00746F48"/>
    <w:rsid w:val="0075404D"/>
    <w:rsid w:val="0076182A"/>
    <w:rsid w:val="00767B7E"/>
    <w:rsid w:val="007770C3"/>
    <w:rsid w:val="00784D24"/>
    <w:rsid w:val="00785FBA"/>
    <w:rsid w:val="00786E4A"/>
    <w:rsid w:val="007875EB"/>
    <w:rsid w:val="0079426B"/>
    <w:rsid w:val="007C41AF"/>
    <w:rsid w:val="007D1682"/>
    <w:rsid w:val="007D312A"/>
    <w:rsid w:val="007D3F19"/>
    <w:rsid w:val="007E23B0"/>
    <w:rsid w:val="007E77C6"/>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A2E3D"/>
    <w:rsid w:val="008B768C"/>
    <w:rsid w:val="008C40B0"/>
    <w:rsid w:val="008C4DB1"/>
    <w:rsid w:val="008C4EAF"/>
    <w:rsid w:val="008C5176"/>
    <w:rsid w:val="008C7FD0"/>
    <w:rsid w:val="008E1DE7"/>
    <w:rsid w:val="008E707C"/>
    <w:rsid w:val="00900B08"/>
    <w:rsid w:val="00902155"/>
    <w:rsid w:val="00902FA3"/>
    <w:rsid w:val="0091248F"/>
    <w:rsid w:val="00917335"/>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97581"/>
    <w:rsid w:val="00AA0527"/>
    <w:rsid w:val="00AB64C9"/>
    <w:rsid w:val="00AC3C6A"/>
    <w:rsid w:val="00AD0F83"/>
    <w:rsid w:val="00AD5620"/>
    <w:rsid w:val="00AD656B"/>
    <w:rsid w:val="00AD7C1B"/>
    <w:rsid w:val="00AE16BA"/>
    <w:rsid w:val="00AE1EBE"/>
    <w:rsid w:val="00B03C9D"/>
    <w:rsid w:val="00B060AE"/>
    <w:rsid w:val="00B10517"/>
    <w:rsid w:val="00B14E76"/>
    <w:rsid w:val="00B161B8"/>
    <w:rsid w:val="00B16297"/>
    <w:rsid w:val="00B2048C"/>
    <w:rsid w:val="00B230F0"/>
    <w:rsid w:val="00B310B9"/>
    <w:rsid w:val="00B35F3F"/>
    <w:rsid w:val="00B36CBB"/>
    <w:rsid w:val="00B425E0"/>
    <w:rsid w:val="00B440AA"/>
    <w:rsid w:val="00B44B70"/>
    <w:rsid w:val="00B53C56"/>
    <w:rsid w:val="00B53E48"/>
    <w:rsid w:val="00B57DAF"/>
    <w:rsid w:val="00B77EA6"/>
    <w:rsid w:val="00B805A5"/>
    <w:rsid w:val="00B81598"/>
    <w:rsid w:val="00B841F1"/>
    <w:rsid w:val="00B944D6"/>
    <w:rsid w:val="00BA5163"/>
    <w:rsid w:val="00BB4DF0"/>
    <w:rsid w:val="00BC289F"/>
    <w:rsid w:val="00BC2D50"/>
    <w:rsid w:val="00BC5361"/>
    <w:rsid w:val="00BC5460"/>
    <w:rsid w:val="00BC6B50"/>
    <w:rsid w:val="00BD0E25"/>
    <w:rsid w:val="00BE6A1E"/>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B71BC"/>
    <w:rsid w:val="00DC2949"/>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62CBE"/>
    <w:rsid w:val="00F754A1"/>
    <w:rsid w:val="00F81FD9"/>
    <w:rsid w:val="00F83568"/>
    <w:rsid w:val="00F841AA"/>
    <w:rsid w:val="00F84A94"/>
    <w:rsid w:val="00F87E96"/>
    <w:rsid w:val="00FA23E8"/>
    <w:rsid w:val="00FD3CC1"/>
    <w:rsid w:val="00FF1E02"/>
    <w:rsid w:val="00FF30B4"/>
    <w:rsid w:val="10C055FF"/>
    <w:rsid w:val="12AB010A"/>
    <w:rsid w:val="16BB723D"/>
    <w:rsid w:val="1DB70044"/>
    <w:rsid w:val="1E76769E"/>
    <w:rsid w:val="240371BF"/>
    <w:rsid w:val="29FD04D3"/>
    <w:rsid w:val="319F7F4E"/>
    <w:rsid w:val="4ECE2238"/>
    <w:rsid w:val="5A5D538B"/>
    <w:rsid w:val="5C786E79"/>
    <w:rsid w:val="5D56165B"/>
    <w:rsid w:val="60005272"/>
    <w:rsid w:val="6E787492"/>
    <w:rsid w:val="72734D90"/>
    <w:rsid w:val="7DE67BD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5">
    <w:name w:val="Body Text"/>
    <w:basedOn w:val="1"/>
    <w:link w:val="24"/>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30"/>
    <w:semiHidden/>
    <w:unhideWhenUsed/>
    <w:qFormat/>
    <w:uiPriority w:val="99"/>
    <w:rPr>
      <w:sz w:val="18"/>
      <w:szCs w:val="18"/>
    </w:rPr>
  </w:style>
  <w:style w:type="paragraph" w:styleId="8">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spacing w:before="100" w:beforeAutospacing="1" w:after="100" w:afterAutospacing="1"/>
      <w:jc w:val="left"/>
    </w:pPr>
    <w:rPr>
      <w:kern w:val="0"/>
      <w:sz w:val="24"/>
      <w:szCs w:val="24"/>
    </w:rPr>
  </w:style>
  <w:style w:type="character" w:styleId="15">
    <w:name w:val="Strong"/>
    <w:basedOn w:val="14"/>
    <w:qFormat/>
    <w:uiPriority w:val="99"/>
    <w:rPr>
      <w:b/>
    </w:rPr>
  </w:style>
  <w:style w:type="character" w:styleId="16">
    <w:name w:val="FollowedHyperlink"/>
    <w:basedOn w:val="14"/>
    <w:semiHidden/>
    <w:unhideWhenUsed/>
    <w:qFormat/>
    <w:uiPriority w:val="99"/>
    <w:rPr>
      <w:color w:val="000000"/>
      <w:u w:val="none"/>
    </w:rPr>
  </w:style>
  <w:style w:type="character" w:styleId="17">
    <w:name w:val="Emphasis"/>
    <w:qFormat/>
    <w:uiPriority w:val="20"/>
  </w:style>
  <w:style w:type="character" w:styleId="18">
    <w:name w:val="Hyperlink"/>
    <w:basedOn w:val="14"/>
    <w:unhideWhenUsed/>
    <w:qFormat/>
    <w:uiPriority w:val="99"/>
    <w:rPr>
      <w:color w:val="0000FF" w:themeColor="hyperlink"/>
      <w:u w:val="single"/>
      <w14:textFill>
        <w14:solidFill>
          <w14:schemeClr w14:val="hlink"/>
        </w14:solidFill>
      </w14:textFill>
    </w:rPr>
  </w:style>
  <w:style w:type="character" w:customStyle="1" w:styleId="19">
    <w:name w:val="Header Char"/>
    <w:basedOn w:val="14"/>
    <w:semiHidden/>
    <w:qFormat/>
    <w:uiPriority w:val="99"/>
    <w:rPr>
      <w:rFonts w:ascii="Times New Roman" w:hAnsi="Times New Roman"/>
      <w:sz w:val="18"/>
      <w:szCs w:val="18"/>
    </w:rPr>
  </w:style>
  <w:style w:type="character" w:customStyle="1" w:styleId="20">
    <w:name w:val="页眉 Char"/>
    <w:link w:val="9"/>
    <w:semiHidden/>
    <w:qFormat/>
    <w:locked/>
    <w:uiPriority w:val="99"/>
    <w:rPr>
      <w:sz w:val="18"/>
    </w:rPr>
  </w:style>
  <w:style w:type="character" w:customStyle="1" w:styleId="21">
    <w:name w:val="Footer Char"/>
    <w:basedOn w:val="14"/>
    <w:semiHidden/>
    <w:qFormat/>
    <w:uiPriority w:val="99"/>
    <w:rPr>
      <w:rFonts w:ascii="Times New Roman" w:hAnsi="Times New Roman"/>
      <w:sz w:val="18"/>
      <w:szCs w:val="18"/>
    </w:rPr>
  </w:style>
  <w:style w:type="character" w:customStyle="1" w:styleId="22">
    <w:name w:val="页脚 Char"/>
    <w:link w:val="8"/>
    <w:qFormat/>
    <w:locked/>
    <w:uiPriority w:val="99"/>
    <w:rPr>
      <w:sz w:val="18"/>
    </w:rPr>
  </w:style>
  <w:style w:type="character" w:customStyle="1" w:styleId="23">
    <w:name w:val="Body Text Char"/>
    <w:basedOn w:val="14"/>
    <w:semiHidden/>
    <w:qFormat/>
    <w:uiPriority w:val="99"/>
    <w:rPr>
      <w:rFonts w:ascii="Times New Roman" w:hAnsi="Times New Roman"/>
      <w:szCs w:val="24"/>
    </w:rPr>
  </w:style>
  <w:style w:type="character" w:customStyle="1" w:styleId="24">
    <w:name w:val="正文文本 Char"/>
    <w:link w:val="5"/>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4"/>
    <w:link w:val="2"/>
    <w:qFormat/>
    <w:uiPriority w:val="9"/>
    <w:rPr>
      <w:rFonts w:ascii="Times New Roman" w:hAnsi="Times New Roman"/>
      <w:b/>
      <w:bCs/>
      <w:kern w:val="44"/>
      <w:sz w:val="44"/>
      <w:szCs w:val="44"/>
    </w:rPr>
  </w:style>
  <w:style w:type="character" w:customStyle="1" w:styleId="28">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0">
    <w:name w:val="批注框文本 Char"/>
    <w:basedOn w:val="14"/>
    <w:link w:val="7"/>
    <w:semiHidden/>
    <w:qFormat/>
    <w:uiPriority w:val="99"/>
    <w:rPr>
      <w:rFonts w:ascii="Times New Roman" w:hAnsi="Times New Roman"/>
      <w:kern w:val="2"/>
      <w:sz w:val="18"/>
      <w:szCs w:val="18"/>
    </w:rPr>
  </w:style>
  <w:style w:type="character" w:customStyle="1" w:styleId="31">
    <w:name w:val="标题 3 Char"/>
    <w:basedOn w:val="14"/>
    <w:link w:val="4"/>
    <w:qFormat/>
    <w:uiPriority w:val="9"/>
    <w:rPr>
      <w:rFonts w:ascii="Times New Roman" w:hAnsi="Times New Roman"/>
      <w:b/>
      <w:bCs/>
      <w:kern w:val="2"/>
      <w:sz w:val="32"/>
      <w:szCs w:val="32"/>
    </w:rPr>
  </w:style>
  <w:style w:type="paragraph" w:customStyle="1" w:styleId="32">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3">
    <w:name w:val="标题 1 字符"/>
    <w:basedOn w:val="14"/>
    <w:link w:val="2"/>
    <w:qFormat/>
    <w:uiPriority w:val="9"/>
    <w:rPr>
      <w:rFonts w:ascii="Times New Roman" w:hAnsi="Times New Roman"/>
      <w:b/>
      <w:bCs/>
      <w:kern w:val="44"/>
      <w:sz w:val="44"/>
      <w:szCs w:val="44"/>
    </w:rPr>
  </w:style>
  <w:style w:type="character" w:customStyle="1" w:styleId="34">
    <w:name w:val="标题 2 字符"/>
    <w:basedOn w:val="14"/>
    <w:link w:val="3"/>
    <w:qFormat/>
    <w:uiPriority w:val="9"/>
    <w:rPr>
      <w:rFonts w:asciiTheme="majorHAnsi" w:hAnsiTheme="majorHAnsi" w:eastAsiaTheme="majorEastAsia" w:cstheme="majorBidi"/>
      <w:b/>
      <w:bCs/>
      <w:kern w:val="2"/>
      <w:sz w:val="32"/>
      <w:szCs w:val="32"/>
    </w:rPr>
  </w:style>
  <w:style w:type="paragraph" w:customStyle="1" w:styleId="35">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 w:type="character" w:customStyle="1" w:styleId="36">
    <w:name w:val="wgk"/>
    <w:basedOn w:val="14"/>
    <w:qFormat/>
    <w:uiPriority w:val="0"/>
    <w:rPr>
      <w:spacing w:val="225"/>
    </w:rPr>
  </w:style>
  <w:style w:type="character" w:customStyle="1" w:styleId="37">
    <w:name w:val="gk1"/>
    <w:basedOn w:val="14"/>
    <w:qFormat/>
    <w:uiPriority w:val="0"/>
  </w:style>
  <w:style w:type="character" w:customStyle="1" w:styleId="38">
    <w:name w:val="gk11"/>
    <w:basedOn w:val="14"/>
    <w:uiPriority w:val="0"/>
  </w:style>
  <w:style w:type="character" w:customStyle="1" w:styleId="39">
    <w:name w:val="gk2"/>
    <w:basedOn w:val="14"/>
    <w:qFormat/>
    <w:uiPriority w:val="0"/>
  </w:style>
  <w:style w:type="character" w:customStyle="1" w:styleId="40">
    <w:name w:val="gk21"/>
    <w:basedOn w:val="14"/>
    <w:qFormat/>
    <w:uiPriority w:val="0"/>
  </w:style>
  <w:style w:type="character" w:customStyle="1" w:styleId="41">
    <w:name w:val="gk3"/>
    <w:basedOn w:val="14"/>
    <w:qFormat/>
    <w:uiPriority w:val="0"/>
  </w:style>
  <w:style w:type="character" w:customStyle="1" w:styleId="42">
    <w:name w:val="gk31"/>
    <w:basedOn w:val="14"/>
    <w:qFormat/>
    <w:uiPriority w:val="0"/>
  </w:style>
  <w:style w:type="character" w:customStyle="1" w:styleId="43">
    <w:name w:val="gwds_nopic"/>
    <w:basedOn w:val="14"/>
    <w:uiPriority w:val="0"/>
  </w:style>
  <w:style w:type="character" w:customStyle="1" w:styleId="44">
    <w:name w:val="syimg1"/>
    <w:basedOn w:val="14"/>
    <w:qFormat/>
    <w:uiPriority w:val="0"/>
  </w:style>
  <w:style w:type="character" w:customStyle="1" w:styleId="45">
    <w:name w:val="syimg11"/>
    <w:basedOn w:val="14"/>
    <w:qFormat/>
    <w:uiPriority w:val="0"/>
  </w:style>
  <w:style w:type="character" w:customStyle="1" w:styleId="46">
    <w:name w:val="syimg2"/>
    <w:basedOn w:val="14"/>
    <w:qFormat/>
    <w:uiPriority w:val="0"/>
  </w:style>
  <w:style w:type="character" w:customStyle="1" w:styleId="47">
    <w:name w:val="syimg21"/>
    <w:basedOn w:val="14"/>
    <w:qFormat/>
    <w:uiPriority w:val="0"/>
  </w:style>
  <w:style w:type="character" w:customStyle="1" w:styleId="48">
    <w:name w:val="bsharetext"/>
    <w:basedOn w:val="1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5D93A3-FAAC-4EA2-BE86-81B6AE982A80}">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28</Pages>
  <Words>1477</Words>
  <Characters>8425</Characters>
  <Lines>70</Lines>
  <Paragraphs>19</Paragraphs>
  <TotalTime>2</TotalTime>
  <ScaleCrop>false</ScaleCrop>
  <LinksUpToDate>false</LinksUpToDate>
  <CharactersWithSpaces>9883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Administrator</cp:lastModifiedBy>
  <cp:lastPrinted>2020-09-24T07:13:21Z</cp:lastPrinted>
  <dcterms:modified xsi:type="dcterms:W3CDTF">2020-09-24T07:34:20Z</dcterms:modified>
  <dc:title>四川省***</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