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0" w:beforeAutospacing="0" w:after="0" w:afterAutospacing="0"/>
        <w:jc w:val="center"/>
        <w:rPr>
          <w:rFonts w:hint="eastAsia" w:ascii="Times New Roman" w:hAnsi="Times New Roman" w:eastAsia="方正小标宋简体" w:cs="方正小标宋简体"/>
          <w:sz w:val="72"/>
          <w:szCs w:val="7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72"/>
          <w:szCs w:val="7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72"/>
          <w:szCs w:val="7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72"/>
          <w:szCs w:val="72"/>
          <w:lang w:bidi="ar"/>
        </w:rPr>
      </w:pPr>
    </w:p>
    <w:p>
      <w:pPr>
        <w:widowControl/>
        <w:outlineLvl w:val="0"/>
        <w:rPr>
          <w:rFonts w:hint="eastAsia" w:ascii="Times New Roman" w:hAnsi="Times New Roman" w:eastAsia="方正小标宋简体" w:cs="方正小标宋简体"/>
          <w:w w:val="90"/>
          <w:kern w:val="0"/>
          <w:sz w:val="72"/>
          <w:szCs w:val="72"/>
          <w:lang w:bidi="ar"/>
        </w:rPr>
      </w:pPr>
      <w:r>
        <w:rPr>
          <w:rFonts w:hint="eastAsia" w:ascii="Times New Roman" w:hAnsi="Times New Roman" w:eastAsia="方正小标宋简体" w:cs="方正小标宋简体"/>
          <w:w w:val="90"/>
          <w:kern w:val="0"/>
          <w:sz w:val="72"/>
          <w:szCs w:val="72"/>
          <w:lang w:bidi="ar"/>
        </w:rPr>
        <w:t xml:space="preserve">乐山市民族宗教事务委员会 </w:t>
      </w:r>
    </w:p>
    <w:p>
      <w:pPr>
        <w:widowControl/>
        <w:ind w:firstLine="520" w:firstLineChars="100"/>
        <w:outlineLvl w:val="0"/>
        <w:rPr>
          <w:rFonts w:hint="eastAsia" w:ascii="Times New Roman" w:hAnsi="Times New Roman" w:eastAsia="方正小标宋简体" w:cs="方正小标宋简体"/>
          <w:kern w:val="0"/>
          <w:sz w:val="72"/>
          <w:szCs w:val="72"/>
          <w:lang w:bidi="ar"/>
        </w:rPr>
      </w:pPr>
      <w:r>
        <w:rPr>
          <w:rFonts w:hint="eastAsia" w:ascii="Times New Roman" w:hAnsi="Times New Roman" w:eastAsia="方正小标宋简体" w:cs="方正小标宋简体"/>
          <w:kern w:val="0"/>
          <w:sz w:val="52"/>
          <w:szCs w:val="52"/>
          <w:lang w:bidi="ar"/>
        </w:rPr>
        <w:t xml:space="preserve"> </w:t>
      </w:r>
      <w:r>
        <w:rPr>
          <w:rFonts w:hint="eastAsia" w:ascii="Times New Roman" w:hAnsi="Times New Roman" w:eastAsia="方正小标宋简体" w:cs="方正小标宋简体"/>
          <w:kern w:val="0"/>
          <w:sz w:val="72"/>
          <w:szCs w:val="72"/>
          <w:lang w:bidi="ar"/>
        </w:rPr>
        <w:t>202</w:t>
      </w:r>
      <w:r>
        <w:rPr>
          <w:rFonts w:ascii="Times New Roman" w:hAnsi="Times New Roman" w:eastAsia="方正小标宋简体" w:cs="方正小标宋简体"/>
          <w:kern w:val="0"/>
          <w:sz w:val="72"/>
          <w:szCs w:val="72"/>
          <w:lang w:bidi="ar"/>
        </w:rPr>
        <w:t>4</w:t>
      </w:r>
      <w:r>
        <w:rPr>
          <w:rFonts w:hint="eastAsia" w:ascii="Times New Roman" w:hAnsi="Times New Roman" w:eastAsia="方正小标宋简体" w:cs="方正小标宋简体"/>
          <w:kern w:val="0"/>
          <w:sz w:val="72"/>
          <w:szCs w:val="72"/>
          <w:lang w:bidi="ar"/>
        </w:rPr>
        <w:t>年部门预算</w:t>
      </w: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ind w:firstLine="880"/>
        <w:jc w:val="center"/>
        <w:outlineLvl w:val="0"/>
        <w:rPr>
          <w:rFonts w:hint="eastAsia" w:ascii="Times New Roman" w:hAnsi="Times New Roman" w:eastAsia="方正小标宋简体" w:cs="方正小标宋简体"/>
          <w:kern w:val="0"/>
          <w:sz w:val="72"/>
          <w:szCs w:val="72"/>
          <w:lang w:bidi="ar"/>
        </w:rPr>
      </w:pPr>
    </w:p>
    <w:p>
      <w:pPr>
        <w:widowControl/>
        <w:spacing w:line="500" w:lineRule="exact"/>
        <w:ind w:firstLine="3603" w:firstLineChars="819"/>
        <w:outlineLvl w:val="0"/>
        <w:rPr>
          <w:rStyle w:val="8"/>
          <w:rFonts w:ascii="Times New Roman" w:hAnsi="Times New Roman" w:eastAsia="黑体" w:cs="宋体"/>
          <w:color w:val="333333"/>
          <w:sz w:val="32"/>
          <w:szCs w:val="21"/>
        </w:rPr>
      </w:pPr>
      <w:r>
        <w:rPr>
          <w:rFonts w:hint="eastAsia" w:ascii="Times New Roman" w:hAnsi="Times New Roman" w:eastAsia="方正小标宋简体" w:cs="方正小标宋简体"/>
          <w:kern w:val="0"/>
          <w:sz w:val="44"/>
          <w:szCs w:val="44"/>
          <w:lang w:bidi="ar"/>
        </w:rPr>
        <w:t>目录</w:t>
      </w:r>
    </w:p>
    <w:p>
      <w:pPr>
        <w:pStyle w:val="5"/>
        <w:widowControl/>
        <w:spacing w:before="0" w:beforeAutospacing="0" w:after="0" w:afterAutospacing="0" w:line="500" w:lineRule="exact"/>
        <w:ind w:firstLine="640" w:firstLineChars="200"/>
        <w:jc w:val="both"/>
        <w:outlineLvl w:val="0"/>
        <w:rPr>
          <w:rFonts w:ascii="Times New Roman" w:hAnsi="Times New Roman" w:cs="宋体"/>
          <w:bCs/>
          <w:color w:val="333333"/>
          <w:sz w:val="21"/>
          <w:szCs w:val="21"/>
        </w:rPr>
      </w:pPr>
      <w:r>
        <w:rPr>
          <w:rStyle w:val="8"/>
          <w:rFonts w:ascii="Times New Roman" w:hAnsi="Times New Roman" w:eastAsia="黑体" w:cs="宋体"/>
          <w:b w:val="0"/>
          <w:bCs/>
          <w:color w:val="333333"/>
          <w:sz w:val="32"/>
          <w:szCs w:val="21"/>
        </w:rPr>
        <w:t>第一部分</w:t>
      </w:r>
      <w:r>
        <w:rPr>
          <w:rStyle w:val="8"/>
          <w:rFonts w:hint="eastAsia" w:ascii="Times New Roman" w:hAnsi="Times New Roman" w:eastAsia="黑体" w:cs="宋体"/>
          <w:b w:val="0"/>
          <w:bCs/>
          <w:color w:val="333333"/>
          <w:sz w:val="32"/>
          <w:szCs w:val="21"/>
        </w:rPr>
        <w:t xml:space="preserve"> </w:t>
      </w:r>
      <w:r>
        <w:rPr>
          <w:rStyle w:val="8"/>
          <w:rFonts w:hint="eastAsia" w:ascii="Times New Roman" w:hAnsi="Times New Roman" w:eastAsia="黑体" w:cs="宋体"/>
          <w:bCs/>
          <w:color w:val="333333"/>
          <w:sz w:val="32"/>
          <w:szCs w:val="21"/>
        </w:rPr>
        <w:t>乐山市民族宗教事务委员会</w:t>
      </w:r>
      <w:r>
        <w:rPr>
          <w:rStyle w:val="8"/>
          <w:rFonts w:ascii="Times New Roman" w:hAnsi="Times New Roman" w:eastAsia="黑体" w:cs="宋体"/>
          <w:b w:val="0"/>
          <w:bCs/>
          <w:color w:val="333333"/>
          <w:sz w:val="32"/>
          <w:szCs w:val="21"/>
        </w:rPr>
        <w:t>概况</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一、基本职能及主要工作</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二、部门预算单位构成</w:t>
      </w:r>
    </w:p>
    <w:p>
      <w:pPr>
        <w:pStyle w:val="5"/>
        <w:widowControl/>
        <w:spacing w:before="0" w:beforeAutospacing="0" w:after="0" w:afterAutospacing="0" w:line="500" w:lineRule="exact"/>
        <w:ind w:firstLine="640" w:firstLineChars="200"/>
        <w:jc w:val="both"/>
        <w:outlineLvl w:val="0"/>
        <w:rPr>
          <w:rFonts w:ascii="Times New Roman" w:hAnsi="Times New Roman" w:cs="宋体"/>
          <w:bCs/>
          <w:color w:val="333333"/>
          <w:sz w:val="21"/>
          <w:szCs w:val="21"/>
        </w:rPr>
      </w:pPr>
      <w:r>
        <w:rPr>
          <w:rStyle w:val="8"/>
          <w:rFonts w:ascii="Times New Roman" w:hAnsi="Times New Roman" w:eastAsia="黑体" w:cs="宋体"/>
          <w:b w:val="0"/>
          <w:bCs/>
          <w:color w:val="333333"/>
          <w:sz w:val="32"/>
          <w:szCs w:val="21"/>
        </w:rPr>
        <w:t>第二部分</w:t>
      </w:r>
      <w:r>
        <w:rPr>
          <w:rStyle w:val="8"/>
          <w:rFonts w:hint="eastAsia" w:ascii="Times New Roman" w:hAnsi="Times New Roman" w:eastAsia="黑体" w:cs="宋体"/>
          <w:b w:val="0"/>
          <w:bCs/>
          <w:color w:val="333333"/>
          <w:sz w:val="32"/>
          <w:szCs w:val="21"/>
        </w:rPr>
        <w:t xml:space="preserve"> </w:t>
      </w:r>
      <w:r>
        <w:rPr>
          <w:rStyle w:val="8"/>
          <w:rFonts w:hint="eastAsia" w:ascii="Times New Roman" w:hAnsi="Times New Roman" w:eastAsia="黑体" w:cs="宋体"/>
          <w:bCs/>
          <w:color w:val="333333"/>
          <w:sz w:val="32"/>
          <w:szCs w:val="21"/>
        </w:rPr>
        <w:t>乐山市民族宗教事务委员</w:t>
      </w:r>
      <w:r>
        <w:rPr>
          <w:rStyle w:val="8"/>
          <w:rFonts w:ascii="Times New Roman" w:hAnsi="Times New Roman" w:eastAsia="黑体" w:cs="宋体"/>
          <w:b w:val="0"/>
          <w:bCs/>
          <w:color w:val="333333"/>
          <w:sz w:val="32"/>
          <w:szCs w:val="21"/>
        </w:rPr>
        <w:t>2024年部门预算表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一、部门收支总表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二、部门收入总表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三、部门支出总表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四、财政拨款收支预算总表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五、财政拨款支出预算表（部门经济分类科目）</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六、一般公共预算支出预算表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七、一般公共预算基本支出预算表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八、一般公共预算项目支出预算表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九、一般公共预算“三公”经费支出预算表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十、政府性基金预算支出表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十一、政府性基金预算“三公”经费支出预算表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十二、国有资本经营预算支出预算表</w:t>
      </w:r>
    </w:p>
    <w:p>
      <w:pPr>
        <w:pStyle w:val="5"/>
        <w:widowControl/>
        <w:spacing w:before="0" w:beforeAutospacing="0" w:after="0" w:afterAutospacing="0" w:line="500" w:lineRule="exact"/>
        <w:ind w:firstLine="640" w:firstLineChars="200"/>
        <w:jc w:val="both"/>
        <w:outlineLvl w:val="1"/>
        <w:rPr>
          <w:rFonts w:ascii="Times New Roman" w:hAnsi="Times New Roman" w:eastAsia="仿宋_GB2312" w:cs="仿宋_GB2312"/>
          <w:color w:val="333333"/>
          <w:sz w:val="32"/>
          <w:szCs w:val="32"/>
        </w:rPr>
      </w:pPr>
      <w:r>
        <w:rPr>
          <w:rFonts w:ascii="Times New Roman" w:hAnsi="Times New Roman" w:eastAsia="仿宋_GB2312" w:cs="仿宋_GB2312"/>
          <w:color w:val="333333"/>
          <w:sz w:val="32"/>
          <w:szCs w:val="32"/>
        </w:rPr>
        <w:t>十三、部门预算项目支出绩效目标表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ascii="Times New Roman" w:hAnsi="Times New Roman" w:eastAsia="仿宋_GB2312" w:cs="仿宋_GB2312"/>
          <w:color w:val="333333"/>
          <w:sz w:val="32"/>
          <w:szCs w:val="32"/>
        </w:rPr>
        <w:t>十四、部门整体支出绩效目标表</w:t>
      </w:r>
    </w:p>
    <w:p>
      <w:pPr>
        <w:pStyle w:val="5"/>
        <w:widowControl/>
        <w:spacing w:before="0" w:beforeAutospacing="0" w:after="0" w:afterAutospacing="0" w:line="5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十五、政府采购预算表</w:t>
      </w:r>
    </w:p>
    <w:p>
      <w:pPr>
        <w:pStyle w:val="5"/>
        <w:widowControl/>
        <w:spacing w:before="0" w:beforeAutospacing="0" w:after="0" w:afterAutospacing="0" w:line="500" w:lineRule="exact"/>
        <w:ind w:firstLine="640" w:firstLineChars="200"/>
        <w:jc w:val="both"/>
        <w:outlineLvl w:val="0"/>
        <w:rPr>
          <w:rStyle w:val="8"/>
          <w:rFonts w:ascii="Times New Roman" w:hAnsi="Times New Roman" w:eastAsia="黑体" w:cs="宋体"/>
          <w:b w:val="0"/>
          <w:bCs/>
          <w:color w:val="333333"/>
          <w:sz w:val="32"/>
          <w:szCs w:val="21"/>
        </w:rPr>
      </w:pPr>
      <w:r>
        <w:rPr>
          <w:rStyle w:val="8"/>
          <w:rFonts w:ascii="Times New Roman" w:hAnsi="Times New Roman" w:eastAsia="黑体" w:cs="宋体"/>
          <w:b w:val="0"/>
          <w:bCs/>
          <w:color w:val="333333"/>
          <w:sz w:val="32"/>
          <w:szCs w:val="21"/>
        </w:rPr>
        <w:t>第三部分</w:t>
      </w:r>
      <w:r>
        <w:rPr>
          <w:rStyle w:val="8"/>
          <w:rFonts w:hint="eastAsia" w:ascii="Times New Roman" w:hAnsi="Times New Roman" w:eastAsia="黑体" w:cs="宋体"/>
          <w:b w:val="0"/>
          <w:bCs/>
          <w:color w:val="333333"/>
          <w:sz w:val="32"/>
          <w:szCs w:val="21"/>
        </w:rPr>
        <w:t xml:space="preserve"> </w:t>
      </w:r>
      <w:r>
        <w:rPr>
          <w:rStyle w:val="8"/>
          <w:rFonts w:ascii="Times New Roman" w:hAnsi="Times New Roman" w:eastAsia="黑体" w:cs="宋体"/>
          <w:b w:val="0"/>
          <w:bCs/>
          <w:color w:val="333333"/>
          <w:sz w:val="32"/>
          <w:szCs w:val="21"/>
        </w:rPr>
        <w:t xml:space="preserve"> </w:t>
      </w:r>
      <w:r>
        <w:rPr>
          <w:rStyle w:val="8"/>
          <w:rFonts w:hint="eastAsia" w:ascii="Times New Roman" w:hAnsi="Times New Roman" w:eastAsia="黑体" w:cs="宋体"/>
          <w:bCs/>
          <w:color w:val="333333"/>
          <w:sz w:val="32"/>
          <w:szCs w:val="21"/>
        </w:rPr>
        <w:t>乐山市民族宗教事务委员会</w:t>
      </w:r>
      <w:r>
        <w:rPr>
          <w:rStyle w:val="8"/>
          <w:rFonts w:ascii="Times New Roman" w:hAnsi="Times New Roman" w:eastAsia="黑体" w:cs="宋体"/>
          <w:b w:val="0"/>
          <w:bCs/>
          <w:color w:val="333333"/>
          <w:sz w:val="32"/>
          <w:szCs w:val="21"/>
        </w:rPr>
        <w:t>2024年部门预算情况说明</w:t>
      </w:r>
    </w:p>
    <w:p>
      <w:pPr>
        <w:pStyle w:val="5"/>
        <w:widowControl/>
        <w:spacing w:before="0" w:beforeAutospacing="0" w:after="0" w:afterAutospacing="0" w:line="500" w:lineRule="exact"/>
        <w:ind w:firstLine="640" w:firstLineChars="200"/>
        <w:jc w:val="both"/>
        <w:outlineLvl w:val="0"/>
        <w:rPr>
          <w:rStyle w:val="8"/>
          <w:rFonts w:ascii="Times New Roman" w:hAnsi="Times New Roman" w:eastAsia="黑体" w:cs="宋体"/>
          <w:b w:val="0"/>
          <w:bCs/>
          <w:color w:val="333333"/>
          <w:sz w:val="32"/>
          <w:szCs w:val="21"/>
        </w:rPr>
      </w:pPr>
      <w:r>
        <w:rPr>
          <w:rStyle w:val="8"/>
          <w:rFonts w:ascii="Times New Roman" w:hAnsi="Times New Roman" w:eastAsia="黑体" w:cs="宋体"/>
          <w:b w:val="0"/>
          <w:bCs/>
          <w:color w:val="333333"/>
          <w:sz w:val="32"/>
          <w:szCs w:val="21"/>
        </w:rPr>
        <w:t>第四部分</w:t>
      </w:r>
      <w:r>
        <w:rPr>
          <w:rStyle w:val="8"/>
          <w:rFonts w:hint="eastAsia" w:ascii="Times New Roman" w:hAnsi="Times New Roman" w:eastAsia="黑体" w:cs="宋体"/>
          <w:b w:val="0"/>
          <w:bCs/>
          <w:color w:val="333333"/>
          <w:sz w:val="32"/>
          <w:szCs w:val="21"/>
        </w:rPr>
        <w:t xml:space="preserve">  </w:t>
      </w:r>
      <w:r>
        <w:rPr>
          <w:rStyle w:val="8"/>
          <w:rFonts w:ascii="Times New Roman" w:hAnsi="Times New Roman" w:eastAsia="黑体" w:cs="宋体"/>
          <w:b w:val="0"/>
          <w:bCs/>
          <w:color w:val="333333"/>
          <w:sz w:val="32"/>
          <w:szCs w:val="21"/>
        </w:rPr>
        <w:t>名词解释</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sectPr>
          <w:headerReference r:id="rId3" w:type="default"/>
          <w:footerReference r:id="rId4" w:type="default"/>
          <w:pgSz w:w="11906" w:h="16838"/>
          <w:pgMar w:top="1440" w:right="1800" w:bottom="1440" w:left="1800" w:header="720" w:footer="720" w:gutter="0"/>
          <w:pgNumType w:fmt="numberInDash" w:start="1"/>
          <w:cols w:space="720" w:num="1"/>
          <w:docGrid w:type="lines" w:linePitch="312" w:charSpace="0"/>
        </w:sect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outlineLvl w:val="0"/>
        <w:rPr>
          <w:rFonts w:hint="eastAsia" w:ascii="Times New Roman" w:hAnsi="Times New Roman" w:eastAsia="方正小标宋简体" w:cs="方正小标宋简体"/>
          <w:w w:val="90"/>
          <w:sz w:val="44"/>
          <w:szCs w:val="44"/>
          <w:lang w:bidi="ar"/>
        </w:rPr>
      </w:pPr>
      <w:r>
        <w:rPr>
          <w:rFonts w:hint="eastAsia" w:ascii="Times New Roman" w:hAnsi="Times New Roman" w:eastAsia="方正小标宋简体" w:cs="方正小标宋简体"/>
          <w:w w:val="90"/>
          <w:sz w:val="44"/>
          <w:szCs w:val="44"/>
          <w:lang w:bidi="ar"/>
        </w:rPr>
        <w:t>第一部分  乐山市民族宗教事务委员会概况</w:t>
      </w:r>
    </w:p>
    <w:p>
      <w:pPr>
        <w:pStyle w:val="5"/>
        <w:widowControl/>
        <w:adjustRightInd w:val="0"/>
        <w:spacing w:before="0" w:beforeAutospacing="0" w:after="0" w:afterAutospacing="0"/>
        <w:ind w:firstLine="640" w:firstLineChars="200"/>
        <w:jc w:val="both"/>
        <w:rPr>
          <w:rStyle w:val="8"/>
          <w:rFonts w:hint="eastAsia" w:ascii="Times New Roman" w:hAnsi="Times New Roman" w:eastAsia="黑体" w:cs="宋体"/>
          <w:b w:val="0"/>
          <w:bCs/>
          <w:color w:val="333333"/>
          <w:sz w:val="32"/>
          <w:szCs w:val="21"/>
        </w:rPr>
        <w:sectPr>
          <w:footerReference r:id="rId5" w:type="default"/>
          <w:pgSz w:w="11906" w:h="16838"/>
          <w:pgMar w:top="1440" w:right="1800" w:bottom="1440" w:left="1800" w:header="720" w:footer="720" w:gutter="0"/>
          <w:pgNumType w:fmt="numberInDash" w:start="1"/>
          <w:cols w:space="720" w:num="1"/>
          <w:docGrid w:type="lines" w:linePitch="312" w:charSpace="0"/>
        </w:sectPr>
      </w:pPr>
    </w:p>
    <w:p>
      <w:pPr>
        <w:pStyle w:val="5"/>
        <w:widowControl/>
        <w:adjustRightInd w:val="0"/>
        <w:spacing w:before="0" w:beforeAutospacing="0" w:after="0" w:afterAutospacing="0"/>
        <w:ind w:firstLine="640" w:firstLineChars="200"/>
        <w:jc w:val="both"/>
        <w:outlineLvl w:val="1"/>
        <w:rPr>
          <w:rStyle w:val="8"/>
          <w:rFonts w:hint="eastAsia" w:ascii="Times New Roman" w:hAnsi="Times New Roman" w:eastAsia="黑体" w:cs="宋体"/>
          <w:b w:val="0"/>
          <w:bCs/>
          <w:color w:val="333333"/>
          <w:sz w:val="32"/>
          <w:szCs w:val="21"/>
        </w:rPr>
      </w:pPr>
      <w:r>
        <w:rPr>
          <w:rStyle w:val="8"/>
          <w:rFonts w:hint="eastAsia" w:ascii="Times New Roman" w:hAnsi="Times New Roman" w:eastAsia="黑体" w:cs="宋体"/>
          <w:b w:val="0"/>
          <w:bCs/>
          <w:color w:val="333333"/>
          <w:sz w:val="32"/>
          <w:szCs w:val="21"/>
        </w:rPr>
        <w:t>一、基本职能及主要工作</w:t>
      </w:r>
    </w:p>
    <w:p>
      <w:pPr>
        <w:pStyle w:val="2"/>
        <w:adjustRightInd w:val="0"/>
        <w:spacing w:before="130" w:line="580" w:lineRule="exact"/>
        <w:ind w:firstLine="675" w:firstLineChars="210"/>
        <w:rPr>
          <w:rFonts w:hint="eastAsia" w:ascii="Times New Roman" w:hAnsi="Times New Roman" w:eastAsia="楷体_GB2312"/>
          <w:b/>
          <w:sz w:val="32"/>
          <w:szCs w:val="32"/>
        </w:rPr>
      </w:pPr>
      <w:r>
        <w:rPr>
          <w:rFonts w:hint="eastAsia" w:ascii="Times New Roman" w:hAnsi="Times New Roman" w:eastAsia="楷体_GB2312"/>
          <w:b/>
          <w:sz w:val="32"/>
          <w:szCs w:val="32"/>
        </w:rPr>
        <w:t>（一）乐山市民族宗教事务委员会职能简介。</w:t>
      </w:r>
    </w:p>
    <w:p>
      <w:pPr>
        <w:ind w:firstLine="787" w:firstLineChars="246"/>
        <w:rPr>
          <w:rFonts w:hint="eastAsia" w:ascii="仿宋_GB2312" w:hAnsi="仿宋" w:eastAsia="仿宋_GB2312"/>
          <w:sz w:val="32"/>
          <w:szCs w:val="32"/>
        </w:rPr>
      </w:pPr>
      <w:r>
        <w:rPr>
          <w:rFonts w:hint="eastAsia" w:ascii="仿宋_GB2312" w:hAnsi="仿宋" w:eastAsia="仿宋_GB2312"/>
          <w:sz w:val="32"/>
          <w:szCs w:val="32"/>
        </w:rPr>
        <w:t>1、贯彻执行党和政府关于民族宗教工作的方针政策和法律法规，依法监督各县（市、区）、市级各部门、各企事业单位贯彻执行民族宗教政策法规；保障少数民族合法权益，联系民族自治县，督促指导民族区域自治法的贯彻落实。</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2、组织开展民族宗教理论、民族宗教政策和民族宗教问题等重大课题的调查研究，提出全市民族宗教工作的政策和建议，拟订有关民族宗教事务管理的规范性文件并组织实施。</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3、负责协调推动有关部门履行民族宗教工作相关职责，推进民族宗教事务法治化、社会化管理工作，促进民族宗教政策在经济发展和社会事业等相关领域的实施、衔接。</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4、深入开展民族团结进步宣传教育活动和民族团结进步创建活动；协调推进本系统依法行政，落实行政执法责任制，依法治理宗教领域的非法、违法活动。</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5、依法保障少数民族合法权益，保护公民宗教信仰自由和正常的宗教活动；协调处理民族宗教关系中的重大事宜，抵御境外利用民族宗教进行的分裂、渗透和破坏活动，维护社会稳定和国家统一。</w:t>
      </w:r>
    </w:p>
    <w:p>
      <w:pPr>
        <w:widowControl/>
        <w:ind w:firstLine="800" w:firstLineChars="250"/>
        <w:jc w:val="left"/>
        <w:rPr>
          <w:rFonts w:hint="eastAsia" w:ascii="仿宋_GB2312" w:hAnsi="仿宋" w:eastAsia="仿宋_GB2312"/>
          <w:sz w:val="32"/>
          <w:szCs w:val="32"/>
        </w:rPr>
        <w:sectPr>
          <w:footerReference r:id="rId6" w:type="default"/>
          <w:pgSz w:w="11906" w:h="16838"/>
          <w:pgMar w:top="1440" w:right="1800" w:bottom="1440" w:left="1800" w:header="720" w:footer="720" w:gutter="0"/>
          <w:pgNumType w:fmt="numberInDash" w:start="1"/>
          <w:cols w:space="720" w:num="1"/>
          <w:docGrid w:type="lines" w:linePitch="312" w:charSpace="0"/>
        </w:sectPr>
      </w:pPr>
      <w:r>
        <w:rPr>
          <w:rFonts w:hint="eastAsia" w:ascii="仿宋_GB2312" w:hAnsi="仿宋" w:eastAsia="仿宋_GB2312"/>
          <w:sz w:val="32"/>
          <w:szCs w:val="32"/>
        </w:rPr>
        <w:t>6、分析民族地区经济运行情况，协助民族地区拟定经济发展规划，研究提出加快民族地区经济发展的特殊政策措</w:t>
      </w:r>
    </w:p>
    <w:p>
      <w:pPr>
        <w:widowControl/>
        <w:ind w:firstLine="800" w:firstLineChars="250"/>
        <w:jc w:val="left"/>
        <w:rPr>
          <w:rFonts w:hint="eastAsia" w:ascii="仿宋_GB2312" w:hAnsi="仿宋" w:eastAsia="仿宋_GB2312"/>
          <w:sz w:val="32"/>
          <w:szCs w:val="32"/>
        </w:rPr>
      </w:pPr>
      <w:r>
        <w:rPr>
          <w:rFonts w:hint="eastAsia" w:ascii="仿宋_GB2312" w:hAnsi="仿宋" w:eastAsia="仿宋_GB2312"/>
          <w:sz w:val="32"/>
          <w:szCs w:val="32"/>
        </w:rPr>
        <w:t>施;完善城市民族工作机制，健全城市民族工作功能；帮助散杂居少数民族加快经济和社会事业发展。</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7、组织协调民族地区科技发展、对口支援、经济技术协作，配合承办民族地区扶贫开发事宜，研究少数民族和民族地区教育、文化、科技、卫生、体育、新闻出版等方面的特殊问题并提出相关意见，承办相应事务，协助开展少数民族和民族地区对外宣传工作，组织协调民族宗教工作领域对外交流与合作。</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8、协助开展民族地区干部队伍建设的调查研究和少数民族干部的培养、教育和使用等工作，组织对少数民族合法权益维护、妇女儿童状况和散杂居少数民族情况的调查研究。</w:t>
      </w:r>
    </w:p>
    <w:p>
      <w:pPr>
        <w:widowControl/>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9、做好少数民族界代表人士、宗教界代表人士的联系和有关服务工作。</w:t>
      </w:r>
    </w:p>
    <w:p>
      <w:pPr>
        <w:ind w:firstLine="630"/>
        <w:rPr>
          <w:rFonts w:hint="eastAsia" w:ascii="仿宋_GB2312" w:hAnsi="仿宋" w:eastAsia="仿宋_GB2312"/>
          <w:sz w:val="32"/>
          <w:szCs w:val="32"/>
        </w:rPr>
      </w:pPr>
      <w:r>
        <w:rPr>
          <w:rFonts w:hint="eastAsia" w:ascii="仿宋_GB2312" w:hAnsi="仿宋" w:eastAsia="仿宋_GB2312"/>
          <w:sz w:val="32"/>
          <w:szCs w:val="32"/>
        </w:rPr>
        <w:t>10、依法保障少数民族语言文字的使用、推广，指导民族地区少数民族语言文字工作。</w:t>
      </w:r>
    </w:p>
    <w:p>
      <w:pPr>
        <w:ind w:firstLine="630"/>
        <w:rPr>
          <w:rFonts w:hint="eastAsia" w:ascii="Times New Roman" w:hAnsi="Times New Roman" w:eastAsia="楷体_GB2312"/>
          <w:b/>
          <w:sz w:val="32"/>
          <w:szCs w:val="32"/>
        </w:rPr>
      </w:pPr>
      <w:r>
        <w:rPr>
          <w:rFonts w:hint="eastAsia" w:ascii="仿宋_GB2312" w:hAnsi="仿宋" w:eastAsia="仿宋_GB2312"/>
          <w:sz w:val="32"/>
          <w:szCs w:val="32"/>
        </w:rPr>
        <w:t>11、承担市政府公布的有关行政审批事项。</w:t>
      </w:r>
    </w:p>
    <w:p>
      <w:pPr>
        <w:pStyle w:val="2"/>
        <w:adjustRightInd w:val="0"/>
        <w:spacing w:before="130" w:line="580" w:lineRule="exact"/>
        <w:ind w:firstLine="675" w:firstLineChars="210"/>
        <w:rPr>
          <w:rFonts w:hint="eastAsia" w:ascii="Times New Roman" w:hAnsi="Times New Roman" w:eastAsia="楷体_GB2312"/>
          <w:b/>
          <w:sz w:val="32"/>
          <w:szCs w:val="32"/>
        </w:rPr>
      </w:pPr>
      <w:r>
        <w:rPr>
          <w:rFonts w:hint="eastAsia" w:ascii="Times New Roman" w:hAnsi="Times New Roman" w:eastAsia="楷体_GB2312"/>
          <w:b/>
          <w:sz w:val="32"/>
          <w:szCs w:val="32"/>
        </w:rPr>
        <w:t>（二）乐山市民族宗教事务委员会202</w:t>
      </w:r>
      <w:r>
        <w:rPr>
          <w:rFonts w:ascii="Times New Roman" w:hAnsi="Times New Roman" w:eastAsia="楷体_GB2312"/>
          <w:b/>
          <w:sz w:val="32"/>
          <w:szCs w:val="32"/>
        </w:rPr>
        <w:t>4</w:t>
      </w:r>
      <w:r>
        <w:rPr>
          <w:rFonts w:hint="eastAsia" w:ascii="Times New Roman" w:hAnsi="Times New Roman" w:eastAsia="楷体_GB2312"/>
          <w:b/>
          <w:sz w:val="32"/>
          <w:szCs w:val="32"/>
        </w:rPr>
        <w:t>年重点工作。</w:t>
      </w:r>
    </w:p>
    <w:p>
      <w:pPr>
        <w:spacing w:line="560" w:lineRule="exact"/>
        <w:ind w:firstLine="640" w:firstLineChars="200"/>
        <w:rPr>
          <w:rFonts w:hint="eastAsia" w:ascii="仿宋_GB2312" w:hAnsi="仿宋_GB2312" w:eastAsia="仿宋_GB2312" w:cs="仿宋_GB2312"/>
          <w:sz w:val="32"/>
          <w:szCs w:val="32"/>
        </w:rPr>
        <w:sectPr>
          <w:footerReference r:id="rId7" w:type="default"/>
          <w:pgSz w:w="11906" w:h="16838"/>
          <w:pgMar w:top="1440" w:right="1800" w:bottom="1440" w:left="1800" w:header="720" w:footer="720" w:gutter="0"/>
          <w:pgNumType w:fmt="numberInDash" w:start="1"/>
          <w:cols w:space="720" w:num="1"/>
          <w:docGrid w:type="lines" w:linePitch="312" w:charSpace="0"/>
        </w:sectPr>
      </w:pPr>
      <w:r>
        <w:rPr>
          <w:rFonts w:hint="eastAsia" w:ascii="仿宋_GB2312" w:hAnsi="仿宋_GB2312" w:eastAsia="仿宋_GB2312" w:cs="仿宋_GB2312"/>
          <w:sz w:val="32"/>
          <w:szCs w:val="32"/>
        </w:rPr>
        <w:t>2024年，乐山市民族宗教工作坚持以习近平新时代中国特色社会主义思想为指导，深入贯彻中央和省、市的民族与宗教工作会议精神，着力推动民族宗教工作高质量发展。</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着力在构筑各民族共有精神家园上下功夫。配合有关部门持续实施民族地区“一村一幼”“学前学普”行动，开展铸</w:t>
      </w:r>
    </w:p>
    <w:p>
      <w:pPr>
        <w:spacing w:line="560" w:lineRule="exact"/>
        <w:ind w:firstLine="640" w:firstLineChars="200"/>
        <w:rPr>
          <w:rFonts w:hint="eastAsia" w:ascii="仿宋_GB2312" w:hAnsi="仿宋_GB2312" w:eastAsia="仿宋_GB2312" w:cs="仿宋_GB2312"/>
          <w:sz w:val="32"/>
          <w:szCs w:val="32"/>
        </w:rPr>
        <w:sectPr>
          <w:footerReference r:id="rId8" w:type="default"/>
          <w:pgSz w:w="11906" w:h="16838"/>
          <w:pgMar w:top="1440" w:right="1800" w:bottom="1440" w:left="1800" w:header="720" w:footer="720" w:gutter="0"/>
          <w:pgNumType w:fmt="numberInDash" w:start="1"/>
          <w:cols w:space="720" w:num="1"/>
          <w:docGrid w:type="lines" w:linePitch="312" w:charSpace="0"/>
        </w:sectPr>
      </w:pPr>
      <w:r>
        <w:rPr>
          <w:rFonts w:hint="eastAsia" w:ascii="仿宋_GB2312" w:hAnsi="仿宋_GB2312" w:eastAsia="仿宋_GB2312" w:cs="仿宋_GB2312"/>
          <w:sz w:val="32"/>
          <w:szCs w:val="32"/>
        </w:rPr>
        <w:t>牢中华民族共同体意识双语教育研讨、“同运动.一家亲”等活动，做好少数民族古籍普查工作，使各民族人心归聚、精神相依。</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着力在促进各民族交往交流交融上下功夫。会同有关部门持续推进“三交计划”，促进各族群众在空间、文化、经济、社会、心理等方面全方位嵌入。</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着力在深化民族团结进步示范创建工作上下功夫。指导峨边、马边彝族自治县做好40周年县庆活动，做好全国、全省民族团结进步示范区（单位）推荐申报和第三批全市民族团结示范区（单位）的命名工作，建成一批铸牢中华民族共同体意识示范学校和教育基地。</w:t>
      </w:r>
      <w:r>
        <w:rPr>
          <w:rFonts w:hint="eastAsia" w:ascii="仿宋_GB2312" w:hAnsi="仿宋_GB2312" w:eastAsia="仿宋_GB2312" w:cs="仿宋_GB2312"/>
          <w:b/>
          <w:bCs/>
          <w:sz w:val="32"/>
          <w:szCs w:val="32"/>
        </w:rPr>
        <w:t>四是</w:t>
      </w:r>
      <w:r>
        <w:rPr>
          <w:rFonts w:hint="eastAsia" w:ascii="仿宋_GB2312" w:hAnsi="仿宋_GB2312" w:eastAsia="仿宋_GB2312" w:cs="仿宋_GB2312"/>
          <w:sz w:val="32"/>
          <w:szCs w:val="32"/>
        </w:rPr>
        <w:t>着力在推动民族地区高质量发展上下功夫。用好用活民族政策和民族类项目资金，实施中国少数民族特色村寨优化升级行动，落实好国家民贸民品政策对企业在贷款贴息、增值税减免等方面扶持，为民族地区高质量发展提供支撑。</w:t>
      </w:r>
      <w:r>
        <w:rPr>
          <w:rFonts w:hint="eastAsia" w:ascii="仿宋_GB2312" w:hAnsi="仿宋_GB2312" w:eastAsia="仿宋_GB2312" w:cs="仿宋_GB2312"/>
          <w:b/>
          <w:bCs/>
          <w:sz w:val="32"/>
          <w:szCs w:val="32"/>
        </w:rPr>
        <w:t>五是</w:t>
      </w:r>
      <w:r>
        <w:rPr>
          <w:rFonts w:hint="eastAsia" w:ascii="仿宋_GB2312" w:hAnsi="仿宋_GB2312" w:eastAsia="仿宋_GB2312" w:cs="仿宋_GB2312"/>
          <w:sz w:val="32"/>
          <w:szCs w:val="32"/>
        </w:rPr>
        <w:t>在着力文化浸润促宗教中国化上下功夫。深化“爱国爱教爱家乡”主题教育和“四进”活动，打造一批“坚持宗教中国化示范场所”。积极引导宗教界人士和信教群众尊重参与我国传统节日活动并逐步融入中华优秀传统习俗，增强中华文化认同感。</w:t>
      </w:r>
      <w:r>
        <w:rPr>
          <w:rFonts w:hint="eastAsia" w:ascii="仿宋_GB2312" w:hAnsi="仿宋_GB2312" w:eastAsia="仿宋_GB2312" w:cs="仿宋_GB2312"/>
          <w:b/>
          <w:bCs/>
          <w:sz w:val="32"/>
          <w:szCs w:val="32"/>
        </w:rPr>
        <w:t>六是</w:t>
      </w:r>
      <w:r>
        <w:rPr>
          <w:rFonts w:hint="eastAsia" w:ascii="仿宋_GB2312" w:hAnsi="仿宋_GB2312" w:eastAsia="仿宋_GB2312" w:cs="仿宋_GB2312"/>
          <w:sz w:val="32"/>
          <w:szCs w:val="32"/>
        </w:rPr>
        <w:t>在着力宗教界自身建设上下功夫。深入推进5个全市性宗教团体制度建设，加强对15个县域性宗教团体、108处宗教活动场所的教务指导，引导信教群众正信正行。完善全市性宗教团体主要负责人定期述职制度。召开全市性宗教团体负责人座谈会。</w:t>
      </w:r>
      <w:r>
        <w:rPr>
          <w:rFonts w:hint="eastAsia" w:ascii="仿宋_GB2312" w:hAnsi="仿宋_GB2312" w:eastAsia="仿宋_GB2312" w:cs="仿宋_GB2312"/>
          <w:b/>
          <w:bCs/>
          <w:sz w:val="32"/>
          <w:szCs w:val="32"/>
        </w:rPr>
        <w:t>七是</w:t>
      </w:r>
      <w:r>
        <w:rPr>
          <w:rFonts w:hint="eastAsia" w:ascii="仿宋_GB2312" w:hAnsi="仿宋_GB2312" w:eastAsia="仿宋_GB2312" w:cs="仿宋_GB2312"/>
          <w:sz w:val="32"/>
          <w:szCs w:val="32"/>
        </w:rPr>
        <w:t>在着力加强宗教活动场所安全工作上下功夫。督促指导各地做好宗教活动场所消防安全、房屋建筑安全、大型宗教活动安全、</w:t>
      </w:r>
    </w:p>
    <w:p>
      <w:pPr>
        <w:spacing w:line="560" w:lineRule="exact"/>
        <w:ind w:firstLine="640" w:firstLineChars="200"/>
        <w:rPr>
          <w:rFonts w:hint="eastAsia" w:ascii="Times New Roman" w:hAnsi="Times New Roman" w:eastAsia="楷体_GB2312"/>
          <w:b/>
          <w:sz w:val="32"/>
          <w:szCs w:val="32"/>
        </w:rPr>
      </w:pPr>
      <w:r>
        <w:rPr>
          <w:rFonts w:hint="eastAsia" w:ascii="仿宋_GB2312" w:hAnsi="仿宋_GB2312" w:eastAsia="仿宋_GB2312" w:cs="仿宋_GB2312"/>
          <w:sz w:val="32"/>
          <w:szCs w:val="32"/>
        </w:rPr>
        <w:t>食品安全工作。</w:t>
      </w:r>
      <w:r>
        <w:rPr>
          <w:rFonts w:hint="eastAsia" w:ascii="仿宋_GB2312" w:hAnsi="仿宋_GB2312" w:eastAsia="仿宋_GB2312" w:cs="仿宋_GB2312"/>
          <w:b/>
          <w:bCs/>
          <w:sz w:val="32"/>
          <w:szCs w:val="32"/>
        </w:rPr>
        <w:t>八是</w:t>
      </w:r>
      <w:r>
        <w:rPr>
          <w:rFonts w:hint="eastAsia" w:ascii="仿宋_GB2312" w:hAnsi="仿宋_GB2312" w:eastAsia="仿宋_GB2312" w:cs="仿宋_GB2312"/>
          <w:sz w:val="32"/>
          <w:szCs w:val="32"/>
        </w:rPr>
        <w:t>着力在抓好中央民族工作会议精神检查暨中央宗教工作督查反馈整改上下功夫。</w:t>
      </w:r>
      <w:r>
        <w:rPr>
          <w:rFonts w:hint="eastAsia" w:ascii="仿宋_GB2312" w:hAnsi="仿宋_GB2312" w:eastAsia="仿宋_GB2312" w:cs="仿宋_GB2312"/>
          <w:b/>
          <w:bCs/>
          <w:sz w:val="32"/>
          <w:szCs w:val="32"/>
        </w:rPr>
        <w:t>九是</w:t>
      </w:r>
      <w:r>
        <w:rPr>
          <w:rFonts w:hint="eastAsia" w:ascii="仿宋_GB2312" w:hAnsi="仿宋_GB2312" w:eastAsia="仿宋_GB2312" w:cs="仿宋_GB2312"/>
          <w:sz w:val="32"/>
          <w:szCs w:val="32"/>
        </w:rPr>
        <w:t>着力在提升民族宗教事务治理能力上下功夫。扎实开展“法律七进”活动，加强宗教行政执法培训，不断提升民族宗教事务治理能力。压实意识形态工作主体责任，切实做好全市民族宗教系统意识形态工作。</w:t>
      </w:r>
    </w:p>
    <w:p>
      <w:pPr>
        <w:pStyle w:val="5"/>
        <w:widowControl/>
        <w:spacing w:before="0" w:beforeAutospacing="0" w:after="0" w:afterAutospacing="0" w:line="600" w:lineRule="exact"/>
        <w:ind w:firstLine="640" w:firstLineChars="200"/>
        <w:jc w:val="both"/>
        <w:outlineLvl w:val="1"/>
        <w:rPr>
          <w:rStyle w:val="8"/>
          <w:rFonts w:hint="eastAsia" w:ascii="Times New Roman" w:hAnsi="Times New Roman" w:eastAsia="黑体" w:cs="宋体"/>
          <w:b w:val="0"/>
          <w:bCs/>
          <w:color w:val="333333"/>
          <w:sz w:val="32"/>
          <w:szCs w:val="21"/>
        </w:rPr>
      </w:pPr>
      <w:r>
        <w:rPr>
          <w:rStyle w:val="8"/>
          <w:rFonts w:hint="eastAsia" w:ascii="Times New Roman" w:hAnsi="Times New Roman" w:eastAsia="黑体" w:cs="宋体"/>
          <w:b w:val="0"/>
          <w:bCs/>
          <w:color w:val="333333"/>
          <w:sz w:val="32"/>
          <w:szCs w:val="21"/>
        </w:rPr>
        <w:t>二、部门预算单位构成</w:t>
      </w:r>
    </w:p>
    <w:p>
      <w:pPr>
        <w:pStyle w:val="2"/>
        <w:adjustRightInd w:val="0"/>
        <w:spacing w:before="130" w:line="580" w:lineRule="exact"/>
        <w:ind w:firstLine="672" w:firstLineChars="210"/>
        <w:rPr>
          <w:rFonts w:hint="eastAsia" w:ascii="Times New Roman" w:hAnsi="Times New Roman" w:eastAsia="仿宋_GB2312" w:cs="仿宋_GB2312"/>
          <w:sz w:val="32"/>
        </w:rPr>
      </w:pPr>
      <w:r>
        <w:rPr>
          <w:rFonts w:hint="eastAsia" w:ascii="Times New Roman" w:hAnsi="Times New Roman" w:eastAsia="仿宋_GB2312" w:cs="仿宋_GB2312"/>
          <w:sz w:val="32"/>
        </w:rPr>
        <w:t>乐山市民族宗教事务委员会下属二级预算单位2个，其中行政单位1个，参照公务员法管理的事业单位0个，其他事业单位1个（未进行独立核算）。主要包括：</w:t>
      </w:r>
    </w:p>
    <w:p>
      <w:pPr>
        <w:pStyle w:val="5"/>
        <w:widowControl/>
        <w:spacing w:before="0" w:beforeAutospacing="0" w:after="0" w:afterAutospacing="0" w:line="600" w:lineRule="exact"/>
        <w:ind w:firstLine="640" w:firstLineChars="200"/>
        <w:jc w:val="both"/>
        <w:rPr>
          <w:rFonts w:hint="eastAsia" w:ascii="Times New Roman" w:hAnsi="Times New Roman" w:eastAsia="仿宋_GB2312" w:cs="仿宋_GB2312"/>
          <w:color w:val="333333"/>
          <w:sz w:val="32"/>
          <w:szCs w:val="32"/>
        </w:rPr>
      </w:pPr>
    </w:p>
    <w:tbl>
      <w:tblPr>
        <w:tblStyle w:val="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5"/>
        <w:gridCol w:w="6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2005" w:type="dxa"/>
          </w:tcPr>
          <w:p>
            <w:pPr>
              <w:pStyle w:val="5"/>
              <w:widowControl/>
              <w:spacing w:before="0" w:beforeAutospacing="0" w:after="0" w:afterAutospacing="0" w:line="600" w:lineRule="exact"/>
              <w:ind w:firstLine="640" w:firstLineChars="200"/>
              <w:jc w:val="both"/>
              <w:rPr>
                <w:rFonts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序号</w:t>
            </w:r>
          </w:p>
        </w:tc>
        <w:tc>
          <w:tcPr>
            <w:tcW w:w="6282" w:type="dxa"/>
          </w:tcPr>
          <w:p>
            <w:pPr>
              <w:pStyle w:val="5"/>
              <w:widowControl/>
              <w:spacing w:before="0" w:beforeAutospacing="0" w:after="0" w:afterAutospacing="0" w:line="600" w:lineRule="exact"/>
              <w:ind w:firstLine="640" w:firstLineChars="200"/>
              <w:jc w:val="both"/>
              <w:rPr>
                <w:rFonts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预算单位名称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005" w:type="dxa"/>
          </w:tcPr>
          <w:p>
            <w:pPr>
              <w:pStyle w:val="5"/>
              <w:widowControl/>
              <w:spacing w:before="0" w:beforeAutospacing="0" w:after="0" w:afterAutospacing="0" w:line="600" w:lineRule="exact"/>
              <w:ind w:firstLine="640" w:firstLineChars="200"/>
              <w:jc w:val="both"/>
              <w:rPr>
                <w:rFonts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1</w:t>
            </w:r>
          </w:p>
        </w:tc>
        <w:tc>
          <w:tcPr>
            <w:tcW w:w="6282" w:type="dxa"/>
          </w:tcPr>
          <w:p>
            <w:pPr>
              <w:pStyle w:val="5"/>
              <w:widowControl/>
              <w:spacing w:before="0" w:beforeAutospacing="0" w:after="0" w:afterAutospacing="0" w:line="600" w:lineRule="exact"/>
              <w:jc w:val="both"/>
              <w:rPr>
                <w:rFonts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乐山市民族宗教事务委员会机关(乐山市民族宗教研究所未进行独立核算）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005" w:type="dxa"/>
          </w:tcPr>
          <w:p>
            <w:pPr>
              <w:pStyle w:val="5"/>
              <w:widowControl/>
              <w:spacing w:before="0" w:beforeAutospacing="0" w:after="0" w:afterAutospacing="0" w:line="600" w:lineRule="exact"/>
              <w:ind w:firstLine="640" w:firstLineChars="200"/>
              <w:jc w:val="both"/>
              <w:rPr>
                <w:rFonts w:ascii="Times New Roman" w:hAnsi="Times New Roman" w:eastAsia="仿宋_GB2312" w:cs="仿宋_GB2312"/>
                <w:color w:val="333333"/>
                <w:sz w:val="32"/>
                <w:szCs w:val="32"/>
              </w:rPr>
            </w:pPr>
          </w:p>
        </w:tc>
        <w:tc>
          <w:tcPr>
            <w:tcW w:w="6282" w:type="dxa"/>
          </w:tcPr>
          <w:p>
            <w:pPr>
              <w:pStyle w:val="5"/>
              <w:widowControl/>
              <w:spacing w:before="0" w:beforeAutospacing="0" w:after="0" w:afterAutospacing="0" w:line="600" w:lineRule="exact"/>
              <w:jc w:val="both"/>
              <w:rPr>
                <w:rFonts w:hint="eastAsia" w:ascii="Times New Roman" w:hAnsi="Times New Roman" w:eastAsia="仿宋_GB2312" w:cs="仿宋_GB2312"/>
                <w:color w:val="333333"/>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2005" w:type="dxa"/>
          </w:tcPr>
          <w:p>
            <w:pPr>
              <w:pStyle w:val="5"/>
              <w:widowControl/>
              <w:spacing w:before="0" w:beforeAutospacing="0" w:after="0" w:afterAutospacing="0" w:line="600" w:lineRule="exact"/>
              <w:ind w:firstLine="640" w:firstLineChars="200"/>
              <w:jc w:val="both"/>
              <w:rPr>
                <w:rFonts w:ascii="Times New Roman" w:hAnsi="Times New Roman" w:eastAsia="仿宋_GB2312" w:cs="仿宋_GB2312"/>
                <w:color w:val="333333"/>
                <w:sz w:val="32"/>
                <w:szCs w:val="32"/>
              </w:rPr>
            </w:pPr>
          </w:p>
        </w:tc>
        <w:tc>
          <w:tcPr>
            <w:tcW w:w="6282" w:type="dxa"/>
          </w:tcPr>
          <w:p>
            <w:pPr>
              <w:pStyle w:val="5"/>
              <w:widowControl/>
              <w:spacing w:before="0" w:beforeAutospacing="0" w:after="0" w:afterAutospacing="0" w:line="600" w:lineRule="exact"/>
              <w:ind w:firstLine="640" w:firstLineChars="200"/>
              <w:jc w:val="both"/>
              <w:rPr>
                <w:rFonts w:hint="eastAsia" w:ascii="Times New Roman" w:hAnsi="Times New Roman" w:eastAsia="仿宋_GB2312" w:cs="仿宋_GB2312"/>
                <w:color w:val="333333"/>
                <w:sz w:val="32"/>
                <w:szCs w:val="32"/>
              </w:rPr>
            </w:pPr>
          </w:p>
        </w:tc>
      </w:tr>
    </w:tbl>
    <w:p>
      <w:pPr>
        <w:pStyle w:val="5"/>
        <w:widowControl/>
        <w:spacing w:before="0" w:beforeAutospacing="0" w:after="0" w:afterAutospacing="0" w:line="600" w:lineRule="exact"/>
        <w:ind w:firstLine="640" w:firstLineChars="200"/>
        <w:jc w:val="both"/>
        <w:rPr>
          <w:rFonts w:ascii="Times New Roman" w:hAnsi="Times New Roman" w:eastAsia="仿宋_GB2312" w:cs="仿宋_GB2312"/>
          <w:color w:val="333333"/>
          <w:sz w:val="32"/>
          <w:szCs w:val="32"/>
        </w:rPr>
      </w:pPr>
    </w:p>
    <w:p>
      <w:pPr>
        <w:pStyle w:val="5"/>
        <w:widowControl/>
        <w:spacing w:before="0" w:beforeAutospacing="0" w:after="150" w:afterAutospacing="0"/>
        <w:rPr>
          <w:rFonts w:hint="eastAsia" w:ascii="Times New Roman" w:hAnsi="Times New Roman" w:cs="宋体"/>
          <w:color w:val="2F2F2F"/>
          <w:sz w:val="27"/>
          <w:szCs w:val="27"/>
        </w:rPr>
      </w:pPr>
      <w:r>
        <w:rPr>
          <w:rStyle w:val="8"/>
          <w:rFonts w:hint="eastAsia" w:ascii="Times New Roman" w:hAnsi="Times New Roman" w:cs="宋体"/>
          <w:color w:val="2F2F2F"/>
          <w:sz w:val="27"/>
          <w:szCs w:val="27"/>
        </w:rPr>
        <w:t>　　</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sectPr>
          <w:footerReference r:id="rId9" w:type="default"/>
          <w:pgSz w:w="11906" w:h="16838"/>
          <w:pgMar w:top="1440" w:right="1800" w:bottom="1440" w:left="1800" w:header="720" w:footer="720" w:gutter="0"/>
          <w:pgNumType w:fmt="numberInDash" w:start="1"/>
          <w:cols w:space="720" w:num="1"/>
          <w:docGrid w:type="lines" w:linePitch="312" w:charSpace="0"/>
        </w:sect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outlineLvl w:val="1"/>
        <w:rPr>
          <w:rFonts w:hint="eastAsia" w:ascii="Times New Roman" w:hAnsi="Times New Roman" w:eastAsia="仿宋_GB2312" w:cs="仿宋_GB2312"/>
          <w:color w:val="333333"/>
          <w:sz w:val="32"/>
          <w:szCs w:val="32"/>
        </w:rPr>
        <w:sectPr>
          <w:footerReference r:id="rId10" w:type="default"/>
          <w:pgSz w:w="11906" w:h="16838"/>
          <w:pgMar w:top="1440" w:right="1800" w:bottom="1440" w:left="1800" w:header="720" w:footer="720" w:gutter="0"/>
          <w:pgNumType w:fmt="numberInDash" w:start="1"/>
          <w:cols w:space="720" w:num="1"/>
          <w:docGrid w:type="lines" w:linePitch="312" w:charSpace="0"/>
        </w:sectPr>
      </w:pPr>
      <w:r>
        <w:rPr>
          <w:rFonts w:hint="eastAsia" w:ascii="Times New Roman" w:hAnsi="Times New Roman" w:eastAsia="方正小标宋简体" w:cs="方正小标宋简体"/>
          <w:sz w:val="52"/>
          <w:szCs w:val="52"/>
          <w:lang w:bidi="ar"/>
        </w:rPr>
        <w:t xml:space="preserve">第二部分  </w:t>
      </w:r>
      <w:r>
        <w:rPr>
          <w:rFonts w:hint="eastAsia" w:ascii="Times New Roman" w:hAnsi="Times New Roman" w:eastAsia="方正小标宋简体" w:cs="方正小标宋简体"/>
          <w:w w:val="90"/>
          <w:sz w:val="52"/>
          <w:szCs w:val="52"/>
          <w:lang w:bidi="ar"/>
        </w:rPr>
        <w:t>乐山市民族宗教事务委员会</w:t>
      </w:r>
      <w:r>
        <w:rPr>
          <w:rFonts w:hint="eastAsia" w:ascii="Times New Roman" w:hAnsi="Times New Roman" w:eastAsia="方正小标宋简体" w:cs="方正小标宋简体"/>
          <w:sz w:val="52"/>
          <w:szCs w:val="52"/>
          <w:lang w:bidi="ar"/>
        </w:rPr>
        <w:t>202</w:t>
      </w:r>
      <w:r>
        <w:rPr>
          <w:rFonts w:ascii="Times New Roman" w:hAnsi="Times New Roman" w:eastAsia="方正小标宋简体" w:cs="方正小标宋简体"/>
          <w:sz w:val="52"/>
          <w:szCs w:val="52"/>
          <w:lang w:bidi="ar"/>
        </w:rPr>
        <w:t>4</w:t>
      </w:r>
      <w:r>
        <w:rPr>
          <w:rFonts w:hint="eastAsia" w:ascii="Times New Roman" w:hAnsi="Times New Roman" w:eastAsia="方正小标宋简体" w:cs="方正小标宋简体"/>
          <w:sz w:val="52"/>
          <w:szCs w:val="52"/>
          <w:lang w:bidi="ar"/>
        </w:rPr>
        <w:t>年部门预算表</w:t>
      </w:r>
    </w:p>
    <w:p>
      <w:pPr>
        <w:pStyle w:val="5"/>
        <w:widowControl/>
        <w:spacing w:before="0" w:beforeAutospacing="0" w:after="0" w:afterAutospacing="0" w:line="600" w:lineRule="exact"/>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一、部门收支总表（公开表1）</w:t>
      </w:r>
    </w:p>
    <w:p>
      <w:pPr>
        <w:pStyle w:val="5"/>
        <w:widowControl/>
        <w:spacing w:before="0" w:beforeAutospacing="0" w:after="0" w:afterAutospacing="0"/>
        <w:jc w:val="both"/>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object>
          <v:shape id="_x0000_i1025" o:spt="75" type="#_x0000_t75" style="height:366.4pt;width:590.2pt;" o:ole="t" filled="f" o:preferrelative="t" stroked="f" coordsize="21600,21600">
            <v:path/>
            <v:fill on="f" focussize="0,0"/>
            <v:stroke on="f" joinstyle="miter"/>
            <v:imagedata r:id="rId19" o:title=""/>
            <o:lock v:ext="edit" aspectratio="f"/>
            <w10:wrap type="none"/>
            <w10:anchorlock/>
          </v:shape>
          <o:OLEObject Type="Embed" ProgID="Excel.Sheet.12" ShapeID="_x0000_i1025" DrawAspect="Content" ObjectID="_1468075725" r:id="rId18">
            <o:LockedField>false</o:LockedField>
          </o:OLEObject>
        </w:object>
      </w:r>
    </w:p>
    <w:p>
      <w:pPr>
        <w:pStyle w:val="5"/>
        <w:widowControl/>
        <w:spacing w:before="0" w:beforeAutospacing="0" w:after="0" w:afterAutospacing="0"/>
        <w:jc w:val="both"/>
        <w:rPr>
          <w:rFonts w:hint="eastAsia" w:ascii="Times New Roman" w:hAnsi="Times New Roman" w:eastAsia="仿宋_GB2312" w:cs="仿宋_GB2312"/>
          <w:color w:val="333333"/>
          <w:sz w:val="32"/>
          <w:szCs w:val="32"/>
        </w:rPr>
        <w:sectPr>
          <w:footerReference r:id="rId11" w:type="default"/>
          <w:pgSz w:w="16838" w:h="11906" w:orient="landscape"/>
          <w:pgMar w:top="1800" w:right="1440" w:bottom="1800" w:left="1440" w:header="720" w:footer="720" w:gutter="0"/>
          <w:pgNumType w:fmt="numberInDash" w:start="2"/>
          <w:cols w:space="720" w:num="1"/>
          <w:docGrid w:type="lines" w:linePitch="312" w:charSpace="0"/>
        </w:sect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二、部门收入总表（公开表1-1）</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26" o:spt="75" type="#_x0000_t75" style="height:179.9pt;width:696.95pt;" o:ole="t" filled="f" o:preferrelative="t" stroked="f" coordsize="21600,21600">
            <v:path/>
            <v:fill on="f" focussize="0,0"/>
            <v:stroke on="f" joinstyle="miter"/>
            <v:imagedata r:id="rId21" o:title=""/>
            <o:lock v:ext="edit" aspectratio="f"/>
            <w10:wrap type="none"/>
            <w10:anchorlock/>
          </v:shape>
          <o:OLEObject Type="Embed" ProgID="Excel.Sheet.12" ShapeID="_x0000_i1026" DrawAspect="Content" ObjectID="_1468075726" r:id="rId20">
            <o:LockedField>false</o:LockedField>
          </o:OLEObject>
        </w:objec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三、部门支出总表（公开表1-2）</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27" o:spt="75" type="#_x0000_t75" style="height:260pt;width:697.55pt;" o:ole="t" filled="f" o:preferrelative="t" stroked="f" coordsize="21600,21600">
            <v:path/>
            <v:fill on="f" focussize="0,0"/>
            <v:stroke on="f" joinstyle="miter"/>
            <v:imagedata r:id="rId23" o:title=""/>
            <o:lock v:ext="edit" aspectratio="f"/>
            <w10:wrap type="none"/>
            <w10:anchorlock/>
          </v:shape>
          <o:OLEObject Type="Embed" ProgID="Excel.Sheet.12" ShapeID="_x0000_i1027" DrawAspect="Content" ObjectID="_1468075727" r:id="rId22">
            <o:LockedField>false</o:LockedField>
          </o:OLEObject>
        </w:objec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四、财政拨款收支预算总表（公开表2）</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28" o:spt="75" type="#_x0000_t75" style="height:347.5pt;width:548.65pt;" o:ole="t" filled="f" o:preferrelative="t" stroked="f" coordsize="21600,21600">
            <v:path/>
            <v:fill on="f" focussize="0,0"/>
            <v:stroke on="f" joinstyle="miter"/>
            <v:imagedata r:id="rId25" o:title=""/>
            <o:lock v:ext="edit" aspectratio="f"/>
            <w10:wrap type="none"/>
            <w10:anchorlock/>
          </v:shape>
          <o:OLEObject Type="Embed" ProgID="Excel.Sheet.12" ShapeID="_x0000_i1028" DrawAspect="Content" ObjectID="_1468075728" r:id="rId24">
            <o:LockedField>false</o:LockedField>
          </o:OLEObject>
        </w:object>
      </w: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五、财政拨款支出预算表（部门经济分类科目）（公开表2-1）</w:t>
      </w:r>
    </w:p>
    <w:tbl>
      <w:tblPr>
        <w:tblStyle w:val="6"/>
        <w:tblW w:w="16622" w:type="dxa"/>
        <w:jc w:val="center"/>
        <w:tblLayout w:type="autofit"/>
        <w:tblCellMar>
          <w:top w:w="0" w:type="dxa"/>
          <w:left w:w="108" w:type="dxa"/>
          <w:bottom w:w="0" w:type="dxa"/>
          <w:right w:w="108" w:type="dxa"/>
        </w:tblCellMar>
      </w:tblPr>
      <w:tblGrid>
        <w:gridCol w:w="483"/>
        <w:gridCol w:w="394"/>
        <w:gridCol w:w="696"/>
        <w:gridCol w:w="696"/>
        <w:gridCol w:w="700"/>
        <w:gridCol w:w="700"/>
        <w:gridCol w:w="700"/>
        <w:gridCol w:w="700"/>
        <w:gridCol w:w="620"/>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tblGrid>
      <w:tr>
        <w:tblPrEx>
          <w:tblCellMar>
            <w:top w:w="0" w:type="dxa"/>
            <w:left w:w="108" w:type="dxa"/>
            <w:bottom w:w="0" w:type="dxa"/>
            <w:right w:w="108" w:type="dxa"/>
          </w:tblCellMar>
        </w:tblPrEx>
        <w:trPr>
          <w:trHeight w:val="285" w:hRule="atLeast"/>
          <w:jc w:val="center"/>
        </w:trPr>
        <w:tc>
          <w:tcPr>
            <w:tcW w:w="877" w:type="dxa"/>
            <w:gridSpan w:val="2"/>
            <w:tcBorders>
              <w:top w:val="single" w:color="FFFFFF" w:sz="4" w:space="0"/>
              <w:left w:val="single" w:color="FFFFFF" w:sz="4" w:space="0"/>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696"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96"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00"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00"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00"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00"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20"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54" w:type="dxa"/>
            <w:gridSpan w:val="2"/>
            <w:tcBorders>
              <w:top w:val="single" w:color="FFFFFF" w:sz="4" w:space="0"/>
              <w:left w:val="nil"/>
              <w:bottom w:val="single" w:color="FFFFFF" w:sz="4" w:space="0"/>
              <w:right w:val="single" w:color="FFFFFF"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表2-1</w:t>
            </w:r>
          </w:p>
        </w:tc>
      </w:tr>
      <w:tr>
        <w:tblPrEx>
          <w:tblCellMar>
            <w:top w:w="0" w:type="dxa"/>
            <w:left w:w="108" w:type="dxa"/>
            <w:bottom w:w="0" w:type="dxa"/>
            <w:right w:w="108" w:type="dxa"/>
          </w:tblCellMar>
        </w:tblPrEx>
        <w:trPr>
          <w:trHeight w:val="398" w:hRule="atLeast"/>
          <w:jc w:val="center"/>
        </w:trPr>
        <w:tc>
          <w:tcPr>
            <w:tcW w:w="16622" w:type="dxa"/>
            <w:gridSpan w:val="38"/>
            <w:tcBorders>
              <w:top w:val="single" w:color="FFFFFF" w:sz="4" w:space="0"/>
              <w:left w:val="single" w:color="FFFFFF" w:sz="4" w:space="0"/>
              <w:bottom w:val="single" w:color="FFFFFF" w:sz="4" w:space="0"/>
              <w:right w:val="single" w:color="FFFFFF" w:sz="4" w:space="0"/>
            </w:tcBorders>
            <w:shd w:val="clear" w:color="auto" w:fill="auto"/>
            <w:vAlign w:val="center"/>
          </w:tcPr>
          <w:p>
            <w:pPr>
              <w:widowControl/>
              <w:suppressAutoHyphens w:val="0"/>
              <w:jc w:val="center"/>
              <w:rPr>
                <w:rFonts w:ascii="宋体" w:hAnsi="宋体" w:cs="宋体"/>
                <w:b/>
                <w:bCs/>
                <w:color w:val="000000"/>
                <w:kern w:val="0"/>
                <w:sz w:val="32"/>
                <w:szCs w:val="32"/>
              </w:rPr>
            </w:pPr>
            <w:r>
              <w:rPr>
                <w:rFonts w:hint="eastAsia" w:ascii="宋体" w:hAnsi="宋体" w:cs="宋体"/>
                <w:b/>
                <w:bCs/>
                <w:color w:val="000000"/>
                <w:kern w:val="0"/>
                <w:sz w:val="32"/>
                <w:szCs w:val="32"/>
              </w:rPr>
              <w:t>财政拨款支出预算表（部门经济分类科目）</w:t>
            </w:r>
          </w:p>
        </w:tc>
      </w:tr>
      <w:tr>
        <w:tblPrEx>
          <w:tblCellMar>
            <w:top w:w="0" w:type="dxa"/>
            <w:left w:w="108" w:type="dxa"/>
            <w:bottom w:w="0" w:type="dxa"/>
            <w:right w:w="108" w:type="dxa"/>
          </w:tblCellMar>
        </w:tblPrEx>
        <w:trPr>
          <w:trHeight w:val="342" w:hRule="atLeast"/>
          <w:jc w:val="center"/>
        </w:trPr>
        <w:tc>
          <w:tcPr>
            <w:tcW w:w="3669" w:type="dxa"/>
            <w:gridSpan w:val="6"/>
            <w:tcBorders>
              <w:top w:val="single" w:color="FFFFFF" w:sz="4" w:space="0"/>
              <w:left w:val="single" w:color="FFFFFF" w:sz="4" w:space="0"/>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部门：307-乐山市民族宗教事务委员会</w:t>
            </w:r>
          </w:p>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700" w:type="dxa"/>
            <w:tcBorders>
              <w:top w:val="nil"/>
              <w:left w:val="nil"/>
              <w:bottom w:val="nil"/>
              <w:right w:val="single" w:color="FFFFFF" w:sz="4" w:space="0"/>
            </w:tcBorders>
            <w:shd w:val="clear" w:color="auto" w:fill="auto"/>
            <w:vAlign w:val="center"/>
          </w:tcPr>
          <w:p>
            <w:pPr>
              <w:widowControl/>
              <w:suppressAutoHyphens w:val="0"/>
              <w:jc w:val="right"/>
              <w:rPr>
                <w:rFonts w:ascii="宋体" w:hAnsi="宋体" w:cs="宋体"/>
                <w:color w:val="000000"/>
                <w:kern w:val="0"/>
                <w:sz w:val="22"/>
                <w:szCs w:val="22"/>
              </w:rPr>
            </w:pPr>
            <w:r>
              <w:rPr>
                <w:rFonts w:hint="eastAsia" w:ascii="宋体" w:hAnsi="宋体" w:cs="宋体"/>
                <w:color w:val="000000"/>
                <w:kern w:val="0"/>
                <w:sz w:val="22"/>
                <w:szCs w:val="22"/>
              </w:rPr>
              <w:t>　</w:t>
            </w:r>
          </w:p>
        </w:tc>
        <w:tc>
          <w:tcPr>
            <w:tcW w:w="700"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620"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77" w:type="dxa"/>
            <w:tcBorders>
              <w:top w:val="nil"/>
              <w:left w:val="nil"/>
              <w:bottom w:val="nil"/>
              <w:right w:val="single" w:color="FFFFFF"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3016" w:type="dxa"/>
            <w:gridSpan w:val="8"/>
            <w:tcBorders>
              <w:top w:val="single" w:color="FFFFFF" w:sz="4" w:space="0"/>
              <w:left w:val="nil"/>
              <w:bottom w:val="single" w:color="C0C0C0" w:sz="4" w:space="0"/>
              <w:right w:val="single" w:color="FFFFFF"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金额单位：万元</w:t>
            </w:r>
          </w:p>
        </w:tc>
      </w:tr>
      <w:tr>
        <w:tblPrEx>
          <w:tblCellMar>
            <w:top w:w="0" w:type="dxa"/>
            <w:left w:w="108" w:type="dxa"/>
            <w:bottom w:w="0" w:type="dxa"/>
            <w:right w:w="108" w:type="dxa"/>
          </w:tblCellMar>
        </w:tblPrEx>
        <w:trPr>
          <w:trHeight w:val="428" w:hRule="atLeast"/>
          <w:jc w:val="center"/>
        </w:trPr>
        <w:tc>
          <w:tcPr>
            <w:tcW w:w="2269" w:type="dxa"/>
            <w:gridSpan w:val="4"/>
            <w:tcBorders>
              <w:top w:val="single" w:color="C0C0C0" w:sz="4" w:space="0"/>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    目</w:t>
            </w:r>
          </w:p>
        </w:tc>
        <w:tc>
          <w:tcPr>
            <w:tcW w:w="700" w:type="dxa"/>
            <w:vMerge w:val="restart"/>
            <w:tcBorders>
              <w:top w:val="single" w:color="C0C0C0" w:sz="4" w:space="0"/>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总计</w:t>
            </w:r>
          </w:p>
        </w:tc>
        <w:tc>
          <w:tcPr>
            <w:tcW w:w="4982" w:type="dxa"/>
            <w:gridSpan w:val="10"/>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市级当年财政拨款安排</w:t>
            </w:r>
          </w:p>
        </w:tc>
        <w:tc>
          <w:tcPr>
            <w:tcW w:w="3770" w:type="dxa"/>
            <w:gridSpan w:val="10"/>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中央、省提前通知专项转移支付等</w:t>
            </w:r>
          </w:p>
        </w:tc>
        <w:tc>
          <w:tcPr>
            <w:tcW w:w="4901" w:type="dxa"/>
            <w:gridSpan w:val="1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上年结转安排</w:t>
            </w:r>
          </w:p>
        </w:tc>
      </w:tr>
      <w:tr>
        <w:tblPrEx>
          <w:tblCellMar>
            <w:top w:w="0" w:type="dxa"/>
            <w:left w:w="108" w:type="dxa"/>
            <w:bottom w:w="0" w:type="dxa"/>
            <w:right w:w="108" w:type="dxa"/>
          </w:tblCellMar>
        </w:tblPrEx>
        <w:trPr>
          <w:trHeight w:val="690" w:hRule="atLeast"/>
          <w:jc w:val="center"/>
        </w:trPr>
        <w:tc>
          <w:tcPr>
            <w:tcW w:w="877" w:type="dxa"/>
            <w:gridSpan w:val="2"/>
            <w:tcBorders>
              <w:top w:val="single" w:color="C0C0C0" w:sz="4" w:space="0"/>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科目编码</w:t>
            </w:r>
          </w:p>
        </w:tc>
        <w:tc>
          <w:tcPr>
            <w:tcW w:w="696" w:type="dxa"/>
            <w:vMerge w:val="restart"/>
            <w:tcBorders>
              <w:top w:val="nil"/>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单位代码</w:t>
            </w:r>
          </w:p>
        </w:tc>
        <w:tc>
          <w:tcPr>
            <w:tcW w:w="696" w:type="dxa"/>
            <w:vMerge w:val="restart"/>
            <w:tcBorders>
              <w:top w:val="nil"/>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单位名称（科目）</w:t>
            </w:r>
          </w:p>
        </w:tc>
        <w:tc>
          <w:tcPr>
            <w:tcW w:w="700" w:type="dxa"/>
            <w:vMerge w:val="continue"/>
            <w:tcBorders>
              <w:top w:val="single" w:color="C0C0C0" w:sz="4" w:space="0"/>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700" w:type="dxa"/>
            <w:vMerge w:val="restart"/>
            <w:tcBorders>
              <w:top w:val="nil"/>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合计</w:t>
            </w:r>
          </w:p>
        </w:tc>
        <w:tc>
          <w:tcPr>
            <w:tcW w:w="2020"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一般公共预算拨款</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政府性基金安排</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国有资本经营预算安排</w:t>
            </w:r>
          </w:p>
        </w:tc>
        <w:tc>
          <w:tcPr>
            <w:tcW w:w="377" w:type="dxa"/>
            <w:vMerge w:val="restart"/>
            <w:tcBorders>
              <w:top w:val="nil"/>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合计</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一般公共预算拨款</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政府性基金安排</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国有资本经营预算安排</w:t>
            </w:r>
          </w:p>
        </w:tc>
        <w:tc>
          <w:tcPr>
            <w:tcW w:w="377" w:type="dxa"/>
            <w:vMerge w:val="restart"/>
            <w:tcBorders>
              <w:top w:val="nil"/>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合计</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一般公共预算拨款</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政府性基金安排</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国有资本经营预算安排</w:t>
            </w:r>
          </w:p>
        </w:tc>
        <w:tc>
          <w:tcPr>
            <w:tcW w:w="1131" w:type="dxa"/>
            <w:gridSpan w:val="3"/>
            <w:tcBorders>
              <w:top w:val="single" w:color="C0C0C0" w:sz="4" w:space="0"/>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上年应返还额度结转</w:t>
            </w:r>
          </w:p>
        </w:tc>
      </w:tr>
      <w:tr>
        <w:tblPrEx>
          <w:tblCellMar>
            <w:top w:w="0" w:type="dxa"/>
            <w:left w:w="108" w:type="dxa"/>
            <w:bottom w:w="0" w:type="dxa"/>
            <w:right w:w="108" w:type="dxa"/>
          </w:tblCellMar>
        </w:tblPrEx>
        <w:trPr>
          <w:trHeight w:val="1020" w:hRule="atLeast"/>
          <w:jc w:val="center"/>
        </w:trPr>
        <w:tc>
          <w:tcPr>
            <w:tcW w:w="483" w:type="dxa"/>
            <w:tcBorders>
              <w:top w:val="nil"/>
              <w:left w:val="single" w:color="C0C0C0" w:sz="4" w:space="0"/>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类</w:t>
            </w:r>
          </w:p>
        </w:tc>
        <w:tc>
          <w:tcPr>
            <w:tcW w:w="394"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款</w:t>
            </w:r>
          </w:p>
        </w:tc>
        <w:tc>
          <w:tcPr>
            <w:tcW w:w="696" w:type="dxa"/>
            <w:vMerge w:val="continue"/>
            <w:tcBorders>
              <w:top w:val="nil"/>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696" w:type="dxa"/>
            <w:vMerge w:val="continue"/>
            <w:tcBorders>
              <w:top w:val="nil"/>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700" w:type="dxa"/>
            <w:vMerge w:val="continue"/>
            <w:tcBorders>
              <w:top w:val="single" w:color="C0C0C0" w:sz="4" w:space="0"/>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700" w:type="dxa"/>
            <w:vMerge w:val="continue"/>
            <w:tcBorders>
              <w:top w:val="nil"/>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700"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700"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620"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vMerge w:val="continue"/>
            <w:tcBorders>
              <w:top w:val="nil"/>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vMerge w:val="continue"/>
            <w:tcBorders>
              <w:top w:val="nil"/>
              <w:left w:val="single" w:color="C0C0C0" w:sz="4" w:space="0"/>
              <w:bottom w:val="single" w:color="C0C0C0" w:sz="4" w:space="0"/>
              <w:right w:val="single" w:color="C0C0C0" w:sz="4" w:space="0"/>
            </w:tcBorders>
            <w:vAlign w:val="center"/>
          </w:tcPr>
          <w:p>
            <w:pPr>
              <w:widowControl/>
              <w:suppressAutoHyphens w:val="0"/>
              <w:jc w:val="left"/>
              <w:rPr>
                <w:rFonts w:ascii="宋体" w:hAnsi="宋体" w:cs="宋体"/>
                <w:b/>
                <w:bCs/>
                <w:color w:val="000000"/>
                <w:kern w:val="0"/>
                <w:sz w:val="16"/>
                <w:szCs w:val="16"/>
              </w:rPr>
            </w:pP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小计</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基本支出</w:t>
            </w:r>
          </w:p>
        </w:tc>
        <w:tc>
          <w:tcPr>
            <w:tcW w:w="377" w:type="dxa"/>
            <w:tcBorders>
              <w:top w:val="nil"/>
              <w:left w:val="nil"/>
              <w:bottom w:val="single" w:color="C0C0C0" w:sz="4" w:space="0"/>
              <w:right w:val="single" w:color="C0C0C0" w:sz="4" w:space="0"/>
            </w:tcBorders>
            <w:shd w:val="clear" w:color="EFF2F7" w:fill="EFF2F7"/>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项目支出</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696" w:type="dxa"/>
            <w:tcBorders>
              <w:top w:val="single" w:color="C2C3C4" w:sz="4" w:space="0"/>
              <w:left w:val="single" w:color="C2C3C4" w:sz="4" w:space="0"/>
              <w:bottom w:val="single" w:color="C2C3C4" w:sz="4" w:space="0"/>
              <w:right w:val="single" w:color="C2C3C4" w:sz="4" w:space="0"/>
            </w:tcBorders>
            <w:shd w:val="clear" w:color="auto" w:fill="auto"/>
            <w:vAlign w:val="center"/>
          </w:tcPr>
          <w:p>
            <w:pPr>
              <w:widowControl/>
              <w:suppressAutoHyphens w:val="0"/>
              <w:jc w:val="center"/>
              <w:rPr>
                <w:rFonts w:ascii="宋体" w:hAnsi="宋体" w:cs="宋体"/>
                <w:b/>
                <w:bCs/>
                <w:color w:val="000000"/>
                <w:kern w:val="0"/>
                <w:sz w:val="16"/>
                <w:szCs w:val="16"/>
              </w:rPr>
            </w:pPr>
            <w:r>
              <w:rPr>
                <w:rFonts w:hint="eastAsia" w:ascii="宋体" w:hAnsi="宋体" w:cs="宋体"/>
                <w:b/>
                <w:bCs/>
                <w:color w:val="000000"/>
                <w:kern w:val="0"/>
                <w:sz w:val="16"/>
                <w:szCs w:val="16"/>
              </w:rPr>
              <w:t>合    计</w:t>
            </w:r>
          </w:p>
        </w:tc>
        <w:tc>
          <w:tcPr>
            <w:tcW w:w="700"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604.62</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86.14</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b/>
                <w:bCs/>
                <w:color w:val="000000"/>
                <w:kern w:val="0"/>
                <w:sz w:val="16"/>
                <w:szCs w:val="16"/>
              </w:rPr>
            </w:pPr>
            <w:r>
              <w:rPr>
                <w:rFonts w:hint="eastAsia" w:ascii="宋体" w:hAnsi="宋体" w:cs="宋体"/>
                <w:b/>
                <w:bCs/>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single" w:color="C0C0C0" w:sz="4" w:space="0"/>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604.62</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乐山市民族宗教事务委员会</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690.76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604.62</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工资福利支出</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463.16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463.16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463.16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463.16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基本工资</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134.05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134.05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134.05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134.05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津贴补贴</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02</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地方津贴补贴</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71.61</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奖金</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103.24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103.24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103.24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103.24</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03</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年终一次性奖金</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10.90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10.90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10.90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10.90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03</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行政基础绩效奖</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92.34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92.34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92.34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92.34</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绩效工资</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2.53</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基础性绩效工资</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1.67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1.67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1.67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1.67</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奖励性绩效工资</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0.86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0.86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0.86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0.86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540"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机关事业单位基本养老保险缴费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50.27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50.27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50.27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50.27</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职业年金缴费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25.13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25.13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25.13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25.13</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职工基本医疗保险缴费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12.92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12.92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12.92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12.92</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公务员医疗补助缴费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其他社会保障缴费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3.71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3.71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3.71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3.71</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12</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工伤保险</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0.63</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12</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失业保险</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12</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残疾人就业保障金</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3.03</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住房公积金</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42.24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42.24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42.24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42.24</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其他工资福利支出</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14.76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直接聘用人员经费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301</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事业平时绩效工资</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2.76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商品和服务支出</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141.02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141.02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141.02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141.02</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办公费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日常办公用品</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书报杂志</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印刷费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02</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办公印刷费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水费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1.90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1.90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1.90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1.90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05</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办公卫生用水</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05</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饮用水</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电费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06</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办公用电费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邮电费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11.05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11.05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11.05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11.05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邮寄费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0.05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电话费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07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网络通讯费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差旅费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差旅城市间交通费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差旅住宿费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差旅伙食补助费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12.00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差旅公杂费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维修（护）费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13</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零星维修（护）费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会议费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15</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三类、四类会议费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培训费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16</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其他培训费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公务接待费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17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公务接待费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劳务费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26</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食堂服务经费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26</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其他劳务费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3.50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委托业务费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27</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零星委托业务费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工会经费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9.91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9.91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9.91</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9.91</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28</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工会经费（比例）</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4.15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4.15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4.15</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4.15</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28</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工会经费（补充）</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5.76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5.76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福利费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6.22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6.22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6.22</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6.22</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公务用车运行维护费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燃料费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1.70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1.70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1.70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1.70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维修费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过路过桥费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0.60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保险费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0.30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0.30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0.30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0.30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其他公务用车运行维护费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0.20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其他交通费用</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28.23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28.23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28.23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28.23</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公务交通补贴</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24.13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24.13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24.13</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24.13</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事业单位出租车费用</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0.10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租车费用</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4.00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其他商品和服务支出</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21.96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21.96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21.96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21.96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离退休人员活动费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1.80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午餐补助费</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13.20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13.20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13.20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13.20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公用经费预留</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3.96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3.96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3.96</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3.96</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302</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其他商品和服务支出</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3.00</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对个人和家庭的补助</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86.57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86.57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86.57</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0.44</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生活补助</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0.44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0.44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0.44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0.44</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hint="eastAsia" w:ascii="宋体" w:hAnsi="宋体" w:cs="宋体"/>
                <w:color w:val="000000"/>
                <w:kern w:val="0"/>
                <w:sz w:val="16"/>
                <w:szCs w:val="16"/>
              </w:rPr>
              <w:t>　</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其他对个人和家庭的补助</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r>
        <w:tblPrEx>
          <w:tblCellMar>
            <w:top w:w="0" w:type="dxa"/>
            <w:left w:w="108" w:type="dxa"/>
            <w:bottom w:w="0" w:type="dxa"/>
            <w:right w:w="108" w:type="dxa"/>
          </w:tblCellMar>
        </w:tblPrEx>
        <w:trPr>
          <w:trHeight w:val="398" w:hRule="atLeast"/>
          <w:jc w:val="center"/>
        </w:trPr>
        <w:tc>
          <w:tcPr>
            <w:tcW w:w="483" w:type="dxa"/>
            <w:tcBorders>
              <w:top w:val="nil"/>
              <w:left w:val="single" w:color="C0C0C0" w:sz="4" w:space="0"/>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303</w:t>
            </w:r>
          </w:p>
        </w:tc>
        <w:tc>
          <w:tcPr>
            <w:tcW w:w="394" w:type="dxa"/>
            <w:tcBorders>
              <w:top w:val="nil"/>
              <w:left w:val="nil"/>
              <w:bottom w:val="single" w:color="C0C0C0" w:sz="4" w:space="0"/>
              <w:right w:val="single" w:color="C0C0C0" w:sz="4" w:space="0"/>
            </w:tcBorders>
            <w:shd w:val="clear" w:color="auto" w:fill="auto"/>
            <w:vAlign w:val="center"/>
          </w:tcPr>
          <w:p>
            <w:pPr>
              <w:widowControl/>
              <w:suppressAutoHyphens w:val="0"/>
              <w:jc w:val="center"/>
              <w:rPr>
                <w:rFonts w:ascii="宋体" w:hAnsi="宋体" w:cs="宋体"/>
                <w:color w:val="000000"/>
                <w:kern w:val="0"/>
                <w:sz w:val="16"/>
                <w:szCs w:val="16"/>
              </w:rPr>
            </w:pPr>
            <w:r>
              <w:rPr>
                <w:rFonts w:ascii="Arial" w:hAnsi="Arial" w:cs="Arial"/>
                <w:color w:val="000000"/>
                <w:kern w:val="0"/>
                <w:sz w:val="16"/>
                <w:szCs w:val="16"/>
              </w:rPr>
              <w:t>99</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hint="eastAsia" w:ascii="宋体" w:hAnsi="宋体" w:cs="宋体"/>
                <w:color w:val="000000"/>
                <w:kern w:val="0"/>
                <w:sz w:val="16"/>
                <w:szCs w:val="16"/>
              </w:rPr>
              <w:t>307001</w:t>
            </w:r>
          </w:p>
        </w:tc>
        <w:tc>
          <w:tcPr>
            <w:tcW w:w="696" w:type="dxa"/>
            <w:tcBorders>
              <w:top w:val="nil"/>
              <w:left w:val="nil"/>
              <w:bottom w:val="single" w:color="C0C0C0" w:sz="4" w:space="0"/>
              <w:right w:val="single" w:color="C0C0C0" w:sz="4" w:space="0"/>
            </w:tcBorders>
            <w:shd w:val="clear" w:color="auto" w:fill="auto"/>
            <w:vAlign w:val="center"/>
          </w:tcPr>
          <w:p>
            <w:pPr>
              <w:widowControl/>
              <w:suppressAutoHyphens w:val="0"/>
              <w:jc w:val="left"/>
              <w:rPr>
                <w:rFonts w:ascii="宋体" w:hAnsi="宋体" w:cs="宋体"/>
                <w:color w:val="000000"/>
                <w:kern w:val="0"/>
                <w:sz w:val="16"/>
                <w:szCs w:val="16"/>
              </w:rPr>
            </w:pPr>
            <w:r>
              <w:rPr>
                <w:rFonts w:ascii="Arial" w:hAnsi="Arial" w:cs="Arial"/>
                <w:color w:val="000000"/>
                <w:kern w:val="0"/>
                <w:sz w:val="16"/>
                <w:szCs w:val="16"/>
              </w:rPr>
              <w:t>    其他对个人和家庭的补助</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70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620"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86.14</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c>
          <w:tcPr>
            <w:tcW w:w="377" w:type="dxa"/>
            <w:tcBorders>
              <w:top w:val="nil"/>
              <w:left w:val="nil"/>
              <w:bottom w:val="single" w:color="C0C0C0" w:sz="4" w:space="0"/>
              <w:right w:val="single" w:color="C0C0C0" w:sz="4" w:space="0"/>
            </w:tcBorders>
            <w:shd w:val="clear" w:color="auto" w:fill="auto"/>
            <w:vAlign w:val="center"/>
          </w:tcPr>
          <w:p>
            <w:pPr>
              <w:widowControl/>
              <w:suppressAutoHyphens w:val="0"/>
              <w:jc w:val="right"/>
              <w:rPr>
                <w:rFonts w:ascii="宋体" w:hAnsi="宋体" w:cs="宋体"/>
                <w:color w:val="000000"/>
                <w:kern w:val="0"/>
                <w:sz w:val="16"/>
                <w:szCs w:val="16"/>
              </w:rPr>
            </w:pPr>
            <w:r>
              <w:rPr>
                <w:rFonts w:hint="eastAsia" w:ascii="宋体" w:hAnsi="宋体" w:cs="宋体"/>
                <w:color w:val="000000"/>
                <w:kern w:val="0"/>
                <w:sz w:val="16"/>
                <w:szCs w:val="16"/>
              </w:rPr>
              <w:t>　</w:t>
            </w:r>
          </w:p>
        </w:tc>
      </w:tr>
    </w:tbl>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六、一般公共预算支出预算表（公开表3）</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29" o:spt="75" type="#_x0000_t75" style="height:339pt;width:697.5pt;" o:ole="t" filled="f" o:preferrelative="t" stroked="f" coordsize="21600,21600">
            <v:path/>
            <v:fill on="f" focussize="0,0"/>
            <v:stroke on="f" joinstyle="miter"/>
            <v:imagedata r:id="rId27" o:title=""/>
            <o:lock v:ext="edit" aspectratio="f"/>
            <w10:wrap type="none"/>
            <w10:anchorlock/>
          </v:shape>
          <o:OLEObject Type="Embed" ProgID="Excel.Sheet.12" ShapeID="_x0000_i1029" DrawAspect="Content" ObjectID="_1468075729" r:id="rId26">
            <o:LockedField>false</o:LockedField>
          </o:OLEObject>
        </w:objec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sectPr>
          <w:footerReference r:id="rId12" w:type="default"/>
          <w:pgSz w:w="16838" w:h="11906" w:orient="landscape"/>
          <w:pgMar w:top="1800" w:right="1440" w:bottom="1800" w:left="1440" w:header="720" w:footer="720" w:gutter="0"/>
          <w:pgNumType w:fmt="numberInDash"/>
          <w:cols w:space="720" w:num="1"/>
          <w:docGrid w:type="lines" w:linePitch="312" w:charSpace="0"/>
        </w:sect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七、一般公共预算基本支出预算表（公开表3-1）</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sectPr>
          <w:pgSz w:w="11906" w:h="16838"/>
          <w:pgMar w:top="1440" w:right="1800" w:bottom="1440" w:left="1800" w:header="720" w:footer="720" w:gutter="0"/>
          <w:pgNumType w:fmt="numberInDash"/>
          <w:cols w:space="720" w:num="1"/>
          <w:docGrid w:type="lines" w:linePitch="312" w:charSpace="0"/>
        </w:sectPr>
      </w:pPr>
      <w:r>
        <w:rPr>
          <w:rFonts w:hint="eastAsia" w:ascii="Times New Roman" w:hAnsi="Times New Roman" w:eastAsia="方正小标宋简体" w:cs="方正小标宋简体"/>
          <w:sz w:val="52"/>
          <w:szCs w:val="52"/>
          <w:lang w:bidi="ar"/>
        </w:rPr>
        <w:object>
          <v:shape id="_x0000_i1030" o:spt="75" type="#_x0000_t75" style="height:612pt;width:454.5pt;" o:ole="t" filled="f" o:preferrelative="t" stroked="f" coordsize="21600,21600">
            <v:path/>
            <v:fill on="f" focussize="0,0"/>
            <v:stroke on="f" joinstyle="miter"/>
            <v:imagedata r:id="rId29" o:title=""/>
            <o:lock v:ext="edit" aspectratio="f"/>
            <w10:wrap type="none"/>
            <w10:anchorlock/>
          </v:shape>
          <o:OLEObject Type="Embed" ProgID="Excel.Sheet.12" ShapeID="_x0000_i1030" DrawAspect="Content" ObjectID="_1468075730" r:id="rId28">
            <o:LockedField>false</o:LockedField>
          </o:OLEObject>
        </w:object>
      </w:r>
    </w:p>
    <w:p>
      <w:pPr>
        <w:pStyle w:val="5"/>
        <w:widowControl/>
        <w:spacing w:before="0" w:beforeAutospacing="0" w:after="0" w:afterAutospacing="0"/>
        <w:jc w:val="both"/>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八、一般公共预算项目支出预算表（公开表3-2）</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31" o:spt="75" type="#_x0000_t75" style="height:258pt;width:613.5pt;" o:ole="t" filled="f" o:preferrelative="t" stroked="f" coordsize="21600,21600">
            <v:path/>
            <v:fill on="f" focussize="0,0"/>
            <v:stroke on="f" joinstyle="miter"/>
            <v:imagedata r:id="rId31" o:title=""/>
            <o:lock v:ext="edit" aspectratio="f"/>
            <w10:wrap type="none"/>
            <w10:anchorlock/>
          </v:shape>
          <o:OLEObject Type="Embed" ProgID="Excel.Sheet.12" ShapeID="_x0000_i1031" DrawAspect="Content" ObjectID="_1468075731" r:id="rId30">
            <o:LockedField>false</o:LockedField>
          </o:OLEObject>
        </w:objec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九、一般公共预算“三公”经费支出预算表（公开表3-3）</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32" o:spt="75" type="#_x0000_t75" style="height:135pt;width:697.5pt;" o:ole="t" filled="f" o:preferrelative="t" stroked="f" coordsize="21600,21600">
            <v:path/>
            <v:fill on="f" focussize="0,0"/>
            <v:stroke on="f" joinstyle="miter"/>
            <v:imagedata r:id="rId33" o:title=""/>
            <o:lock v:ext="edit" aspectratio="f"/>
            <w10:wrap type="none"/>
            <w10:anchorlock/>
          </v:shape>
          <o:OLEObject Type="Embed" ProgID="Excel.Sheet.12" ShapeID="_x0000_i1032" DrawAspect="Content" ObjectID="_1468075732" r:id="rId32">
            <o:LockedField>false</o:LockedField>
          </o:OLEObject>
        </w:objec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十、政府性基金预算支出表（公开表4）</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33" o:spt="75" type="#_x0000_t75" style="height:180pt;width:697.5pt;" o:ole="t" filled="f" o:preferrelative="t" stroked="f" coordsize="21600,21600">
            <v:path/>
            <v:fill on="f" focussize="0,0"/>
            <v:stroke on="f" joinstyle="miter"/>
            <v:imagedata r:id="rId35" o:title=""/>
            <o:lock v:ext="edit" aspectratio="f"/>
            <w10:wrap type="none"/>
            <w10:anchorlock/>
          </v:shape>
          <o:OLEObject Type="Embed" ProgID="Excel.Sheet.12" ShapeID="_x0000_i1033" DrawAspect="Content" ObjectID="_1468075733" r:id="rId34">
            <o:LockedField>false</o:LockedField>
          </o:OLEObject>
        </w:objec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十一、政府性基金预算“三公”经费支出预算表（公开表4-1）</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34" o:spt="75" type="#_x0000_t75" style="height:145.5pt;width:697.5pt;" o:ole="t" filled="f" o:preferrelative="t" stroked="f" coordsize="21600,21600">
            <v:path/>
            <v:fill on="f" focussize="0,0"/>
            <v:stroke on="f" joinstyle="miter"/>
            <v:imagedata r:id="rId37" o:title=""/>
            <o:lock v:ext="edit" aspectratio="f"/>
            <w10:wrap type="none"/>
            <w10:anchorlock/>
          </v:shape>
          <o:OLEObject Type="Embed" ProgID="Excel.Sheet.12" ShapeID="_x0000_i1034" DrawAspect="Content" ObjectID="_1468075734" r:id="rId36">
            <o:LockedField>false</o:LockedField>
          </o:OLEObject>
        </w:objec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r>
        <w:rPr>
          <w:rFonts w:hint="eastAsia" w:ascii="Times New Roman" w:hAnsi="Times New Roman" w:eastAsia="仿宋_GB2312" w:cs="仿宋_GB2312"/>
          <w:color w:val="333333"/>
          <w:sz w:val="32"/>
          <w:szCs w:val="32"/>
        </w:rPr>
        <w:t>十二、国有资本经营预算支出表（公开表5）</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35" o:spt="75" type="#_x0000_t75" style="height:203.25pt;width:697.5pt;" o:ole="t" filled="f" o:preferrelative="t" stroked="f" coordsize="21600,21600">
            <v:path/>
            <v:fill on="f" focussize="0,0"/>
            <v:stroke on="f" joinstyle="miter"/>
            <v:imagedata r:id="rId39" o:title=""/>
            <o:lock v:ext="edit" aspectratio="f"/>
            <w10:wrap type="none"/>
            <w10:anchorlock/>
          </v:shape>
          <o:OLEObject Type="Embed" ProgID="Excel.Sheet.12" ShapeID="_x0000_i1035" DrawAspect="Content" ObjectID="_1468075735" r:id="rId38">
            <o:LockedField>false</o:LockedField>
          </o:OLEObject>
        </w:objec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sectPr>
          <w:pgSz w:w="16838" w:h="11906" w:orient="landscape"/>
          <w:pgMar w:top="1800" w:right="1440" w:bottom="1800" w:left="1440" w:header="720" w:footer="720" w:gutter="0"/>
          <w:pgNumType w:fmt="numberInDash"/>
          <w:cols w:space="720" w:num="1"/>
          <w:docGrid w:type="lines" w:linePitch="312" w:charSpace="0"/>
        </w:sect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ascii="Times New Roman" w:hAnsi="Times New Roman" w:eastAsia="仿宋_GB2312" w:cs="仿宋_GB2312"/>
          <w:color w:val="333333"/>
          <w:sz w:val="32"/>
          <w:szCs w:val="32"/>
        </w:rPr>
      </w:pPr>
      <w:r>
        <w:rPr>
          <w:rFonts w:ascii="Times New Roman" w:hAnsi="Times New Roman" w:eastAsia="仿宋_GB2312" w:cs="仿宋_GB2312"/>
          <w:color w:val="333333"/>
          <w:sz w:val="32"/>
          <w:szCs w:val="32"/>
        </w:rPr>
        <w:t>十三、部门预算项目支出绩效目标表（公开表6）</w:t>
      </w: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52"/>
          <w:szCs w:val="52"/>
          <w:lang w:bidi="ar"/>
        </w:rPr>
        <w:object>
          <v:shape id="_x0000_i1036" o:spt="75" type="#_x0000_t75" style="height:544.5pt;width:479.25pt;" o:ole="t" filled="f" o:preferrelative="t" stroked="f" coordsize="21600,21600">
            <v:path/>
            <v:fill on="f" focussize="0,0"/>
            <v:stroke on="f" joinstyle="miter"/>
            <v:imagedata r:id="rId41" o:title=""/>
            <o:lock v:ext="edit" aspectratio="t"/>
            <w10:wrap type="none"/>
            <w10:anchorlock/>
          </v:shape>
          <o:OLEObject Type="Embed" ProgID="Excel.Sheet.12" ShapeID="_x0000_i1036" DrawAspect="Content" ObjectID="_1468075736" r:id="rId40">
            <o:LockedField>false</o:LockedField>
          </o:OLEObject>
        </w:object>
      </w:r>
    </w:p>
    <w:p>
      <w:pPr>
        <w:pStyle w:val="5"/>
        <w:widowControl/>
        <w:spacing w:before="0" w:beforeAutospacing="0" w:after="0" w:afterAutospacing="0" w:line="600" w:lineRule="exact"/>
        <w:ind w:firstLine="640" w:firstLineChars="200"/>
        <w:jc w:val="both"/>
        <w:outlineLvl w:val="1"/>
        <w:rPr>
          <w:rFonts w:hint="eastAsia" w:ascii="Times New Roman" w:hAnsi="Times New Roman" w:eastAsia="仿宋_GB2312" w:cs="仿宋_GB2312"/>
          <w:color w:val="333333"/>
          <w:sz w:val="32"/>
          <w:szCs w:val="32"/>
        </w:rPr>
      </w:pPr>
      <w:r>
        <w:rPr>
          <w:rFonts w:ascii="Times New Roman" w:hAnsi="Times New Roman" w:eastAsia="仿宋_GB2312" w:cs="仿宋_GB2312"/>
          <w:color w:val="333333"/>
          <w:sz w:val="32"/>
          <w:szCs w:val="32"/>
        </w:rPr>
        <w:t>十四、部门整体支出绩效目标表（公开表7）</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tbl>
      <w:tblPr>
        <w:tblStyle w:val="6"/>
        <w:tblW w:w="8599" w:type="dxa"/>
        <w:tblInd w:w="0" w:type="dxa"/>
        <w:tblLayout w:type="autofit"/>
        <w:tblCellMar>
          <w:top w:w="0" w:type="dxa"/>
          <w:left w:w="0" w:type="dxa"/>
          <w:bottom w:w="0" w:type="dxa"/>
          <w:right w:w="0" w:type="dxa"/>
        </w:tblCellMar>
      </w:tblPr>
      <w:tblGrid>
        <w:gridCol w:w="957"/>
        <w:gridCol w:w="1206"/>
        <w:gridCol w:w="1207"/>
        <w:gridCol w:w="1850"/>
        <w:gridCol w:w="965"/>
        <w:gridCol w:w="1126"/>
        <w:gridCol w:w="724"/>
        <w:gridCol w:w="564"/>
      </w:tblGrid>
      <w:tr>
        <w:tblPrEx>
          <w:tblCellMar>
            <w:top w:w="0" w:type="dxa"/>
            <w:left w:w="0" w:type="dxa"/>
            <w:bottom w:w="0" w:type="dxa"/>
            <w:right w:w="0" w:type="dxa"/>
          </w:tblCellMar>
        </w:tblPrEx>
        <w:trPr>
          <w:trHeight w:val="359" w:hRule="atLeast"/>
        </w:trPr>
        <w:tc>
          <w:tcPr>
            <w:tcW w:w="5220" w:type="dxa"/>
            <w:gridSpan w:val="4"/>
            <w:tcBorders>
              <w:top w:val="nil"/>
              <w:left w:val="nil"/>
              <w:bottom w:val="nil"/>
              <w:right w:val="nil"/>
            </w:tcBorders>
            <w:tcMar>
              <w:top w:w="15" w:type="dxa"/>
              <w:left w:w="15" w:type="dxa"/>
              <w:right w:w="15" w:type="dxa"/>
            </w:tcMar>
            <w:vAlign w:val="center"/>
          </w:tcPr>
          <w:p>
            <w:pPr>
              <w:widowControl/>
              <w:jc w:val="left"/>
              <w:textAlignment w:val="center"/>
              <w:rPr>
                <w:rFonts w:ascii="宋体" w:hAnsi="宋体" w:cs="宋体"/>
                <w:color w:val="C0C0C0"/>
                <w:sz w:val="20"/>
                <w:szCs w:val="20"/>
              </w:rPr>
            </w:pPr>
            <w:r>
              <w:rPr>
                <w:rFonts w:ascii="宋体" w:hAnsi="宋体" w:cs="宋体"/>
                <w:color w:val="C0C0C0"/>
                <w:kern w:val="0"/>
                <w:sz w:val="20"/>
                <w:szCs w:val="20"/>
                <w:lang w:bidi="ar"/>
              </w:rPr>
              <w:t>报表编号：510000_0013</w:t>
            </w:r>
          </w:p>
        </w:tc>
        <w:tc>
          <w:tcPr>
            <w:tcW w:w="965" w:type="dxa"/>
            <w:tcBorders>
              <w:top w:val="nil"/>
              <w:left w:val="nil"/>
              <w:bottom w:val="nil"/>
              <w:right w:val="nil"/>
            </w:tcBorders>
            <w:noWrap/>
            <w:tcMar>
              <w:top w:w="15" w:type="dxa"/>
              <w:left w:w="15" w:type="dxa"/>
              <w:right w:w="15" w:type="dxa"/>
            </w:tcMar>
            <w:vAlign w:val="center"/>
          </w:tcPr>
          <w:p>
            <w:pPr>
              <w:rPr>
                <w:rFonts w:hint="eastAsia" w:ascii="宋体" w:hAnsi="宋体" w:cs="宋体"/>
                <w:color w:val="000000"/>
                <w:sz w:val="22"/>
                <w:szCs w:val="22"/>
              </w:rPr>
            </w:pPr>
          </w:p>
        </w:tc>
        <w:tc>
          <w:tcPr>
            <w:tcW w:w="2414" w:type="dxa"/>
            <w:gridSpan w:val="3"/>
            <w:tcBorders>
              <w:top w:val="nil"/>
              <w:left w:val="nil"/>
              <w:bottom w:val="nil"/>
              <w:right w:val="nil"/>
            </w:tcBorders>
            <w:tcMar>
              <w:top w:w="15" w:type="dxa"/>
              <w:left w:w="15" w:type="dxa"/>
              <w:right w:w="15" w:type="dxa"/>
            </w:tcMar>
            <w:vAlign w:val="center"/>
          </w:tcPr>
          <w:p>
            <w:pPr>
              <w:rPr>
                <w:rFonts w:hint="eastAsia" w:ascii="宋体" w:hAnsi="宋体" w:cs="宋体"/>
                <w:color w:val="000000"/>
                <w:sz w:val="20"/>
                <w:szCs w:val="20"/>
              </w:rPr>
            </w:pPr>
          </w:p>
        </w:tc>
      </w:tr>
      <w:tr>
        <w:tblPrEx>
          <w:tblCellMar>
            <w:top w:w="0" w:type="dxa"/>
            <w:left w:w="0" w:type="dxa"/>
            <w:bottom w:w="0" w:type="dxa"/>
            <w:right w:w="0" w:type="dxa"/>
          </w:tblCellMar>
        </w:tblPrEx>
        <w:trPr>
          <w:trHeight w:val="781" w:hRule="atLeast"/>
        </w:trPr>
        <w:tc>
          <w:tcPr>
            <w:tcW w:w="8599" w:type="dxa"/>
            <w:gridSpan w:val="8"/>
            <w:tcBorders>
              <w:top w:val="nil"/>
              <w:left w:val="nil"/>
              <w:bottom w:val="nil"/>
              <w:right w:val="nil"/>
            </w:tcBorders>
            <w:tcMar>
              <w:top w:w="15" w:type="dxa"/>
              <w:left w:w="15" w:type="dxa"/>
              <w:right w:w="15" w:type="dxa"/>
            </w:tcMar>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lang w:bidi="ar"/>
              </w:rPr>
              <w:t>部门整体支出绩效目标表</w:t>
            </w:r>
          </w:p>
        </w:tc>
      </w:tr>
      <w:tr>
        <w:tblPrEx>
          <w:tblCellMar>
            <w:top w:w="0" w:type="dxa"/>
            <w:left w:w="0" w:type="dxa"/>
            <w:bottom w:w="0" w:type="dxa"/>
            <w:right w:w="0" w:type="dxa"/>
          </w:tblCellMar>
        </w:tblPrEx>
        <w:trPr>
          <w:trHeight w:val="278" w:hRule="atLeast"/>
        </w:trPr>
        <w:tc>
          <w:tcPr>
            <w:tcW w:w="8599" w:type="dxa"/>
            <w:gridSpan w:val="8"/>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（2024年度）</w:t>
            </w:r>
          </w:p>
        </w:tc>
      </w:tr>
      <w:tr>
        <w:tblPrEx>
          <w:tblCellMar>
            <w:top w:w="0" w:type="dxa"/>
            <w:left w:w="0" w:type="dxa"/>
            <w:bottom w:w="0" w:type="dxa"/>
            <w:right w:w="0" w:type="dxa"/>
          </w:tblCellMar>
        </w:tblPrEx>
        <w:trPr>
          <w:trHeight w:val="278" w:hRule="atLeast"/>
        </w:trPr>
        <w:tc>
          <w:tcPr>
            <w:tcW w:w="8599" w:type="dxa"/>
            <w:gridSpan w:val="8"/>
            <w:tcBorders>
              <w:top w:val="nil"/>
              <w:left w:val="nil"/>
              <w:bottom w:val="single" w:color="000000" w:sz="4" w:space="0"/>
              <w:right w:val="nil"/>
            </w:tcBorders>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ascii="宋体" w:hAnsi="宋体" w:cs="宋体"/>
                <w:color w:val="000000"/>
                <w:kern w:val="0"/>
                <w:sz w:val="18"/>
                <w:szCs w:val="18"/>
                <w:lang w:bidi="ar"/>
              </w:rPr>
              <w:t>单位：万元</w:t>
            </w:r>
          </w:p>
        </w:tc>
      </w:tr>
      <w:tr>
        <w:tblPrEx>
          <w:tblCellMar>
            <w:top w:w="0" w:type="dxa"/>
            <w:left w:w="0" w:type="dxa"/>
            <w:bottom w:w="0" w:type="dxa"/>
            <w:right w:w="0" w:type="dxa"/>
          </w:tblCellMar>
        </w:tblPrEx>
        <w:trPr>
          <w:trHeight w:val="505" w:hRule="atLeast"/>
        </w:trPr>
        <w:tc>
          <w:tcPr>
            <w:tcW w:w="337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部门名称</w:t>
            </w:r>
          </w:p>
        </w:tc>
        <w:tc>
          <w:tcPr>
            <w:tcW w:w="5229"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乐山市民族宗教事务委员会</w:t>
            </w:r>
          </w:p>
        </w:tc>
      </w:tr>
      <w:tr>
        <w:tblPrEx>
          <w:tblCellMar>
            <w:top w:w="0" w:type="dxa"/>
            <w:left w:w="0" w:type="dxa"/>
            <w:bottom w:w="0" w:type="dxa"/>
            <w:right w:w="0" w:type="dxa"/>
          </w:tblCellMar>
        </w:tblPrEx>
        <w:trPr>
          <w:trHeight w:val="505" w:hRule="atLeast"/>
        </w:trPr>
        <w:tc>
          <w:tcPr>
            <w:tcW w:w="9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年度部门整体支出预算</w:t>
            </w:r>
          </w:p>
        </w:tc>
        <w:tc>
          <w:tcPr>
            <w:tcW w:w="241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资金总额</w:t>
            </w:r>
          </w:p>
        </w:tc>
        <w:tc>
          <w:tcPr>
            <w:tcW w:w="2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财政拨款</w:t>
            </w:r>
          </w:p>
        </w:tc>
        <w:tc>
          <w:tcPr>
            <w:tcW w:w="241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其他资金</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241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ascii="宋体" w:hAnsi="宋体" w:cs="宋体"/>
                <w:color w:val="000000"/>
                <w:kern w:val="0"/>
                <w:sz w:val="18"/>
                <w:szCs w:val="18"/>
                <w:lang w:bidi="ar"/>
              </w:rPr>
              <w:t>690.76</w:t>
            </w:r>
          </w:p>
        </w:tc>
        <w:tc>
          <w:tcPr>
            <w:tcW w:w="2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ascii="宋体" w:hAnsi="宋体" w:cs="宋体"/>
                <w:color w:val="000000"/>
                <w:kern w:val="0"/>
                <w:sz w:val="18"/>
                <w:szCs w:val="18"/>
                <w:lang w:bidi="ar"/>
              </w:rPr>
              <w:t>690.76</w:t>
            </w:r>
          </w:p>
        </w:tc>
        <w:tc>
          <w:tcPr>
            <w:tcW w:w="241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hAnsi="宋体" w:cs="宋体"/>
                <w:color w:val="000000"/>
                <w:sz w:val="18"/>
                <w:szCs w:val="18"/>
              </w:rPr>
            </w:pPr>
            <w:r>
              <w:rPr>
                <w:rFonts w:ascii="宋体" w:hAnsi="宋体" w:cs="宋体"/>
                <w:color w:val="000000"/>
                <w:kern w:val="0"/>
                <w:sz w:val="18"/>
                <w:szCs w:val="18"/>
                <w:lang w:bidi="ar"/>
              </w:rPr>
              <w:t>0.00</w:t>
            </w:r>
          </w:p>
        </w:tc>
      </w:tr>
      <w:tr>
        <w:tblPrEx>
          <w:tblCellMar>
            <w:top w:w="0" w:type="dxa"/>
            <w:left w:w="0" w:type="dxa"/>
            <w:bottom w:w="0" w:type="dxa"/>
            <w:right w:w="0" w:type="dxa"/>
          </w:tblCellMar>
        </w:tblPrEx>
        <w:trPr>
          <w:trHeight w:val="994" w:hRule="atLeast"/>
        </w:trPr>
        <w:tc>
          <w:tcPr>
            <w:tcW w:w="9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年度总体目标</w:t>
            </w:r>
          </w:p>
        </w:tc>
        <w:tc>
          <w:tcPr>
            <w:tcW w:w="7642"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2024年，市民族宗教委将进一步加大对习近平总书记关于加强和改进民族工作的重要思想、关于宗教工作的重要论述学习力度，深入贯彻中央、省委、市委民族工作会议和全国、全省、全市宗教工作会议精神，着力推动民族宗教工作高质量发展。</w:t>
            </w:r>
          </w:p>
        </w:tc>
      </w:tr>
      <w:tr>
        <w:tblPrEx>
          <w:tblCellMar>
            <w:top w:w="0" w:type="dxa"/>
            <w:left w:w="0" w:type="dxa"/>
            <w:bottom w:w="0" w:type="dxa"/>
            <w:right w:w="0" w:type="dxa"/>
          </w:tblCellMar>
        </w:tblPrEx>
        <w:trPr>
          <w:trHeight w:val="505" w:hRule="atLeast"/>
        </w:trPr>
        <w:tc>
          <w:tcPr>
            <w:tcW w:w="9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年度主要任务</w:t>
            </w:r>
          </w:p>
        </w:tc>
        <w:tc>
          <w:tcPr>
            <w:tcW w:w="241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任务名称</w:t>
            </w:r>
          </w:p>
        </w:tc>
        <w:tc>
          <w:tcPr>
            <w:tcW w:w="5229"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主要内容</w:t>
            </w:r>
          </w:p>
        </w:tc>
      </w:tr>
      <w:tr>
        <w:tblPrEx>
          <w:tblCellMar>
            <w:top w:w="0" w:type="dxa"/>
            <w:left w:w="0" w:type="dxa"/>
            <w:bottom w:w="0" w:type="dxa"/>
            <w:right w:w="0" w:type="dxa"/>
          </w:tblCellMar>
        </w:tblPrEx>
        <w:trPr>
          <w:trHeight w:val="816"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241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总体目标</w:t>
            </w:r>
          </w:p>
        </w:tc>
        <w:tc>
          <w:tcPr>
            <w:tcW w:w="5229"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市民族宗教委将进一步加大对习近平总书记关于加强和改进民族工作的重要思想、关于宗教工作的重要论述学习力度，深入贯彻中央、省委、市委民族工作会议和全国、全省、全市宗教工作会议精神，着力推动民族宗教工作高质量发展</w:t>
            </w:r>
          </w:p>
        </w:tc>
      </w:tr>
      <w:tr>
        <w:tblPrEx>
          <w:tblCellMar>
            <w:top w:w="0" w:type="dxa"/>
            <w:left w:w="0" w:type="dxa"/>
            <w:bottom w:w="0" w:type="dxa"/>
            <w:right w:w="0" w:type="dxa"/>
          </w:tblCellMar>
        </w:tblPrEx>
        <w:trPr>
          <w:trHeight w:val="1611"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241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民族工作</w:t>
            </w:r>
          </w:p>
        </w:tc>
        <w:tc>
          <w:tcPr>
            <w:tcW w:w="5229"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以铸牢中华民族共同体意识为主线，建成一批铸牢中华民族共同体意识示范学校和教育基地，全力巩固做好民族团结进步示范创建成果。围绕乡村振兴工作，深化“一村一幼”、“学前学普”，为民族地区加快现代化建设提供有力支撑。促进各民族交往交流交融，积极营造各民族共居共学、共事共乐的浓厚氛围。提升民族事务治理法治化水平，打造好“点亮火把”禁毒防艾公益品牌，推广好“德古”工作法，发挥好“同心·法律服务”工作站作用，加大高价彩礼治理、移风易俗等工作推进力度，鼓励各族群众参与基层治理，做到共参、共治、共享。</w:t>
            </w:r>
          </w:p>
        </w:tc>
      </w:tr>
      <w:tr>
        <w:tblPrEx>
          <w:tblCellMar>
            <w:top w:w="0" w:type="dxa"/>
            <w:left w:w="0" w:type="dxa"/>
            <w:bottom w:w="0" w:type="dxa"/>
            <w:right w:w="0" w:type="dxa"/>
          </w:tblCellMar>
        </w:tblPrEx>
        <w:trPr>
          <w:trHeight w:val="1876"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241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宗教工作</w:t>
            </w:r>
          </w:p>
        </w:tc>
        <w:tc>
          <w:tcPr>
            <w:tcW w:w="5229"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依法管理宗教事务，加强宗教工作“三支队伍”建设，发挥宗教工作“三级网络两级责任制”作用，开展民族宗教干部针对性教育培训，全面推进宗教工作法治建设，深入开展法律进宗教活动场所。坚持我国宗教的中国化方向，支持5个全市性宗教团体加强自身建设，在围绕中心、服务大局中发挥乐山宗教积极作用，贡献乐山宗教力量。支持宗教界全面从严治教，深入推进宗教团体制度建设，加强对宗教活动场所的教务指导，引导信教群众正信正行。加强互联网宗教管理，抓好宗教活动场所安全工作，加大非法宗教活动的治理力度，防范和抵御境外利用宗教进行渗透，防范化解宗教领域重大风险隐患，确保全市宗教领域的安全稳定。</w:t>
            </w:r>
          </w:p>
        </w:tc>
      </w:tr>
      <w:tr>
        <w:tblPrEx>
          <w:tblCellMar>
            <w:top w:w="0" w:type="dxa"/>
            <w:left w:w="0" w:type="dxa"/>
            <w:bottom w:w="0" w:type="dxa"/>
            <w:right w:w="0" w:type="dxa"/>
          </w:tblCellMar>
        </w:tblPrEx>
        <w:trPr>
          <w:trHeight w:val="551" w:hRule="atLeast"/>
        </w:trPr>
        <w:tc>
          <w:tcPr>
            <w:tcW w:w="95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年度绩效指标</w:t>
            </w:r>
          </w:p>
        </w:tc>
        <w:tc>
          <w:tcPr>
            <w:tcW w:w="12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一级指标</w:t>
            </w:r>
          </w:p>
        </w:tc>
        <w:tc>
          <w:tcPr>
            <w:tcW w:w="12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二级指标</w:t>
            </w: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三级指标</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绩效指标性质</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绩效指标值</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绩效度量单位</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ascii="宋体" w:hAnsi="宋体" w:cs="宋体"/>
                <w:color w:val="000000"/>
                <w:kern w:val="0"/>
                <w:sz w:val="18"/>
                <w:szCs w:val="18"/>
                <w:lang w:bidi="ar"/>
              </w:rPr>
              <w:t>权重</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产出指标</w:t>
            </w:r>
          </w:p>
        </w:tc>
        <w:tc>
          <w:tcPr>
            <w:tcW w:w="120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数量指标</w:t>
            </w: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补助的宗教团体数量</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5</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个</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10</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eastAsia" w:ascii="宋体" w:hAnsi="宋体" w:cs="宋体"/>
                <w:color w:val="000000"/>
                <w:sz w:val="18"/>
                <w:szCs w:val="18"/>
              </w:rPr>
            </w:pPr>
          </w:p>
        </w:tc>
        <w:tc>
          <w:tcPr>
            <w:tcW w:w="120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eastAsia" w:ascii="宋体" w:hAnsi="宋体" w:cs="宋体"/>
                <w:color w:val="000000"/>
                <w:sz w:val="18"/>
                <w:szCs w:val="18"/>
              </w:rPr>
            </w:pP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慰问民族地区数量</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3</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个</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10</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eastAsia" w:ascii="宋体" w:hAnsi="宋体" w:cs="宋体"/>
                <w:color w:val="000000"/>
                <w:sz w:val="18"/>
                <w:szCs w:val="18"/>
              </w:rPr>
            </w:pPr>
          </w:p>
        </w:tc>
        <w:tc>
          <w:tcPr>
            <w:tcW w:w="120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eastAsia" w:ascii="宋体" w:hAnsi="宋体" w:cs="宋体"/>
                <w:color w:val="000000"/>
                <w:sz w:val="18"/>
                <w:szCs w:val="18"/>
              </w:rPr>
            </w:pP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慰问宗教界代表人士</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70</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人</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10</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eastAsia" w:ascii="宋体" w:hAnsi="宋体" w:cs="宋体"/>
                <w:color w:val="000000"/>
                <w:sz w:val="18"/>
                <w:szCs w:val="18"/>
              </w:rPr>
            </w:pPr>
          </w:p>
        </w:tc>
        <w:tc>
          <w:tcPr>
            <w:tcW w:w="12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质量指标</w:t>
            </w: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人大报告翻译准确率</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99</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10</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eastAsia" w:ascii="宋体" w:hAnsi="宋体" w:cs="宋体"/>
                <w:color w:val="000000"/>
                <w:sz w:val="18"/>
                <w:szCs w:val="18"/>
              </w:rPr>
            </w:pPr>
          </w:p>
        </w:tc>
        <w:tc>
          <w:tcPr>
            <w:tcW w:w="12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时效指标</w:t>
            </w: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慰问工作完成及时率</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100</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20</w:t>
            </w:r>
          </w:p>
        </w:tc>
      </w:tr>
      <w:tr>
        <w:tblPrEx>
          <w:tblCellMar>
            <w:top w:w="0" w:type="dxa"/>
            <w:left w:w="0" w:type="dxa"/>
            <w:bottom w:w="0" w:type="dxa"/>
            <w:right w:w="0" w:type="dxa"/>
          </w:tblCellMar>
        </w:tblPrEx>
        <w:trPr>
          <w:trHeight w:val="505"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效益指标</w:t>
            </w:r>
          </w:p>
        </w:tc>
        <w:tc>
          <w:tcPr>
            <w:tcW w:w="12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社会效益指标</w:t>
            </w: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民族纠纷事件发生降低率</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80</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20</w:t>
            </w:r>
          </w:p>
        </w:tc>
      </w:tr>
      <w:tr>
        <w:tblPrEx>
          <w:tblCellMar>
            <w:top w:w="0" w:type="dxa"/>
            <w:left w:w="0" w:type="dxa"/>
            <w:bottom w:w="0" w:type="dxa"/>
            <w:right w:w="0" w:type="dxa"/>
          </w:tblCellMar>
        </w:tblPrEx>
        <w:trPr>
          <w:trHeight w:val="513" w:hRule="atLeast"/>
        </w:trPr>
        <w:tc>
          <w:tcPr>
            <w:tcW w:w="95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cs="宋体"/>
                <w:color w:val="000000"/>
                <w:sz w:val="18"/>
                <w:szCs w:val="18"/>
              </w:rPr>
            </w:pPr>
          </w:p>
        </w:tc>
        <w:tc>
          <w:tcPr>
            <w:tcW w:w="12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满意度指标</w:t>
            </w:r>
          </w:p>
        </w:tc>
        <w:tc>
          <w:tcPr>
            <w:tcW w:w="12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服务对象满意度指标</w:t>
            </w:r>
          </w:p>
        </w:tc>
        <w:tc>
          <w:tcPr>
            <w:tcW w:w="1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少数民族、宗教人士满意度</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99</w:t>
            </w:r>
          </w:p>
        </w:tc>
        <w:tc>
          <w:tcPr>
            <w:tcW w:w="7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w:t>
            </w:r>
          </w:p>
        </w:tc>
        <w:tc>
          <w:tcPr>
            <w:tcW w:w="56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18"/>
                <w:szCs w:val="18"/>
              </w:rPr>
            </w:pPr>
            <w:r>
              <w:rPr>
                <w:rFonts w:ascii="宋体" w:hAnsi="宋体" w:cs="宋体"/>
                <w:color w:val="000000"/>
                <w:kern w:val="0"/>
                <w:sz w:val="18"/>
                <w:szCs w:val="18"/>
                <w:lang w:bidi="ar"/>
              </w:rPr>
              <w:t>10</w:t>
            </w:r>
          </w:p>
        </w:tc>
      </w:tr>
    </w:tbl>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both"/>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sectPr>
          <w:pgSz w:w="11906" w:h="16838"/>
          <w:pgMar w:top="1440" w:right="1800" w:bottom="1440" w:left="1800" w:header="720" w:footer="720" w:gutter="0"/>
          <w:pgNumType w:fmt="numberInDash"/>
          <w:cols w:space="720" w:num="1"/>
          <w:docGrid w:type="lines" w:linePitch="312" w:charSpace="0"/>
        </w:sect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ind w:firstLine="640" w:firstLineChars="200"/>
        <w:jc w:val="both"/>
        <w:outlineLvl w:val="1"/>
        <w:rPr>
          <w:rFonts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rPr>
        <w:t>十五、政府采购预算表（公开表8）</w:t>
      </w: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sectPr>
          <w:pgSz w:w="16838" w:h="11906" w:orient="landscape"/>
          <w:pgMar w:top="1800" w:right="1440" w:bottom="1800" w:left="1440" w:header="720" w:footer="720" w:gutter="0"/>
          <w:pgNumType w:fmt="numberInDash"/>
          <w:cols w:space="720" w:num="1"/>
          <w:docGrid w:type="lines" w:linePitch="312" w:charSpace="0"/>
        </w:sectPr>
      </w:pPr>
      <w:r>
        <w:rPr>
          <w:rFonts w:hint="eastAsia" w:ascii="Times New Roman" w:hAnsi="Times New Roman" w:eastAsia="方正小标宋简体" w:cs="方正小标宋简体"/>
          <w:sz w:val="52"/>
          <w:szCs w:val="52"/>
          <w:lang w:bidi="ar"/>
        </w:rPr>
        <w:object>
          <v:shape id="_x0000_i1037" o:spt="75" type="#_x0000_t75" style="height:198pt;width:697.5pt;" o:ole="t" filled="f" o:preferrelative="t" stroked="f" coordsize="21600,21600">
            <v:path/>
            <v:fill on="f" focussize="0,0"/>
            <v:stroke on="f" joinstyle="miter"/>
            <v:imagedata r:id="rId43" o:title=""/>
            <o:lock v:ext="edit" aspectratio="f"/>
            <w10:wrap type="none"/>
            <w10:anchorlock/>
          </v:shape>
          <o:OLEObject Type="Embed" ProgID="Excel.Sheet.12" ShapeID="_x0000_i1037" DrawAspect="Content" ObjectID="_1468075737" r:id="rId42">
            <o:LockedField>false</o:LockedField>
          </o:OLEObject>
        </w:object>
      </w: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48"/>
          <w:szCs w:val="48"/>
          <w:lang w:bidi="ar"/>
        </w:rPr>
      </w:pP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48"/>
          <w:szCs w:val="48"/>
          <w:lang w:bidi="ar"/>
        </w:rPr>
      </w:pP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48"/>
          <w:szCs w:val="48"/>
          <w:lang w:bidi="ar"/>
        </w:rPr>
      </w:pP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48"/>
          <w:szCs w:val="48"/>
          <w:lang w:bidi="ar"/>
        </w:rPr>
      </w:pP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48"/>
          <w:szCs w:val="48"/>
          <w:lang w:bidi="ar"/>
        </w:rPr>
      </w:pP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48"/>
          <w:szCs w:val="48"/>
          <w:lang w:bidi="ar"/>
        </w:rPr>
      </w:pPr>
    </w:p>
    <w:p>
      <w:pPr>
        <w:pStyle w:val="5"/>
        <w:widowControl/>
        <w:spacing w:before="0" w:beforeAutospacing="0" w:after="0" w:afterAutospacing="0" w:line="600" w:lineRule="exact"/>
        <w:jc w:val="center"/>
        <w:outlineLvl w:val="0"/>
        <w:rPr>
          <w:rFonts w:hint="eastAsia" w:ascii="Times New Roman" w:hAnsi="Times New Roman" w:eastAsia="方正小标宋简体" w:cs="方正小标宋简体"/>
          <w:sz w:val="52"/>
          <w:szCs w:val="52"/>
          <w:lang w:bidi="ar"/>
        </w:rPr>
      </w:pPr>
      <w:r>
        <w:rPr>
          <w:rFonts w:hint="eastAsia" w:ascii="Times New Roman" w:hAnsi="Times New Roman" w:eastAsia="方正小标宋简体" w:cs="方正小标宋简体"/>
          <w:sz w:val="48"/>
          <w:szCs w:val="48"/>
          <w:lang w:bidi="ar"/>
        </w:rPr>
        <w:t>第三部分  乐山市民族宗教事务委员会</w:t>
      </w:r>
    </w:p>
    <w:p>
      <w:pPr>
        <w:pStyle w:val="5"/>
        <w:widowControl/>
        <w:spacing w:before="0" w:beforeAutospacing="0" w:after="0" w:afterAutospacing="0" w:line="600" w:lineRule="exact"/>
        <w:jc w:val="center"/>
        <w:outlineLvl w:val="1"/>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line="600" w:lineRule="exact"/>
        <w:jc w:val="center"/>
        <w:outlineLvl w:val="1"/>
        <w:rPr>
          <w:rFonts w:hint="eastAsia" w:ascii="Times New Roman" w:hAnsi="Times New Roman" w:eastAsia="方正小标宋简体" w:cs="方正小标宋简体"/>
          <w:sz w:val="52"/>
          <w:szCs w:val="52"/>
          <w:lang w:bidi="ar"/>
        </w:rPr>
        <w:sectPr>
          <w:pgSz w:w="11906" w:h="16838"/>
          <w:pgMar w:top="1440" w:right="1800" w:bottom="1440" w:left="1800" w:header="720" w:footer="720" w:gutter="0"/>
          <w:pgNumType w:fmt="numberInDash"/>
          <w:cols w:space="720" w:num="1"/>
          <w:docGrid w:type="lines" w:linePitch="312" w:charSpace="0"/>
        </w:sectPr>
      </w:pPr>
      <w:r>
        <w:rPr>
          <w:rFonts w:hint="eastAsia" w:ascii="Times New Roman" w:hAnsi="Times New Roman" w:eastAsia="方正小标宋简体" w:cs="方正小标宋简体"/>
          <w:sz w:val="52"/>
          <w:szCs w:val="52"/>
          <w:lang w:bidi="ar"/>
        </w:rPr>
        <w:t>202</w:t>
      </w:r>
      <w:r>
        <w:rPr>
          <w:rFonts w:ascii="Times New Roman" w:hAnsi="Times New Roman" w:eastAsia="方正小标宋简体" w:cs="方正小标宋简体"/>
          <w:sz w:val="52"/>
          <w:szCs w:val="52"/>
          <w:lang w:bidi="ar"/>
        </w:rPr>
        <w:t>4</w:t>
      </w:r>
      <w:r>
        <w:rPr>
          <w:rFonts w:hint="eastAsia" w:ascii="Times New Roman" w:hAnsi="Times New Roman" w:eastAsia="方正小标宋简体" w:cs="方正小标宋简体"/>
          <w:sz w:val="52"/>
          <w:szCs w:val="52"/>
          <w:lang w:bidi="ar"/>
        </w:rPr>
        <w:t>年部门预算情况说明</w:t>
      </w:r>
    </w:p>
    <w:p>
      <w:pPr>
        <w:pStyle w:val="5"/>
        <w:widowControl/>
        <w:spacing w:before="0" w:beforeAutospacing="0" w:after="0" w:afterAutospacing="0" w:line="600" w:lineRule="exact"/>
        <w:jc w:val="both"/>
        <w:outlineLvl w:val="1"/>
        <w:rPr>
          <w:rFonts w:hint="eastAsia" w:ascii="Times New Roman" w:hAnsi="Times New Roman" w:eastAsia="黑体"/>
          <w:sz w:val="32"/>
          <w:szCs w:val="32"/>
        </w:rPr>
      </w:pPr>
      <w:r>
        <w:rPr>
          <w:rFonts w:hint="eastAsia" w:ascii="Times New Roman" w:hAnsi="Times New Roman" w:eastAsia="黑体"/>
          <w:sz w:val="32"/>
          <w:szCs w:val="32"/>
        </w:rPr>
        <w:t>一、收支预算情况说明</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按照综合预算的原则，乐山市民族宗教委所有收入和支出均纳入部门预算管理。收入包括：一般公共预算拨款收入；支出包括：一般公共服务支出、社会保障和就业支出、卫生健康支出、住房保障支出。乐山市民族宗教委202</w:t>
      </w:r>
      <w:r>
        <w:rPr>
          <w:rFonts w:ascii="Times New Roman" w:hAnsi="Times New Roman" w:eastAsia="仿宋_GB2312"/>
          <w:sz w:val="32"/>
          <w:szCs w:val="32"/>
        </w:rPr>
        <w:t>4</w:t>
      </w:r>
      <w:r>
        <w:rPr>
          <w:rFonts w:hint="eastAsia" w:ascii="Times New Roman" w:hAnsi="Times New Roman" w:eastAsia="仿宋_GB2312"/>
          <w:sz w:val="32"/>
          <w:szCs w:val="32"/>
        </w:rPr>
        <w:t>年收支预算总数690.76万元,比202</w:t>
      </w:r>
      <w:r>
        <w:rPr>
          <w:rFonts w:ascii="Times New Roman" w:hAnsi="Times New Roman" w:eastAsia="仿宋_GB2312"/>
          <w:sz w:val="32"/>
          <w:szCs w:val="32"/>
        </w:rPr>
        <w:t>3</w:t>
      </w:r>
      <w:r>
        <w:rPr>
          <w:rFonts w:hint="eastAsia" w:ascii="Times New Roman" w:hAnsi="Times New Roman" w:eastAsia="仿宋_GB2312"/>
          <w:sz w:val="32"/>
          <w:szCs w:val="32"/>
        </w:rPr>
        <w:t>年收支预算总数减少100.19万元，主要原因一是按照进一步规范转移支付预算管理的要求，将市级民族专项资金按照拟下达区县使用调整预算编制方式，导致项目预算减少35万元，二是因人员退休、辞职等原因2024年预算包含人数比2023年少3人，所以基本经费减少65.19万元。</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（一）收入预算情况</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乐山市民族宗教委202</w:t>
      </w:r>
      <w:r>
        <w:rPr>
          <w:rFonts w:ascii="Times New Roman" w:hAnsi="Times New Roman" w:eastAsia="仿宋_GB2312"/>
          <w:sz w:val="32"/>
          <w:szCs w:val="32"/>
        </w:rPr>
        <w:t>4</w:t>
      </w:r>
      <w:r>
        <w:rPr>
          <w:rFonts w:hint="eastAsia" w:ascii="Times New Roman" w:hAnsi="Times New Roman" w:eastAsia="仿宋_GB2312"/>
          <w:sz w:val="32"/>
          <w:szCs w:val="32"/>
        </w:rPr>
        <w:t>年收入预算690.76万元，其中：上年结转0万元，占0%；一般公共预算拨款收入690.76万元，占100%；政府性基金预算拨款收入0万元，占0%；事业收入0万元，占0%。</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（二）支出预算情况</w:t>
      </w:r>
    </w:p>
    <w:p>
      <w:pPr>
        <w:spacing w:line="580" w:lineRule="exact"/>
        <w:ind w:firstLine="640" w:firstLineChars="200"/>
        <w:rPr>
          <w:rFonts w:hint="eastAsia" w:ascii="Times New Roman" w:hAnsi="Times New Roman" w:eastAsia="仿宋_GB2312"/>
          <w:sz w:val="32"/>
          <w:szCs w:val="32"/>
          <w:u w:val="single"/>
        </w:rPr>
      </w:pPr>
      <w:r>
        <w:rPr>
          <w:rFonts w:hint="eastAsia" w:ascii="Times New Roman" w:hAnsi="Times New Roman" w:eastAsia="仿宋_GB2312"/>
          <w:sz w:val="32"/>
          <w:szCs w:val="32"/>
        </w:rPr>
        <w:t>乐山市民族宗教委202</w:t>
      </w:r>
      <w:r>
        <w:rPr>
          <w:rFonts w:ascii="Times New Roman" w:hAnsi="Times New Roman" w:eastAsia="仿宋_GB2312"/>
          <w:sz w:val="32"/>
          <w:szCs w:val="32"/>
        </w:rPr>
        <w:t>4</w:t>
      </w:r>
      <w:r>
        <w:rPr>
          <w:rFonts w:hint="eastAsia" w:ascii="Times New Roman" w:hAnsi="Times New Roman" w:eastAsia="仿宋_GB2312"/>
          <w:sz w:val="32"/>
          <w:szCs w:val="32"/>
        </w:rPr>
        <w:t>年支出预算690.76万元，其中：基本支出604.62万元，占88%；项目支出86.14万元，占12%。</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二、财政拨款收支预算情况说明</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乐山市民族宗教委202</w:t>
      </w:r>
      <w:r>
        <w:rPr>
          <w:rFonts w:ascii="Times New Roman" w:hAnsi="Times New Roman" w:eastAsia="仿宋_GB2312"/>
          <w:sz w:val="32"/>
          <w:szCs w:val="32"/>
        </w:rPr>
        <w:t>4</w:t>
      </w:r>
      <w:r>
        <w:rPr>
          <w:rFonts w:hint="eastAsia" w:ascii="Times New Roman" w:hAnsi="Times New Roman" w:eastAsia="仿宋_GB2312"/>
          <w:sz w:val="32"/>
          <w:szCs w:val="32"/>
        </w:rPr>
        <w:t>年财政拨款收支预算总数690.76万元,比202</w:t>
      </w:r>
      <w:r>
        <w:rPr>
          <w:rFonts w:ascii="Times New Roman" w:hAnsi="Times New Roman" w:eastAsia="仿宋_GB2312"/>
          <w:sz w:val="32"/>
          <w:szCs w:val="32"/>
        </w:rPr>
        <w:t>3</w:t>
      </w:r>
      <w:r>
        <w:rPr>
          <w:rFonts w:hint="eastAsia" w:ascii="Times New Roman" w:hAnsi="Times New Roman" w:eastAsia="仿宋_GB2312"/>
          <w:sz w:val="32"/>
          <w:szCs w:val="32"/>
        </w:rPr>
        <w:t>年财政拨款收支预算总数减少100.19万元，主要原因一是按照进一步规范转移支付预算管理的要求，将市级民族专项资金按照拟下达区县使用调整预算编制方式，导致项目预算减少35万元，二是因人员退休、辞职等原因2024年预算包含人数比2023年少3人，所以基本经费减少65.19万元。</w:t>
      </w:r>
    </w:p>
    <w:p>
      <w:pPr>
        <w:spacing w:line="580" w:lineRule="exact"/>
        <w:ind w:firstLine="640" w:firstLineChars="200"/>
        <w:rPr>
          <w:rFonts w:ascii="Times New Roman" w:hAnsi="Times New Roman" w:eastAsia="仿宋_GB2312"/>
          <w:sz w:val="32"/>
          <w:szCs w:val="32"/>
          <w:u w:val="single"/>
        </w:rPr>
      </w:pPr>
      <w:r>
        <w:rPr>
          <w:rFonts w:hint="eastAsia" w:ascii="Times New Roman" w:hAnsi="Times New Roman" w:eastAsia="仿宋_GB2312"/>
          <w:sz w:val="32"/>
          <w:szCs w:val="32"/>
        </w:rPr>
        <w:t>收入包括：本年一般公共预算拨款收入690.76万元；支出包括：一般公共服务支出553.78万元、社会保障和就业支出79.12万元、卫生健康支出15.62万元、住房保障支出42.24万元。</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三、一般公共预算当年拨款情况说明</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（一）一般公共预算当年拨款规模变化情况</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乐山市民族宗教委202</w:t>
      </w:r>
      <w:r>
        <w:rPr>
          <w:rFonts w:ascii="Times New Roman" w:hAnsi="Times New Roman" w:eastAsia="仿宋_GB2312"/>
          <w:sz w:val="32"/>
          <w:szCs w:val="32"/>
        </w:rPr>
        <w:t>4</w:t>
      </w:r>
      <w:r>
        <w:rPr>
          <w:rFonts w:hint="eastAsia" w:ascii="Times New Roman" w:hAnsi="Times New Roman" w:eastAsia="仿宋_GB2312"/>
          <w:sz w:val="32"/>
          <w:szCs w:val="32"/>
        </w:rPr>
        <w:t>年一般公共预算当年拨款690.76万元，比202</w:t>
      </w:r>
      <w:r>
        <w:rPr>
          <w:rFonts w:ascii="Times New Roman" w:hAnsi="Times New Roman" w:eastAsia="仿宋_GB2312"/>
          <w:sz w:val="32"/>
          <w:szCs w:val="32"/>
        </w:rPr>
        <w:t>3</w:t>
      </w:r>
      <w:r>
        <w:rPr>
          <w:rFonts w:hint="eastAsia" w:ascii="Times New Roman" w:hAnsi="Times New Roman" w:eastAsia="仿宋_GB2312"/>
          <w:sz w:val="32"/>
          <w:szCs w:val="32"/>
        </w:rPr>
        <w:t>年预算数减少100.19万元，主要原因一是按照进一步规范转移支付预算管理的要求，将市级民族专项资金按照拟下达区县使用调整预算编制方式，导致项目预算减少35万元，二是因人员退休、辞职等原因2024年预算包含人数比2023年少3人，所以基本经费减少65.19万元。</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（二）一般公共预算当年拨款结构情况</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一般公共服务支出553.78万元，占81%；社会保障和就业支出79.12万元，占11%；卫生健康支出15.62万元，占2%；住房保障支出42.24万元，占6%。</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（三）一般公共预算当年拨款具体使用情况</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1.一般公共服务（类）民族事务（款）行政运行（项）202</w:t>
      </w:r>
      <w:r>
        <w:rPr>
          <w:rFonts w:ascii="Times New Roman" w:hAnsi="Times New Roman" w:eastAsia="仿宋_GB2312"/>
          <w:sz w:val="32"/>
          <w:szCs w:val="32"/>
        </w:rPr>
        <w:t>4</w:t>
      </w:r>
      <w:r>
        <w:rPr>
          <w:rFonts w:hint="eastAsia" w:ascii="Times New Roman" w:hAnsi="Times New Roman" w:eastAsia="仿宋_GB2312"/>
          <w:sz w:val="32"/>
          <w:szCs w:val="32"/>
        </w:rPr>
        <w:t>年预算数为459.02万元，</w:t>
      </w:r>
      <w:r>
        <w:rPr>
          <w:rFonts w:hint="eastAsia" w:ascii="仿宋_GB2312" w:hAnsi="宋体" w:eastAsia="仿宋_GB2312" w:cs="仿宋_GB2312"/>
          <w:color w:val="000000"/>
          <w:kern w:val="0"/>
          <w:sz w:val="32"/>
          <w:szCs w:val="32"/>
          <w:shd w:val="clear" w:color="auto" w:fill="FFFFFF"/>
          <w:lang w:bidi="ar"/>
        </w:rPr>
        <w:t>主要用于：保障机关单位正常运转的基本支出，包括基本工资、津贴补贴等人员经费以及办公费、印刷费、水电费等日常公用经费，实施养老保险制度后，部门按规定由单位缴纳的基本养老保险费支出、职业年金支出、机关及参公管理事业单位基本医疗保险缴费支出、部门按人力资源和社会保障部、财政部规定的基本工资和津贴补贴以及规定比例为职工缴纳的住房公积金支出。</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2.一般公共服务（类）民族事务（款）事业运行（项）202</w:t>
      </w:r>
      <w:r>
        <w:rPr>
          <w:rFonts w:ascii="Times New Roman" w:hAnsi="Times New Roman" w:eastAsia="仿宋_GB2312"/>
          <w:sz w:val="32"/>
          <w:szCs w:val="32"/>
        </w:rPr>
        <w:t>4</w:t>
      </w:r>
      <w:r>
        <w:rPr>
          <w:rFonts w:hint="eastAsia" w:ascii="Times New Roman" w:hAnsi="Times New Roman" w:eastAsia="仿宋_GB2312"/>
          <w:sz w:val="32"/>
          <w:szCs w:val="32"/>
        </w:rPr>
        <w:t>年预算数为8.62万元，</w:t>
      </w:r>
      <w:r>
        <w:rPr>
          <w:rFonts w:hint="eastAsia" w:ascii="仿宋_GB2312" w:hAnsi="宋体" w:eastAsia="仿宋_GB2312" w:cs="仿宋_GB2312"/>
          <w:color w:val="000000"/>
          <w:kern w:val="0"/>
          <w:sz w:val="32"/>
          <w:szCs w:val="32"/>
          <w:shd w:val="clear" w:color="auto" w:fill="FFFFFF"/>
          <w:lang w:bidi="ar"/>
        </w:rPr>
        <w:t>主要用于：保障下属事业单位正常运转的基本支出，包括基本工资、津贴补贴等人员经费以及办公费、印刷费、水电费等日常公用经费，实施养老保险制度后，部门按规定由单位缴纳的基本养老保险费支出、职业年金支出、机关及参公管理事业单位基本医疗保险缴费支出、部门按人力资源和社会保障部、财政部规定的基本工资和津贴补贴以及规定比例为职工缴纳的住房公积金支出。</w:t>
      </w:r>
      <w:r>
        <w:rPr>
          <w:rFonts w:hint="eastAsia" w:ascii="Times New Roman" w:hAnsi="Times New Roman" w:eastAsia="仿宋_GB2312"/>
          <w:sz w:val="32"/>
          <w:szCs w:val="32"/>
        </w:rPr>
        <w:t>。</w:t>
      </w:r>
    </w:p>
    <w:p>
      <w:pPr>
        <w:widowControl/>
        <w:shd w:val="clear" w:color="auto" w:fill="FFFFFF"/>
        <w:spacing w:line="420" w:lineRule="atLeast"/>
        <w:ind w:firstLine="640"/>
        <w:jc w:val="left"/>
        <w:rPr>
          <w:rFonts w:hint="eastAsia" w:ascii="仿宋_GB2312" w:hAnsi="宋体" w:eastAsia="仿宋_GB2312" w:cs="仿宋_GB2312"/>
          <w:color w:val="000000"/>
          <w:kern w:val="0"/>
          <w:sz w:val="32"/>
          <w:szCs w:val="32"/>
          <w:shd w:val="clear" w:color="auto" w:fill="FFFFFF"/>
          <w:lang w:bidi="ar"/>
        </w:rPr>
      </w:pPr>
      <w:r>
        <w:rPr>
          <w:rFonts w:hint="eastAsia" w:ascii="Times New Roman" w:hAnsi="Times New Roman" w:eastAsia="仿宋_GB2312"/>
          <w:sz w:val="32"/>
          <w:szCs w:val="32"/>
        </w:rPr>
        <w:t>3.</w:t>
      </w:r>
      <w:r>
        <w:rPr>
          <w:rFonts w:hint="eastAsia" w:ascii="仿宋_GB2312" w:hAnsi="宋体" w:eastAsia="仿宋_GB2312" w:cs="仿宋_GB2312"/>
          <w:color w:val="000000"/>
          <w:kern w:val="0"/>
          <w:sz w:val="32"/>
          <w:szCs w:val="32"/>
          <w:shd w:val="clear" w:color="auto" w:fill="FFFFFF"/>
          <w:lang w:bidi="ar"/>
        </w:rPr>
        <w:t>一般公共服务（类）统战事务（款）宗教事务（项）：2024年预算数为86.14万元，主要用于：委机关开展宗教事务管理工作方面的专项业务支出。</w:t>
      </w:r>
    </w:p>
    <w:p>
      <w:pPr>
        <w:widowControl/>
        <w:shd w:val="clear" w:color="auto" w:fill="FFFFFF"/>
        <w:spacing w:line="420" w:lineRule="atLeast"/>
        <w:ind w:firstLine="640"/>
        <w:jc w:val="left"/>
        <w:rPr>
          <w:rFonts w:hint="eastAsia" w:ascii="仿宋_GB2312" w:hAnsi="宋体" w:eastAsia="仿宋_GB2312" w:cs="仿宋_GB2312"/>
          <w:color w:val="000000"/>
          <w:kern w:val="0"/>
          <w:sz w:val="32"/>
          <w:szCs w:val="32"/>
          <w:shd w:val="clear" w:color="auto" w:fill="FFFFFF"/>
          <w:lang w:bidi="ar"/>
        </w:rPr>
      </w:pPr>
      <w:r>
        <w:rPr>
          <w:rFonts w:hint="eastAsia" w:ascii="仿宋_GB2312" w:hAnsi="宋体" w:eastAsia="仿宋_GB2312" w:cs="仿宋_GB2312"/>
          <w:color w:val="000000"/>
          <w:kern w:val="0"/>
          <w:sz w:val="32"/>
          <w:szCs w:val="32"/>
          <w:shd w:val="clear" w:color="auto" w:fill="FFFFFF"/>
          <w:lang w:bidi="ar"/>
        </w:rPr>
        <w:t>4.社会保障和就业支出（类）行政事业单位养老支出（款）机关事业单位基本养老保险缴费支出（项）：2024年预算数为50.27万元，主要用于指机关事业单位实施养老保险制度由单位缴纳的基本养老保险费支出。</w:t>
      </w:r>
    </w:p>
    <w:p>
      <w:pPr>
        <w:pStyle w:val="14"/>
        <w:numPr>
          <w:ilvl w:val="0"/>
          <w:numId w:val="0"/>
        </w:numPr>
        <w:ind w:right="210" w:firstLine="640" w:firstLineChars="200"/>
        <w:rPr>
          <w:rFonts w:hint="eastAsia" w:ascii="Times New Roman" w:hAnsi="Times New Roman" w:eastAsia="仿宋_GB2312"/>
        </w:rPr>
      </w:pPr>
      <w:r>
        <w:rPr>
          <w:rFonts w:hint="eastAsia" w:ascii="仿宋_GB2312" w:hAnsi="宋体" w:eastAsia="仿宋_GB2312" w:cs="仿宋_GB2312"/>
          <w:color w:val="000000"/>
          <w:kern w:val="0"/>
          <w:shd w:val="clear" w:color="auto" w:fill="FFFFFF"/>
          <w:lang w:bidi="ar"/>
        </w:rPr>
        <w:t>5.</w:t>
      </w:r>
      <w:r>
        <w:rPr>
          <w:rFonts w:hint="eastAsia"/>
        </w:rPr>
        <w:t>社会保障和就业支出（类）行政事业单位养老支出（款）机关事业单位职业年金缴费支出（项）：</w:t>
      </w:r>
      <w:r>
        <w:rPr>
          <w:rFonts w:hint="eastAsia" w:ascii="仿宋_GB2312" w:hAnsi="宋体" w:eastAsia="仿宋_GB2312" w:cs="仿宋_GB2312"/>
          <w:color w:val="000000"/>
          <w:kern w:val="0"/>
          <w:shd w:val="clear" w:color="auto" w:fill="FFFFFF"/>
          <w:lang w:bidi="ar"/>
        </w:rPr>
        <w:t>2024年预算数为25.13万元，</w:t>
      </w:r>
      <w:r>
        <w:rPr>
          <w:rFonts w:hint="eastAsia" w:ascii="Times New Roman" w:hAnsi="Times New Roman" w:eastAsia="仿宋_GB2312"/>
        </w:rPr>
        <w:t>主要用于机关事业</w:t>
      </w:r>
      <w:r>
        <w:rPr>
          <w:rFonts w:ascii="Times New Roman" w:hAnsi="Times New Roman" w:eastAsia="仿宋_GB2312"/>
        </w:rPr>
        <w:t>单位实施养老保险制度由单位</w:t>
      </w:r>
      <w:r>
        <w:rPr>
          <w:rFonts w:hint="eastAsia" w:ascii="Times New Roman" w:hAnsi="Times New Roman" w:eastAsia="仿宋_GB2312"/>
        </w:rPr>
        <w:t>实际</w:t>
      </w:r>
      <w:r>
        <w:rPr>
          <w:rFonts w:ascii="Times New Roman" w:hAnsi="Times New Roman" w:eastAsia="仿宋_GB2312"/>
        </w:rPr>
        <w:t>缴纳的职业年金支出（</w:t>
      </w:r>
      <w:r>
        <w:rPr>
          <w:rFonts w:hint="eastAsia" w:ascii="Times New Roman" w:hAnsi="Times New Roman" w:eastAsia="仿宋_GB2312"/>
        </w:rPr>
        <w:t>含</w:t>
      </w:r>
      <w:r>
        <w:rPr>
          <w:rFonts w:ascii="Times New Roman" w:hAnsi="Times New Roman" w:eastAsia="仿宋_GB2312"/>
        </w:rPr>
        <w:t>职业年金补</w:t>
      </w:r>
      <w:r>
        <w:rPr>
          <w:rFonts w:hint="eastAsia" w:ascii="Times New Roman" w:hAnsi="Times New Roman" w:eastAsia="仿宋_GB2312"/>
        </w:rPr>
        <w:t>记</w:t>
      </w:r>
      <w:r>
        <w:rPr>
          <w:rFonts w:ascii="Times New Roman" w:hAnsi="Times New Roman" w:eastAsia="仿宋_GB2312"/>
        </w:rPr>
        <w:t>支出）</w:t>
      </w:r>
      <w:r>
        <w:rPr>
          <w:rFonts w:hint="eastAsia" w:ascii="Times New Roman" w:hAnsi="Times New Roman" w:eastAsia="仿宋_GB2312"/>
        </w:rPr>
        <w:t>。</w:t>
      </w:r>
    </w:p>
    <w:p>
      <w:pPr>
        <w:pStyle w:val="14"/>
        <w:numPr>
          <w:ilvl w:val="0"/>
          <w:numId w:val="0"/>
        </w:numPr>
        <w:ind w:right="210" w:firstLine="640" w:firstLineChars="200"/>
        <w:rPr>
          <w:rFonts w:hint="eastAsia" w:ascii="Times New Roman" w:hAnsi="Times New Roman" w:eastAsia="仿宋_GB2312"/>
        </w:rPr>
      </w:pPr>
      <w:r>
        <w:rPr>
          <w:rFonts w:hint="eastAsia"/>
        </w:rPr>
        <w:t>6.社会保障和就业支出（类）其他社会保障和就业支出（款）其他社会保障和就业支出（项）：</w:t>
      </w:r>
      <w:r>
        <w:rPr>
          <w:rFonts w:hint="eastAsia" w:ascii="仿宋_GB2312" w:hAnsi="宋体" w:eastAsia="仿宋_GB2312" w:cs="仿宋_GB2312"/>
          <w:color w:val="000000"/>
          <w:kern w:val="0"/>
          <w:shd w:val="clear" w:color="auto" w:fill="FFFFFF"/>
          <w:lang w:bidi="ar"/>
        </w:rPr>
        <w:t>2024年预算数为3.71万元，</w:t>
      </w:r>
      <w:r>
        <w:rPr>
          <w:rFonts w:hint="eastAsia" w:ascii="Times New Roman" w:hAnsi="Times New Roman" w:eastAsia="仿宋_GB2312"/>
        </w:rPr>
        <w:t>主要用于除上述项目以外其他</w:t>
      </w:r>
      <w:r>
        <w:rPr>
          <w:rFonts w:ascii="Times New Roman" w:hAnsi="Times New Roman" w:eastAsia="仿宋_GB2312"/>
        </w:rPr>
        <w:t>用于社会保障和就业方面的支出</w:t>
      </w:r>
      <w:r>
        <w:rPr>
          <w:rFonts w:hint="eastAsia" w:ascii="Times New Roman" w:hAnsi="Times New Roman" w:eastAsia="仿宋_GB2312"/>
        </w:rPr>
        <w:t>。</w:t>
      </w:r>
    </w:p>
    <w:p>
      <w:pPr>
        <w:pStyle w:val="14"/>
        <w:numPr>
          <w:ilvl w:val="0"/>
          <w:numId w:val="0"/>
        </w:numPr>
        <w:ind w:right="210" w:firstLine="640" w:firstLineChars="200"/>
        <w:rPr>
          <w:rFonts w:hint="eastAsia" w:ascii="Times New Roman" w:hAnsi="Times New Roman" w:eastAsia="仿宋_GB2312"/>
        </w:rPr>
      </w:pPr>
      <w:r>
        <w:rPr>
          <w:rFonts w:hint="eastAsia"/>
        </w:rPr>
        <w:t>7.卫生健康</w:t>
      </w:r>
      <w:r>
        <w:t>支出</w:t>
      </w:r>
      <w:r>
        <w:rPr>
          <w:rFonts w:hint="eastAsia"/>
        </w:rPr>
        <w:t>（类）行政事业单位医疗（款）行政单位医疗（项）：</w:t>
      </w:r>
      <w:r>
        <w:rPr>
          <w:rFonts w:hint="eastAsia" w:ascii="仿宋_GB2312" w:hAnsi="宋体" w:eastAsia="仿宋_GB2312" w:cs="仿宋_GB2312"/>
          <w:color w:val="000000"/>
          <w:kern w:val="0"/>
          <w:shd w:val="clear" w:color="auto" w:fill="FFFFFF"/>
          <w:lang w:bidi="ar"/>
        </w:rPr>
        <w:t>2024年预算数为12.45万元，主要用于</w:t>
      </w:r>
      <w:r>
        <w:rPr>
          <w:rFonts w:hint="eastAsia" w:ascii="Times New Roman" w:hAnsi="Times New Roman" w:eastAsia="仿宋_GB2312"/>
        </w:rPr>
        <w:t>财政</w:t>
      </w:r>
      <w:r>
        <w:rPr>
          <w:rFonts w:ascii="Times New Roman" w:hAnsi="Times New Roman" w:eastAsia="仿宋_GB2312"/>
        </w:rPr>
        <w:t>部门安排的</w:t>
      </w:r>
      <w:r>
        <w:rPr>
          <w:rFonts w:hint="eastAsia" w:ascii="Times New Roman" w:hAnsi="Times New Roman" w:eastAsia="仿宋_GB2312"/>
        </w:rPr>
        <w:t>行政单位（包括</w:t>
      </w:r>
      <w:r>
        <w:rPr>
          <w:rFonts w:ascii="Times New Roman" w:hAnsi="Times New Roman" w:eastAsia="仿宋_GB2312"/>
        </w:rPr>
        <w:t>实行公务员</w:t>
      </w:r>
      <w:r>
        <w:rPr>
          <w:rFonts w:hint="eastAsia" w:ascii="Times New Roman" w:hAnsi="Times New Roman" w:eastAsia="仿宋_GB2312"/>
        </w:rPr>
        <w:t>管理</w:t>
      </w:r>
      <w:r>
        <w:rPr>
          <w:rFonts w:ascii="Times New Roman" w:hAnsi="Times New Roman" w:eastAsia="仿宋_GB2312"/>
        </w:rPr>
        <w:t>的事业单位</w:t>
      </w:r>
      <w:r>
        <w:rPr>
          <w:rFonts w:hint="eastAsia" w:ascii="Times New Roman" w:hAnsi="Times New Roman" w:eastAsia="仿宋_GB2312"/>
        </w:rPr>
        <w:t>）基本</w:t>
      </w:r>
      <w:r>
        <w:rPr>
          <w:rFonts w:ascii="Times New Roman" w:hAnsi="Times New Roman" w:eastAsia="仿宋_GB2312"/>
        </w:rPr>
        <w:t>医疗保险缴费经费</w:t>
      </w:r>
      <w:r>
        <w:rPr>
          <w:rFonts w:hint="eastAsia" w:ascii="Times New Roman" w:hAnsi="Times New Roman" w:eastAsia="仿宋_GB2312"/>
        </w:rPr>
        <w:t>。</w:t>
      </w:r>
    </w:p>
    <w:p>
      <w:pPr>
        <w:pStyle w:val="14"/>
        <w:numPr>
          <w:ilvl w:val="0"/>
          <w:numId w:val="0"/>
        </w:numPr>
        <w:ind w:right="210" w:firstLine="640" w:firstLineChars="200"/>
        <w:rPr>
          <w:rFonts w:hint="eastAsia" w:ascii="Times New Roman" w:hAnsi="Times New Roman" w:eastAsia="仿宋_GB2312"/>
        </w:rPr>
      </w:pPr>
      <w:r>
        <w:rPr>
          <w:rFonts w:hint="eastAsia"/>
        </w:rPr>
        <w:t>8.卫生健康</w:t>
      </w:r>
      <w:r>
        <w:t>支出</w:t>
      </w:r>
      <w:r>
        <w:rPr>
          <w:rFonts w:hint="eastAsia"/>
        </w:rPr>
        <w:t>（类）行政事业单位医疗（款）事业单位医疗（项）：</w:t>
      </w:r>
      <w:r>
        <w:rPr>
          <w:rFonts w:hint="eastAsia" w:ascii="仿宋_GB2312" w:hAnsi="宋体" w:eastAsia="仿宋_GB2312" w:cs="仿宋_GB2312"/>
          <w:color w:val="000000"/>
          <w:kern w:val="0"/>
          <w:shd w:val="clear" w:color="auto" w:fill="FFFFFF"/>
          <w:lang w:bidi="ar"/>
        </w:rPr>
        <w:t>2024年预算数为0.47万元，主要用于</w:t>
      </w:r>
      <w:r>
        <w:rPr>
          <w:rFonts w:hint="eastAsia" w:ascii="Times New Roman" w:hAnsi="Times New Roman" w:eastAsia="仿宋_GB2312"/>
        </w:rPr>
        <w:t>财政部门</w:t>
      </w:r>
      <w:r>
        <w:rPr>
          <w:rFonts w:ascii="Times New Roman" w:hAnsi="Times New Roman" w:eastAsia="仿宋_GB2312"/>
        </w:rPr>
        <w:t>安排的事业单位基本医疗保险缴费经费</w:t>
      </w:r>
      <w:r>
        <w:rPr>
          <w:rFonts w:hint="eastAsia" w:ascii="Times New Roman" w:hAnsi="Times New Roman" w:eastAsia="仿宋_GB2312"/>
        </w:rPr>
        <w:t>。</w:t>
      </w:r>
    </w:p>
    <w:p>
      <w:pPr>
        <w:pStyle w:val="14"/>
        <w:numPr>
          <w:ilvl w:val="0"/>
          <w:numId w:val="0"/>
        </w:numPr>
        <w:ind w:right="210" w:firstLine="640" w:firstLineChars="200"/>
        <w:rPr>
          <w:rFonts w:hint="eastAsia"/>
        </w:rPr>
      </w:pPr>
      <w:r>
        <w:rPr>
          <w:rFonts w:hint="eastAsia"/>
        </w:rPr>
        <w:t>9.卫生健康</w:t>
      </w:r>
      <w:r>
        <w:t>支出</w:t>
      </w:r>
      <w:r>
        <w:rPr>
          <w:rFonts w:hint="eastAsia"/>
        </w:rPr>
        <w:t>（类）行政事业单位医疗（款）公务员医疗补助（项）：</w:t>
      </w:r>
      <w:r>
        <w:rPr>
          <w:rFonts w:hint="eastAsia" w:ascii="仿宋_GB2312" w:hAnsi="宋体" w:eastAsia="仿宋_GB2312" w:cs="仿宋_GB2312"/>
          <w:color w:val="000000"/>
          <w:kern w:val="0"/>
          <w:shd w:val="clear" w:color="auto" w:fill="FFFFFF"/>
          <w:lang w:bidi="ar"/>
        </w:rPr>
        <w:t>2024年预算数为2.7万元，主要用于</w:t>
      </w:r>
      <w:r>
        <w:rPr>
          <w:rFonts w:hint="eastAsia" w:ascii="Times New Roman" w:hAnsi="Times New Roman" w:eastAsia="仿宋_GB2312"/>
        </w:rPr>
        <w:t>财政部门</w:t>
      </w:r>
      <w:r>
        <w:rPr>
          <w:rFonts w:ascii="Times New Roman" w:hAnsi="Times New Roman" w:eastAsia="仿宋_GB2312"/>
        </w:rPr>
        <w:t>安排的公务员医疗补助经费</w:t>
      </w:r>
      <w:r>
        <w:rPr>
          <w:rFonts w:hint="eastAsia" w:ascii="Times New Roman" w:hAnsi="Times New Roman" w:eastAsia="仿宋_GB2312"/>
        </w:rPr>
        <w:t>。</w:t>
      </w:r>
    </w:p>
    <w:p>
      <w:pPr>
        <w:pStyle w:val="14"/>
        <w:numPr>
          <w:ilvl w:val="0"/>
          <w:numId w:val="0"/>
        </w:numPr>
        <w:ind w:right="210" w:firstLine="640" w:firstLineChars="200"/>
        <w:rPr>
          <w:rFonts w:ascii="Times New Roman" w:hAnsi="Times New Roman" w:eastAsia="仿宋_GB2312"/>
        </w:rPr>
      </w:pPr>
      <w:r>
        <w:rPr>
          <w:rFonts w:hint="eastAsia"/>
        </w:rPr>
        <w:t>10.住房保障支出（类）住房改革支出（款）住房公积金（项）：</w:t>
      </w:r>
      <w:r>
        <w:rPr>
          <w:rFonts w:hint="eastAsia" w:ascii="仿宋_GB2312" w:hAnsi="宋体" w:eastAsia="仿宋_GB2312" w:cs="仿宋_GB2312"/>
          <w:color w:val="000000"/>
          <w:kern w:val="0"/>
          <w:shd w:val="clear" w:color="auto" w:fill="FFFFFF"/>
          <w:lang w:bidi="ar"/>
        </w:rPr>
        <w:t>2024年预算数为42.24万元，主要用于</w:t>
      </w:r>
      <w:r>
        <w:rPr>
          <w:rFonts w:hint="eastAsia" w:ascii="Times New Roman" w:hAnsi="Times New Roman" w:eastAsia="仿宋_GB2312"/>
        </w:rPr>
        <w:t>行政事业</w:t>
      </w:r>
      <w:r>
        <w:rPr>
          <w:rFonts w:ascii="Times New Roman" w:hAnsi="Times New Roman" w:eastAsia="仿宋_GB2312"/>
        </w:rPr>
        <w:t>单位按人力资源和社会保障部、财政部规定的基本工资和津贴补贴以及规定比例为职工缴纳的住房公积金</w:t>
      </w:r>
      <w:r>
        <w:rPr>
          <w:rFonts w:hint="eastAsia" w:ascii="Times New Roman" w:hAnsi="Times New Roman" w:eastAsia="仿宋_GB2312"/>
        </w:rPr>
        <w:t>。</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四、一般公共预算基本支出情况说明</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市民族宗教委202</w:t>
      </w:r>
      <w:r>
        <w:rPr>
          <w:rFonts w:ascii="Times New Roman" w:hAnsi="Times New Roman" w:eastAsia="仿宋_GB2312"/>
          <w:sz w:val="32"/>
          <w:szCs w:val="32"/>
        </w:rPr>
        <w:t>4</w:t>
      </w:r>
      <w:r>
        <w:rPr>
          <w:rFonts w:hint="eastAsia" w:ascii="Times New Roman" w:hAnsi="Times New Roman" w:eastAsia="仿宋_GB2312"/>
          <w:sz w:val="32"/>
          <w:szCs w:val="32"/>
        </w:rPr>
        <w:t>年一般公共预算基本支出604.62万元，其中：</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人员经费463.6万元，主要包括：基本工资、津贴补贴、奖金、社会保险缴费、 年终一次性奖金、绩效工资、  机关事业单位基本养老保险缴费、 职业年金缴费、职工基本医疗保险缴费、 工伤保险、失业保险、残疾人就业保障金、住房公积金、其他工资福利支出、直接聘用人员经费、事业平时绩效工资、行政基础绩效奖。</w:t>
      </w:r>
    </w:p>
    <w:p>
      <w:pPr>
        <w:spacing w:line="580" w:lineRule="exact"/>
        <w:ind w:firstLine="640" w:firstLineChars="200"/>
        <w:rPr>
          <w:rFonts w:hint="eastAsia" w:ascii="Times New Roman" w:hAnsi="Times New Roman" w:eastAsia="仿宋_GB2312"/>
          <w:sz w:val="32"/>
          <w:szCs w:val="32"/>
          <w:u w:val="single"/>
        </w:rPr>
      </w:pPr>
      <w:r>
        <w:rPr>
          <w:rFonts w:hint="eastAsia" w:ascii="Times New Roman" w:hAnsi="Times New Roman" w:eastAsia="仿宋_GB2312"/>
          <w:sz w:val="32"/>
          <w:szCs w:val="32"/>
        </w:rPr>
        <w:t>公用经费141.02万元，主要包括：办公费、印刷费、咨询费、手续费、水费、电费、差旅费、维修、会议费、公务接待费、劳务费、委托业务费、工会经费、福利费、公车运行维护费、其他交通费、其他商品和服务支出、其他对个人和家庭的补助。</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五、“三公”经费财政拨款预算安排情况说明</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市民族宗教委202</w:t>
      </w:r>
      <w:r>
        <w:rPr>
          <w:rFonts w:ascii="Times New Roman" w:hAnsi="Times New Roman" w:eastAsia="仿宋_GB2312"/>
          <w:sz w:val="32"/>
          <w:szCs w:val="32"/>
        </w:rPr>
        <w:t>4</w:t>
      </w:r>
      <w:r>
        <w:rPr>
          <w:rFonts w:hint="eastAsia" w:ascii="Times New Roman" w:hAnsi="Times New Roman" w:eastAsia="仿宋_GB2312"/>
          <w:sz w:val="32"/>
          <w:szCs w:val="32"/>
        </w:rPr>
        <w:t>年“三公”经费财政拨款预算数7.3万元，其中：公务接待费3.5万元，公务用车购置及运行维护费3.8万元。202</w:t>
      </w:r>
      <w:r>
        <w:rPr>
          <w:rFonts w:ascii="Times New Roman" w:hAnsi="Times New Roman" w:eastAsia="仿宋_GB2312"/>
          <w:sz w:val="32"/>
          <w:szCs w:val="32"/>
        </w:rPr>
        <w:t>4</w:t>
      </w:r>
      <w:r>
        <w:rPr>
          <w:rFonts w:hint="eastAsia" w:ascii="Times New Roman" w:hAnsi="Times New Roman" w:eastAsia="仿宋_GB2312"/>
          <w:sz w:val="32"/>
          <w:szCs w:val="32"/>
        </w:rPr>
        <w:t>年市级年初部门预算暂不编列因公出国（境）经费。执行中，市级部门确需执行出国（境）任务和计划的，按照“一事一议”的方式按程序报批后安排经费。</w:t>
      </w:r>
    </w:p>
    <w:p>
      <w:pPr>
        <w:numPr>
          <w:ilvl w:val="0"/>
          <w:numId w:val="2"/>
        </w:numPr>
        <w:spacing w:line="580" w:lineRule="exact"/>
        <w:ind w:firstLine="640"/>
        <w:rPr>
          <w:rFonts w:hint="eastAsia" w:ascii="Times New Roman" w:hAnsi="Times New Roman" w:eastAsia="楷体_GB2312"/>
          <w:b/>
          <w:sz w:val="32"/>
          <w:szCs w:val="32"/>
          <w:u w:val="single"/>
        </w:rPr>
      </w:pPr>
      <w:r>
        <w:rPr>
          <w:rFonts w:hint="eastAsia" w:ascii="Times New Roman" w:hAnsi="Times New Roman" w:eastAsia="楷体_GB2312"/>
          <w:b/>
          <w:sz w:val="32"/>
          <w:szCs w:val="32"/>
        </w:rPr>
        <w:t>公务接待费与202</w:t>
      </w:r>
      <w:r>
        <w:rPr>
          <w:rFonts w:ascii="Times New Roman" w:hAnsi="Times New Roman" w:eastAsia="楷体_GB2312"/>
          <w:b/>
          <w:sz w:val="32"/>
          <w:szCs w:val="32"/>
        </w:rPr>
        <w:t>3</w:t>
      </w:r>
      <w:r>
        <w:rPr>
          <w:rFonts w:hint="eastAsia" w:ascii="Times New Roman" w:hAnsi="Times New Roman" w:eastAsia="楷体_GB2312"/>
          <w:b/>
          <w:sz w:val="32"/>
          <w:szCs w:val="32"/>
        </w:rPr>
        <w:t>年预算持平。</w:t>
      </w:r>
    </w:p>
    <w:p>
      <w:pPr>
        <w:spacing w:line="580" w:lineRule="exact"/>
        <w:ind w:firstLine="64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年公务接待费计划用于接待上级主管部门和其他市州相关部门来乐调研、检查、考察等业务活动开支产生的用餐费用。</w:t>
      </w:r>
    </w:p>
    <w:p>
      <w:pPr>
        <w:spacing w:line="580" w:lineRule="exact"/>
        <w:ind w:firstLine="640"/>
        <w:rPr>
          <w:rFonts w:hint="eastAsia" w:ascii="Times New Roman" w:hAnsi="Times New Roman" w:eastAsia="黑体"/>
          <w:b/>
          <w:sz w:val="32"/>
          <w:szCs w:val="32"/>
        </w:rPr>
      </w:pPr>
      <w:r>
        <w:rPr>
          <w:rFonts w:hint="eastAsia" w:ascii="Times New Roman" w:hAnsi="Times New Roman" w:eastAsia="楷体_GB2312"/>
          <w:b/>
          <w:sz w:val="32"/>
          <w:szCs w:val="32"/>
        </w:rPr>
        <w:t>（二）公务用车购置及运行维护费与202</w:t>
      </w:r>
      <w:r>
        <w:rPr>
          <w:rFonts w:ascii="Times New Roman" w:hAnsi="Times New Roman" w:eastAsia="楷体_GB2312"/>
          <w:b/>
          <w:sz w:val="32"/>
          <w:szCs w:val="32"/>
        </w:rPr>
        <w:t>3</w:t>
      </w:r>
      <w:r>
        <w:rPr>
          <w:rFonts w:hint="eastAsia" w:ascii="Times New Roman" w:hAnsi="Times New Roman" w:eastAsia="楷体_GB2312"/>
          <w:b/>
          <w:sz w:val="32"/>
          <w:szCs w:val="32"/>
        </w:rPr>
        <w:t>年预算持平。</w:t>
      </w:r>
    </w:p>
    <w:p>
      <w:pPr>
        <w:spacing w:line="580" w:lineRule="exact"/>
        <w:ind w:firstLine="640"/>
        <w:rPr>
          <w:rFonts w:hint="eastAsia" w:ascii="Times New Roman" w:hAnsi="Times New Roman" w:eastAsia="仿宋_GB2312"/>
          <w:sz w:val="32"/>
          <w:szCs w:val="32"/>
        </w:rPr>
      </w:pPr>
      <w:r>
        <w:rPr>
          <w:rFonts w:hint="eastAsia" w:ascii="Times New Roman" w:hAnsi="Times New Roman" w:eastAsia="仿宋_GB2312"/>
          <w:sz w:val="32"/>
          <w:szCs w:val="32"/>
        </w:rPr>
        <w:t>单位现有公务用车1辆，其中：轿车1辆，旅行车（含商务车）0辆，越野车0辆，大型客、货车0辆。</w:t>
      </w:r>
    </w:p>
    <w:p>
      <w:pPr>
        <w:spacing w:line="580" w:lineRule="exact"/>
        <w:ind w:firstLine="64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年安排公务用车购置费0万元，拟购置公务用车0辆，其中：轿车0辆，旅行车（含商务车）0辆，越野车0辆，大型客、货车0辆。</w:t>
      </w:r>
    </w:p>
    <w:p>
      <w:pPr>
        <w:spacing w:line="580" w:lineRule="exact"/>
        <w:ind w:firstLine="64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年安排公务用车运行维护费3.8万元，用于1辆公务用车燃油、维修、保险等方面支出，主要保障机关民族宗教业务工作开展。</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六、政府性基金预算支出情况说明</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市民族宗教委202</w:t>
      </w:r>
      <w:r>
        <w:rPr>
          <w:rFonts w:ascii="Times New Roman" w:hAnsi="Times New Roman" w:eastAsia="仿宋_GB2312"/>
          <w:sz w:val="32"/>
          <w:szCs w:val="32"/>
        </w:rPr>
        <w:t>4</w:t>
      </w:r>
      <w:r>
        <w:rPr>
          <w:rFonts w:hint="eastAsia" w:ascii="Times New Roman" w:hAnsi="Times New Roman" w:eastAsia="仿宋_GB2312"/>
          <w:sz w:val="32"/>
          <w:szCs w:val="32"/>
        </w:rPr>
        <w:t>年没有使用政府性基金预算拨款安排的支出。</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七、国有资本经营预算情况说明</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市民族宗教委202</w:t>
      </w:r>
      <w:r>
        <w:rPr>
          <w:rFonts w:ascii="Times New Roman" w:hAnsi="Times New Roman" w:eastAsia="仿宋_GB2312"/>
          <w:sz w:val="32"/>
          <w:szCs w:val="32"/>
        </w:rPr>
        <w:t>4</w:t>
      </w:r>
      <w:r>
        <w:rPr>
          <w:rFonts w:hint="eastAsia" w:ascii="Times New Roman" w:hAnsi="Times New Roman" w:eastAsia="仿宋_GB2312"/>
          <w:sz w:val="32"/>
          <w:szCs w:val="32"/>
        </w:rPr>
        <w:t>年没有使用国有资本经营预算拨款安排的支出。</w:t>
      </w:r>
    </w:p>
    <w:p>
      <w:pPr>
        <w:spacing w:line="580" w:lineRule="exact"/>
        <w:ind w:firstLine="640" w:firstLineChars="200"/>
        <w:outlineLvl w:val="1"/>
        <w:rPr>
          <w:rFonts w:hint="eastAsia" w:ascii="Times New Roman" w:hAnsi="Times New Roman" w:eastAsia="黑体"/>
          <w:sz w:val="32"/>
          <w:szCs w:val="32"/>
        </w:rPr>
      </w:pPr>
      <w:r>
        <w:rPr>
          <w:rFonts w:hint="eastAsia" w:ascii="Times New Roman" w:hAnsi="Times New Roman" w:eastAsia="黑体"/>
          <w:sz w:val="32"/>
          <w:szCs w:val="32"/>
        </w:rPr>
        <w:t>八、其他重要事项的情况说明</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（一）机关运行经费情况</w:t>
      </w:r>
    </w:p>
    <w:p>
      <w:pPr>
        <w:spacing w:line="580" w:lineRule="exact"/>
        <w:ind w:firstLine="640"/>
        <w:rPr>
          <w:rFonts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年，市民族宗教委的机关运行经费财政拨款预算为141.02万元，比202</w:t>
      </w:r>
      <w:r>
        <w:rPr>
          <w:rFonts w:ascii="Times New Roman" w:hAnsi="Times New Roman" w:eastAsia="仿宋_GB2312"/>
          <w:sz w:val="32"/>
          <w:szCs w:val="32"/>
        </w:rPr>
        <w:t>3</w:t>
      </w:r>
      <w:r>
        <w:rPr>
          <w:rFonts w:hint="eastAsia" w:ascii="Times New Roman" w:hAnsi="Times New Roman" w:eastAsia="仿宋_GB2312"/>
          <w:sz w:val="32"/>
          <w:szCs w:val="32"/>
        </w:rPr>
        <w:t>年预算减少6.08万元，下降4%。主要原因是2023年在职人员比2024年多3人，所以机关运行经费比2024年多。</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（二）政府采购情况</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年，市民族宗教委安排政府采购预算3万元，其中，政府采购货物预算0万元；政府采购工程预算0万元；政府采购服务预算3万元。</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（三）国有资产占有使用情况</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截至202</w:t>
      </w:r>
      <w:r>
        <w:rPr>
          <w:rFonts w:ascii="Times New Roman" w:hAnsi="Times New Roman" w:eastAsia="仿宋_GB2312"/>
          <w:sz w:val="32"/>
          <w:szCs w:val="32"/>
        </w:rPr>
        <w:t>3</w:t>
      </w:r>
      <w:r>
        <w:rPr>
          <w:rFonts w:hint="eastAsia" w:ascii="Times New Roman" w:hAnsi="Times New Roman" w:eastAsia="仿宋_GB2312"/>
          <w:sz w:val="32"/>
          <w:szCs w:val="32"/>
        </w:rPr>
        <w:t>年底，市民族宗教委所属各预算单位共有车辆1辆，其中，市级领导干部用车0辆、定向保障用车1辆、执法执勤用车0辆。单位价值200万元以上大型设备0台。</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ascii="Times New Roman" w:hAnsi="Times New Roman" w:eastAsia="仿宋_GB2312"/>
          <w:sz w:val="32"/>
          <w:szCs w:val="32"/>
        </w:rPr>
        <w:t>4</w:t>
      </w:r>
      <w:r>
        <w:rPr>
          <w:rFonts w:hint="eastAsia" w:ascii="Times New Roman" w:hAnsi="Times New Roman" w:eastAsia="仿宋_GB2312"/>
          <w:sz w:val="32"/>
          <w:szCs w:val="32"/>
        </w:rPr>
        <w:t>年部门预算未安排购置车辆及单位价值200万元以上大型设备。</w:t>
      </w:r>
    </w:p>
    <w:p>
      <w:pPr>
        <w:spacing w:line="580" w:lineRule="exact"/>
        <w:ind w:firstLine="643" w:firstLineChars="200"/>
        <w:outlineLvl w:val="2"/>
        <w:rPr>
          <w:rFonts w:hint="eastAsia" w:ascii="Times New Roman" w:hAnsi="Times New Roman" w:eastAsia="楷体_GB2312"/>
          <w:b/>
          <w:sz w:val="32"/>
          <w:szCs w:val="32"/>
        </w:rPr>
      </w:pPr>
      <w:r>
        <w:rPr>
          <w:rFonts w:hint="eastAsia" w:ascii="Times New Roman" w:hAnsi="Times New Roman" w:eastAsia="楷体_GB2312"/>
          <w:b/>
          <w:sz w:val="32"/>
          <w:szCs w:val="32"/>
        </w:rPr>
        <w:t>（四）预算绩效情况</w:t>
      </w:r>
    </w:p>
    <w:p>
      <w:pPr>
        <w:spacing w:line="578"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w:t>
      </w:r>
      <w:r>
        <w:rPr>
          <w:rFonts w:ascii="Times New Roman" w:hAnsi="Times New Roman" w:eastAsia="仿宋_GB2312" w:cs="仿宋_GB2312"/>
          <w:sz w:val="32"/>
          <w:szCs w:val="32"/>
        </w:rPr>
        <w:t>4</w:t>
      </w:r>
      <w:r>
        <w:rPr>
          <w:rFonts w:hint="eastAsia" w:ascii="Times New Roman" w:hAnsi="Times New Roman" w:eastAsia="仿宋_GB2312" w:cs="仿宋_GB2312"/>
          <w:sz w:val="32"/>
          <w:szCs w:val="32"/>
        </w:rPr>
        <w:t>年</w:t>
      </w:r>
      <w:r>
        <w:rPr>
          <w:rFonts w:hint="eastAsia" w:ascii="Times New Roman" w:hAnsi="Times New Roman" w:eastAsia="仿宋_GB2312"/>
          <w:sz w:val="32"/>
          <w:szCs w:val="32"/>
        </w:rPr>
        <w:t>市民族宗教委</w:t>
      </w:r>
      <w:r>
        <w:rPr>
          <w:rFonts w:hint="eastAsia" w:ascii="Times New Roman" w:hAnsi="Times New Roman" w:eastAsia="仿宋_GB2312" w:cs="仿宋_GB2312"/>
          <w:sz w:val="32"/>
          <w:szCs w:val="32"/>
        </w:rPr>
        <w:t>开展绩效目标管理的项目4个，涉及预算86.14万元。其中：人员类项目0个，涉及预算0万元；运转类项目0个，涉及预算0万元；特定目标类项目4个，涉及预算86.14万元。</w:t>
      </w:r>
    </w:p>
    <w:p>
      <w:pPr>
        <w:pStyle w:val="5"/>
        <w:widowControl/>
        <w:spacing w:before="0" w:beforeAutospacing="0" w:after="0" w:afterAutospacing="0"/>
        <w:ind w:firstLine="640" w:firstLineChars="200"/>
        <w:jc w:val="both"/>
        <w:rPr>
          <w:rFonts w:hint="eastAsia" w:ascii="Times New Roman" w:hAnsi="Times New Roman" w:eastAsia="仿宋_GB2312" w:cs="仿宋_GB2312"/>
          <w:color w:val="333333"/>
          <w:sz w:val="32"/>
          <w:szCs w:val="32"/>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pStyle w:val="5"/>
        <w:widowControl/>
        <w:spacing w:before="0" w:beforeAutospacing="0" w:after="0" w:afterAutospacing="0"/>
        <w:jc w:val="center"/>
        <w:rPr>
          <w:rFonts w:hint="eastAsia" w:ascii="Times New Roman" w:hAnsi="Times New Roman" w:eastAsia="方正小标宋简体" w:cs="方正小标宋简体"/>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hint="eastAsia" w:ascii="Times New Roman" w:hAnsi="Times New Roman" w:eastAsia="方正小标宋简体" w:cs="方正小标宋简体"/>
          <w:kern w:val="0"/>
          <w:sz w:val="52"/>
          <w:szCs w:val="52"/>
          <w:lang w:bidi="ar"/>
        </w:rPr>
      </w:pPr>
    </w:p>
    <w:p>
      <w:pPr>
        <w:jc w:val="center"/>
        <w:outlineLvl w:val="0"/>
        <w:rPr>
          <w:rFonts w:ascii="Times New Roman" w:hAnsi="Times New Roman" w:eastAsia="方正小标宋简体" w:cs="方正小标宋简体"/>
          <w:kern w:val="0"/>
          <w:sz w:val="52"/>
          <w:szCs w:val="52"/>
          <w:lang w:bidi="ar"/>
        </w:rPr>
      </w:pPr>
      <w:r>
        <w:rPr>
          <w:rFonts w:hint="eastAsia" w:ascii="Times New Roman" w:hAnsi="Times New Roman" w:eastAsia="方正小标宋简体" w:cs="方正小标宋简体"/>
          <w:kern w:val="0"/>
          <w:sz w:val="52"/>
          <w:szCs w:val="52"/>
          <w:lang w:bidi="ar"/>
        </w:rPr>
        <w:t xml:space="preserve">第四部分  </w:t>
      </w:r>
      <w:r>
        <w:rPr>
          <w:rFonts w:ascii="Times New Roman" w:hAnsi="Times New Roman" w:eastAsia="方正小标宋简体" w:cs="方正小标宋简体"/>
          <w:kern w:val="0"/>
          <w:sz w:val="52"/>
          <w:szCs w:val="52"/>
          <w:lang w:bidi="ar"/>
        </w:rPr>
        <w:t>名词解释</w:t>
      </w:r>
    </w:p>
    <w:p>
      <w:pPr>
        <w:ind w:firstLine="640" w:firstLineChars="200"/>
        <w:rPr>
          <w:rFonts w:ascii="Times New Roman" w:hAnsi="Times New Roman" w:eastAsia="仿宋_GB2312"/>
          <w:sz w:val="32"/>
          <w:szCs w:val="32"/>
        </w:rPr>
        <w:sectPr>
          <w:footerReference r:id="rId13" w:type="default"/>
          <w:pgSz w:w="11906" w:h="16838"/>
          <w:pgMar w:top="1440" w:right="1800" w:bottom="1440" w:left="1800" w:header="720" w:footer="720" w:gutter="0"/>
          <w:pgNumType w:fmt="numberInDash"/>
          <w:cols w:space="720" w:num="1"/>
          <w:docGrid w:type="lines" w:linePitch="312" w:charSpace="0"/>
        </w:sectPr>
      </w:pPr>
    </w:p>
    <w:p>
      <w:pPr>
        <w:pStyle w:val="14"/>
        <w:ind w:left="210" w:right="210" w:firstLine="635"/>
        <w:rPr>
          <w:rFonts w:hint="eastAsia" w:ascii="Times New Roman" w:hAnsi="Times New Roman" w:eastAsia="仿宋_GB2312"/>
        </w:rPr>
      </w:pPr>
      <w:r>
        <w:rPr>
          <w:rFonts w:hint="eastAsia"/>
        </w:rPr>
        <w:t>财政拨款收入：</w:t>
      </w:r>
      <w:r>
        <w:rPr>
          <w:rFonts w:hint="eastAsia" w:ascii="Times New Roman" w:hAnsi="Times New Roman" w:eastAsia="仿宋_GB2312"/>
        </w:rPr>
        <w:t>指市级</w:t>
      </w:r>
      <w:r>
        <w:rPr>
          <w:rFonts w:ascii="Times New Roman" w:hAnsi="Times New Roman" w:eastAsia="仿宋_GB2312"/>
        </w:rPr>
        <w:t>财政当年拨付的资金</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事业收入：</w:t>
      </w:r>
      <w:r>
        <w:rPr>
          <w:rFonts w:hint="eastAsia" w:ascii="Times New Roman" w:hAnsi="Times New Roman" w:eastAsia="仿宋_GB2312"/>
        </w:rPr>
        <w:t>指事业单位开展专业业务活动及辅助活动所取得的收入。</w:t>
      </w:r>
    </w:p>
    <w:p>
      <w:pPr>
        <w:pStyle w:val="14"/>
        <w:ind w:left="210" w:right="210" w:firstLine="635"/>
        <w:rPr>
          <w:rFonts w:hint="eastAsia" w:ascii="Times New Roman" w:hAnsi="Times New Roman" w:eastAsia="仿宋_GB2312"/>
        </w:rPr>
      </w:pPr>
      <w:r>
        <w:rPr>
          <w:rFonts w:hint="eastAsia"/>
        </w:rPr>
        <w:t>事业单位经营收入：</w:t>
      </w:r>
      <w:r>
        <w:rPr>
          <w:rFonts w:hint="eastAsia" w:ascii="Times New Roman" w:hAnsi="Times New Roman" w:eastAsia="仿宋_GB2312"/>
        </w:rPr>
        <w:t>指事业单位在专业业务活动及其辅助活动之外开展非独立核算经营活动取得的收入。</w:t>
      </w:r>
    </w:p>
    <w:p>
      <w:pPr>
        <w:pStyle w:val="14"/>
        <w:ind w:left="210" w:right="210" w:firstLine="635"/>
        <w:rPr>
          <w:rFonts w:hint="eastAsia" w:ascii="Times New Roman" w:hAnsi="Times New Roman" w:eastAsia="仿宋_GB2312"/>
        </w:rPr>
      </w:pPr>
      <w:r>
        <w:rPr>
          <w:rFonts w:hint="eastAsia"/>
        </w:rPr>
        <w:t>其他收入：</w:t>
      </w:r>
      <w:r>
        <w:rPr>
          <w:rFonts w:hint="eastAsia" w:ascii="Times New Roman" w:hAnsi="Times New Roman" w:eastAsia="仿宋_GB2312"/>
        </w:rPr>
        <w:t>指除上述“一般公共预算拨款收入”、“事业收入”、“事业单位经营收入”等以外的收入。</w:t>
      </w:r>
    </w:p>
    <w:p>
      <w:pPr>
        <w:pStyle w:val="14"/>
        <w:ind w:left="210" w:right="210" w:firstLine="635"/>
        <w:rPr>
          <w:rFonts w:hint="eastAsia" w:ascii="Times New Roman" w:hAnsi="Times New Roman" w:eastAsia="仿宋_GB2312"/>
        </w:rPr>
      </w:pPr>
      <w:r>
        <w:rPr>
          <w:rFonts w:hint="eastAsia"/>
        </w:rPr>
        <w:t>上年结转：</w:t>
      </w:r>
      <w:r>
        <w:rPr>
          <w:rFonts w:hint="eastAsia" w:ascii="Times New Roman" w:hAnsi="Times New Roman" w:eastAsia="仿宋_GB2312"/>
        </w:rPr>
        <w:t>指以前年度安排、</w:t>
      </w:r>
      <w:r>
        <w:rPr>
          <w:rFonts w:ascii="Times New Roman" w:hAnsi="Times New Roman" w:eastAsia="仿宋_GB2312"/>
        </w:rPr>
        <w:t>结转到本年</w:t>
      </w:r>
      <w:r>
        <w:rPr>
          <w:rFonts w:hint="eastAsia" w:ascii="Times New Roman" w:hAnsi="Times New Roman" w:eastAsia="仿宋_GB2312"/>
        </w:rPr>
        <w:t>仍</w:t>
      </w:r>
      <w:r>
        <w:rPr>
          <w:rFonts w:ascii="Times New Roman" w:hAnsi="Times New Roman" w:eastAsia="仿宋_GB2312"/>
        </w:rPr>
        <w:t>按原规定用途继续使用的资金</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社会保障和就业支出（类）行政事业单位养老支出（款）事业单位离退休（项）：</w:t>
      </w:r>
      <w:r>
        <w:rPr>
          <w:rFonts w:hint="eastAsia" w:ascii="Times New Roman" w:hAnsi="Times New Roman" w:eastAsia="仿宋_GB2312"/>
        </w:rPr>
        <w:t>指事业单位开支</w:t>
      </w:r>
      <w:r>
        <w:rPr>
          <w:rFonts w:ascii="Times New Roman" w:hAnsi="Times New Roman" w:eastAsia="仿宋_GB2312"/>
        </w:rPr>
        <w:t>的离退休</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社会保障和就业支出（类）行政事业单位养老支出（款）行政单位</w:t>
      </w:r>
      <w:r>
        <w:t>离退休</w:t>
      </w:r>
      <w:r>
        <w:rPr>
          <w:rFonts w:hint="eastAsia"/>
        </w:rPr>
        <w:t>（项）：</w:t>
      </w:r>
      <w:r>
        <w:rPr>
          <w:rFonts w:hint="eastAsia" w:ascii="Times New Roman" w:hAnsi="Times New Roman" w:eastAsia="仿宋_GB2312"/>
        </w:rPr>
        <w:t>指行政单位</w:t>
      </w:r>
      <w:r>
        <w:rPr>
          <w:rFonts w:ascii="Times New Roman" w:hAnsi="Times New Roman" w:eastAsia="仿宋_GB2312"/>
        </w:rPr>
        <w:t>（</w:t>
      </w:r>
      <w:r>
        <w:rPr>
          <w:rFonts w:hint="eastAsia" w:ascii="Times New Roman" w:hAnsi="Times New Roman" w:eastAsia="仿宋_GB2312"/>
        </w:rPr>
        <w:t>包括</w:t>
      </w:r>
      <w:r>
        <w:rPr>
          <w:rFonts w:ascii="Times New Roman" w:hAnsi="Times New Roman" w:eastAsia="仿宋_GB2312"/>
        </w:rPr>
        <w:t>实行公务员管理的事业单位）</w:t>
      </w:r>
      <w:r>
        <w:rPr>
          <w:rFonts w:hint="eastAsia" w:ascii="Times New Roman" w:hAnsi="Times New Roman" w:eastAsia="仿宋_GB2312"/>
        </w:rPr>
        <w:t>开支</w:t>
      </w:r>
      <w:r>
        <w:rPr>
          <w:rFonts w:ascii="Times New Roman" w:hAnsi="Times New Roman" w:eastAsia="仿宋_GB2312"/>
        </w:rPr>
        <w:t>的离退休经费</w:t>
      </w:r>
      <w:r>
        <w:rPr>
          <w:rFonts w:hint="eastAsia" w:ascii="Times New Roman" w:hAnsi="Times New Roman" w:eastAsia="仿宋_GB2312"/>
        </w:rPr>
        <w:t>。</w:t>
      </w:r>
    </w:p>
    <w:p>
      <w:pPr>
        <w:pStyle w:val="14"/>
        <w:ind w:left="210" w:right="210" w:firstLine="635"/>
        <w:rPr>
          <w:rFonts w:hint="eastAsia"/>
        </w:rPr>
      </w:pPr>
      <w:r>
        <w:rPr>
          <w:rFonts w:hint="eastAsia"/>
        </w:rPr>
        <w:t>社会保障和就业支出（类）行政事业单位养老支出（款）机关事业单位基本养老保险缴费支出（项）：</w:t>
      </w:r>
      <w:r>
        <w:rPr>
          <w:rFonts w:hint="eastAsia" w:ascii="Times New Roman" w:hAnsi="Times New Roman" w:eastAsia="仿宋_GB2312"/>
        </w:rPr>
        <w:t>指机关事业</w:t>
      </w:r>
      <w:r>
        <w:rPr>
          <w:rFonts w:ascii="Times New Roman" w:hAnsi="Times New Roman" w:eastAsia="仿宋_GB2312"/>
        </w:rPr>
        <w:t>单位实施养老保险制度由单位缴纳的基本养老保险费支出</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sectPr>
          <w:footerReference r:id="rId14" w:type="default"/>
          <w:pgSz w:w="11906" w:h="16838"/>
          <w:pgMar w:top="1440" w:right="1800" w:bottom="1440" w:left="1800" w:header="720" w:footer="720" w:gutter="0"/>
          <w:pgNumType w:fmt="numberInDash" w:start="10"/>
          <w:cols w:space="720" w:num="1"/>
          <w:docGrid w:type="lines" w:linePitch="312" w:charSpace="0"/>
        </w:sectPr>
      </w:pPr>
      <w:r>
        <w:rPr>
          <w:rFonts w:hint="eastAsia"/>
        </w:rPr>
        <w:t>社会保障和就业支出（类）行政事业单位养老支出（款）机关事业单位职业年金缴费支出（项）：</w:t>
      </w:r>
      <w:r>
        <w:rPr>
          <w:rFonts w:hint="eastAsia" w:ascii="Times New Roman" w:hAnsi="Times New Roman" w:eastAsia="仿宋_GB2312"/>
        </w:rPr>
        <w:t>指机关事业</w:t>
      </w:r>
      <w:r>
        <w:rPr>
          <w:rFonts w:ascii="Times New Roman" w:hAnsi="Times New Roman" w:eastAsia="仿宋_GB2312"/>
        </w:rPr>
        <w:t>单位实施养老保险制度由单位</w:t>
      </w:r>
      <w:r>
        <w:rPr>
          <w:rFonts w:hint="eastAsia" w:ascii="Times New Roman" w:hAnsi="Times New Roman" w:eastAsia="仿宋_GB2312"/>
        </w:rPr>
        <w:t>实际</w:t>
      </w:r>
      <w:r>
        <w:rPr>
          <w:rFonts w:ascii="Times New Roman" w:hAnsi="Times New Roman" w:eastAsia="仿宋_GB2312"/>
        </w:rPr>
        <w:t>缴纳的职业年</w:t>
      </w:r>
    </w:p>
    <w:p>
      <w:pPr>
        <w:pStyle w:val="14"/>
        <w:ind w:left="210" w:right="210" w:firstLine="635"/>
        <w:rPr>
          <w:rFonts w:hint="eastAsia" w:ascii="Times New Roman" w:hAnsi="Times New Roman" w:eastAsia="仿宋_GB2312"/>
        </w:rPr>
      </w:pPr>
      <w:r>
        <w:rPr>
          <w:rFonts w:ascii="Times New Roman" w:hAnsi="Times New Roman" w:eastAsia="仿宋_GB2312"/>
        </w:rPr>
        <w:t>金支出（</w:t>
      </w:r>
      <w:r>
        <w:rPr>
          <w:rFonts w:hint="eastAsia" w:ascii="Times New Roman" w:hAnsi="Times New Roman" w:eastAsia="仿宋_GB2312"/>
        </w:rPr>
        <w:t>含</w:t>
      </w:r>
      <w:r>
        <w:rPr>
          <w:rFonts w:ascii="Times New Roman" w:hAnsi="Times New Roman" w:eastAsia="仿宋_GB2312"/>
        </w:rPr>
        <w:t>职业年金补</w:t>
      </w:r>
      <w:r>
        <w:rPr>
          <w:rFonts w:hint="eastAsia" w:ascii="Times New Roman" w:hAnsi="Times New Roman" w:eastAsia="仿宋_GB2312"/>
        </w:rPr>
        <w:t>记</w:t>
      </w:r>
      <w:r>
        <w:rPr>
          <w:rFonts w:ascii="Times New Roman" w:hAnsi="Times New Roman" w:eastAsia="仿宋_GB2312"/>
        </w:rPr>
        <w:t>支出）</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社会保障和就业支出（类）其他社会保障和就业支出（款）其他社会保障和就业支出（项）：</w:t>
      </w:r>
      <w:r>
        <w:rPr>
          <w:rFonts w:hint="eastAsia" w:ascii="Times New Roman" w:hAnsi="Times New Roman" w:eastAsia="仿宋_GB2312"/>
        </w:rPr>
        <w:t>指除上述项目以外其他</w:t>
      </w:r>
      <w:r>
        <w:rPr>
          <w:rFonts w:ascii="Times New Roman" w:hAnsi="Times New Roman" w:eastAsia="仿宋_GB2312"/>
        </w:rPr>
        <w:t>用于社会保障和就业方面的支出</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卫生健康</w:t>
      </w:r>
      <w:r>
        <w:t>支出</w:t>
      </w:r>
      <w:r>
        <w:rPr>
          <w:rFonts w:hint="eastAsia"/>
        </w:rPr>
        <w:t>（类）行政事业单位医疗（款）行政单位医疗（项）：</w:t>
      </w:r>
      <w:r>
        <w:rPr>
          <w:rFonts w:hint="eastAsia" w:ascii="Times New Roman" w:hAnsi="Times New Roman" w:eastAsia="仿宋_GB2312"/>
        </w:rPr>
        <w:t>指财政</w:t>
      </w:r>
      <w:r>
        <w:rPr>
          <w:rFonts w:ascii="Times New Roman" w:hAnsi="Times New Roman" w:eastAsia="仿宋_GB2312"/>
        </w:rPr>
        <w:t>部门安排的</w:t>
      </w:r>
      <w:r>
        <w:rPr>
          <w:rFonts w:hint="eastAsia" w:ascii="Times New Roman" w:hAnsi="Times New Roman" w:eastAsia="仿宋_GB2312"/>
        </w:rPr>
        <w:t>行政单位（包括</w:t>
      </w:r>
      <w:r>
        <w:rPr>
          <w:rFonts w:ascii="Times New Roman" w:hAnsi="Times New Roman" w:eastAsia="仿宋_GB2312"/>
        </w:rPr>
        <w:t>实行公务员</w:t>
      </w:r>
      <w:r>
        <w:rPr>
          <w:rFonts w:hint="eastAsia" w:ascii="Times New Roman" w:hAnsi="Times New Roman" w:eastAsia="仿宋_GB2312"/>
        </w:rPr>
        <w:t>管理</w:t>
      </w:r>
      <w:r>
        <w:rPr>
          <w:rFonts w:ascii="Times New Roman" w:hAnsi="Times New Roman" w:eastAsia="仿宋_GB2312"/>
        </w:rPr>
        <w:t>的事业单位</w:t>
      </w:r>
      <w:r>
        <w:rPr>
          <w:rFonts w:hint="eastAsia" w:ascii="Times New Roman" w:hAnsi="Times New Roman" w:eastAsia="仿宋_GB2312"/>
        </w:rPr>
        <w:t>）基本</w:t>
      </w:r>
      <w:r>
        <w:rPr>
          <w:rFonts w:ascii="Times New Roman" w:hAnsi="Times New Roman" w:eastAsia="仿宋_GB2312"/>
        </w:rPr>
        <w:t>医疗保险缴费经费，未参加医疗保险的行政单位的公费医疗经费，按国家规定享受离休人员、红军老战士</w:t>
      </w:r>
      <w:r>
        <w:rPr>
          <w:rFonts w:hint="eastAsia" w:ascii="Times New Roman" w:hAnsi="Times New Roman" w:eastAsia="仿宋_GB2312"/>
        </w:rPr>
        <w:t>待遇</w:t>
      </w:r>
      <w:r>
        <w:rPr>
          <w:rFonts w:ascii="Times New Roman" w:hAnsi="Times New Roman" w:eastAsia="仿宋_GB2312"/>
        </w:rPr>
        <w:t>人员的医疗经费</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卫生健康</w:t>
      </w:r>
      <w:r>
        <w:t>支出</w:t>
      </w:r>
      <w:r>
        <w:rPr>
          <w:rFonts w:hint="eastAsia"/>
        </w:rPr>
        <w:t>（类）行政事业单位医疗（款）事业单位医疗（项）：</w:t>
      </w:r>
      <w:r>
        <w:rPr>
          <w:rFonts w:hint="eastAsia" w:ascii="Times New Roman" w:hAnsi="Times New Roman" w:eastAsia="仿宋_GB2312"/>
        </w:rPr>
        <w:t>指财政部门</w:t>
      </w:r>
      <w:r>
        <w:rPr>
          <w:rFonts w:ascii="Times New Roman" w:hAnsi="Times New Roman" w:eastAsia="仿宋_GB2312"/>
        </w:rPr>
        <w:t>安排的事业单位基本医疗保险缴费经费，未参加医疗保险的事业单位的公费医疗经费，按国家规定享受离休人员待遇的医疗经费</w:t>
      </w:r>
      <w:r>
        <w:rPr>
          <w:rFonts w:hint="eastAsia" w:ascii="Times New Roman" w:hAnsi="Times New Roman" w:eastAsia="仿宋_GB2312"/>
        </w:rPr>
        <w:t>。</w:t>
      </w:r>
    </w:p>
    <w:p>
      <w:pPr>
        <w:pStyle w:val="14"/>
        <w:ind w:left="210" w:right="210" w:firstLine="635"/>
        <w:rPr>
          <w:rFonts w:hint="eastAsia"/>
        </w:rPr>
      </w:pPr>
      <w:r>
        <w:rPr>
          <w:rFonts w:hint="eastAsia"/>
        </w:rPr>
        <w:t>卫生健康</w:t>
      </w:r>
      <w:r>
        <w:t>支出</w:t>
      </w:r>
      <w:r>
        <w:rPr>
          <w:rFonts w:hint="eastAsia"/>
        </w:rPr>
        <w:t>（类）行政事业单位医疗（款）公务员医疗补助（项）：</w:t>
      </w:r>
      <w:r>
        <w:rPr>
          <w:rFonts w:hint="eastAsia" w:ascii="Times New Roman" w:hAnsi="Times New Roman" w:eastAsia="仿宋_GB2312"/>
        </w:rPr>
        <w:t>指财政部门</w:t>
      </w:r>
      <w:r>
        <w:rPr>
          <w:rFonts w:ascii="Times New Roman" w:hAnsi="Times New Roman" w:eastAsia="仿宋_GB2312"/>
        </w:rPr>
        <w:t>安排的公务员医疗补助经费</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住房保障支出（类）住房改革支出（款）住房公积金（项）：</w:t>
      </w:r>
      <w:r>
        <w:rPr>
          <w:rFonts w:hint="eastAsia" w:ascii="Times New Roman" w:hAnsi="Times New Roman" w:eastAsia="仿宋_GB2312"/>
        </w:rPr>
        <w:t>指行政事业</w:t>
      </w:r>
      <w:r>
        <w:rPr>
          <w:rFonts w:ascii="Times New Roman" w:hAnsi="Times New Roman" w:eastAsia="仿宋_GB2312"/>
        </w:rPr>
        <w:t>单位按人力资源和社会保障部、财政部规定的基本工资和津贴补贴以及规定比例为职工缴纳的住房公积金</w:t>
      </w:r>
      <w:r>
        <w:rPr>
          <w:rFonts w:hint="eastAsia" w:ascii="Times New Roman" w:hAnsi="Times New Roman" w:eastAsia="仿宋_GB2312"/>
        </w:rPr>
        <w:t>。</w:t>
      </w:r>
    </w:p>
    <w:p>
      <w:pPr>
        <w:pStyle w:val="14"/>
        <w:ind w:left="210" w:right="210" w:firstLine="635"/>
        <w:rPr>
          <w:rFonts w:hint="eastAsia" w:ascii="Times New Roman" w:hAnsi="Times New Roman" w:eastAsia="仿宋_GB2312"/>
        </w:rPr>
      </w:pPr>
      <w:r>
        <w:rPr>
          <w:rFonts w:hint="eastAsia"/>
        </w:rPr>
        <w:t>基本支出：</w:t>
      </w:r>
      <w:r>
        <w:rPr>
          <w:rFonts w:hint="eastAsia" w:ascii="Times New Roman" w:hAnsi="Times New Roman" w:eastAsia="仿宋_GB2312"/>
        </w:rPr>
        <w:t>指为保障机构正常运转、完成日常工作任务而发生的人员支出和公用支出。</w:t>
      </w:r>
    </w:p>
    <w:p>
      <w:pPr>
        <w:pStyle w:val="14"/>
        <w:ind w:left="210" w:right="210" w:firstLine="635"/>
        <w:rPr>
          <w:rFonts w:hint="eastAsia"/>
        </w:rPr>
        <w:sectPr>
          <w:footerReference r:id="rId15" w:type="default"/>
          <w:pgSz w:w="11906" w:h="16838"/>
          <w:pgMar w:top="1440" w:right="1800" w:bottom="1440" w:left="1800" w:header="720" w:footer="720" w:gutter="0"/>
          <w:pgNumType w:fmt="numberInDash" w:start="10"/>
          <w:cols w:space="720" w:num="1"/>
          <w:docGrid w:type="lines" w:linePitch="312" w:charSpace="0"/>
        </w:sectPr>
      </w:pPr>
      <w:r>
        <w:rPr>
          <w:rFonts w:hint="eastAsia"/>
        </w:rPr>
        <w:t>项目支出：</w:t>
      </w:r>
      <w:r>
        <w:rPr>
          <w:rFonts w:hint="eastAsia" w:ascii="Times New Roman" w:hAnsi="Times New Roman" w:eastAsia="仿宋_GB2312"/>
        </w:rPr>
        <w:t>指在基本支出之外为完成特定行</w:t>
      </w:r>
    </w:p>
    <w:p>
      <w:pPr>
        <w:pStyle w:val="14"/>
        <w:ind w:left="210" w:right="210" w:firstLine="635"/>
        <w:rPr>
          <w:rFonts w:hint="eastAsia"/>
        </w:rPr>
      </w:pPr>
      <w:r>
        <w:rPr>
          <w:rFonts w:hint="eastAsia" w:ascii="Times New Roman" w:hAnsi="Times New Roman" w:eastAsia="仿宋_GB2312"/>
        </w:rPr>
        <w:t>政任务或事业发展目标所发生的支出。</w:t>
      </w:r>
    </w:p>
    <w:p>
      <w:pPr>
        <w:pStyle w:val="14"/>
        <w:ind w:left="210" w:right="210" w:firstLine="635"/>
        <w:rPr>
          <w:rFonts w:ascii="Times New Roman" w:hAnsi="Times New Roman" w:eastAsia="仿宋_GB2312"/>
        </w:rPr>
      </w:pPr>
      <w:r>
        <w:rPr>
          <w:rFonts w:hint="eastAsia"/>
        </w:rPr>
        <w:t>三公经费：</w:t>
      </w:r>
      <w:r>
        <w:rPr>
          <w:rFonts w:hint="eastAsia" w:ascii="Times New Roman" w:hAnsi="Times New Roman" w:eastAsia="仿宋_GB2312"/>
        </w:rPr>
        <w:t>纳入预算管理的“三公”经费，是指部门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ascii="Times New Roman" w:hAnsi="Times New Roman" w:eastAsia="仿宋_GB2312"/>
        </w:rPr>
        <w:t>牌照费</w:t>
      </w:r>
      <w:r>
        <w:rPr>
          <w:rFonts w:hint="eastAsia" w:ascii="Times New Roman" w:hAnsi="Times New Roman" w:eastAsia="仿宋_GB2312"/>
        </w:rPr>
        <w:t>）及单位按规定保留</w:t>
      </w:r>
      <w:r>
        <w:rPr>
          <w:rFonts w:ascii="Times New Roman" w:hAnsi="Times New Roman" w:eastAsia="仿宋_GB2312"/>
        </w:rPr>
        <w:t>的公务用车</w:t>
      </w:r>
      <w:r>
        <w:rPr>
          <w:rFonts w:hint="eastAsia" w:ascii="Times New Roman" w:hAnsi="Times New Roman" w:eastAsia="仿宋_GB2312"/>
        </w:rPr>
        <w:t>燃料费、维修费、过路过桥费、保险费、</w:t>
      </w:r>
      <w:r>
        <w:rPr>
          <w:rFonts w:ascii="Times New Roman" w:hAnsi="Times New Roman" w:eastAsia="仿宋_GB2312"/>
        </w:rPr>
        <w:t>安全奖励费用</w:t>
      </w:r>
      <w:r>
        <w:rPr>
          <w:rFonts w:hint="eastAsia" w:ascii="Times New Roman" w:hAnsi="Times New Roman" w:eastAsia="仿宋_GB2312"/>
        </w:rPr>
        <w:t>等支出；公务接待费反映单位按规定开支的各类公务接待（含外宾接待）支出。</w:t>
      </w:r>
    </w:p>
    <w:p/>
    <w:sectPr>
      <w:footerReference r:id="rId16" w:type="default"/>
      <w:pgSz w:w="11906" w:h="16838"/>
      <w:pgMar w:top="1440" w:right="1800" w:bottom="1440" w:left="1800" w:header="720" w:footer="720" w:gutter="0"/>
      <w:pgNumType w:fmt="numberInDash"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GoBack"/>
    <w:bookmarkEnd w:id="0"/>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16C140"/>
    <w:multiLevelType w:val="singleLevel"/>
    <w:tmpl w:val="C416C140"/>
    <w:lvl w:ilvl="0" w:tentative="0">
      <w:start w:val="1"/>
      <w:numFmt w:val="chineseCounting"/>
      <w:suff w:val="nothing"/>
      <w:lvlText w:val="（%1）"/>
      <w:lvlJc w:val="left"/>
      <w:rPr>
        <w:rFonts w:hint="eastAsia"/>
      </w:rPr>
    </w:lvl>
  </w:abstractNum>
  <w:abstractNum w:abstractNumId="1">
    <w:nsid w:val="12073AA9"/>
    <w:multiLevelType w:val="multilevel"/>
    <w:tmpl w:val="12073AA9"/>
    <w:lvl w:ilvl="0" w:tentative="0">
      <w:start w:val="1"/>
      <w:numFmt w:val="chineseCountingThousand"/>
      <w:pStyle w:val="14"/>
      <w:lvlText w:val="(%1)"/>
      <w:lvlJc w:val="left"/>
      <w:pPr>
        <w:ind w:left="420" w:hanging="420"/>
      </w:pPr>
      <w:rPr>
        <w:rFonts w:hint="eastAsia" w:ascii="楷体_GB2312" w:eastAsia="楷体_GB231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635"/>
    <w:rsid w:val="000902C9"/>
    <w:rsid w:val="00136635"/>
    <w:rsid w:val="00E22CCB"/>
    <w:rsid w:val="04291FAE"/>
    <w:rsid w:val="23E26DB3"/>
    <w:rsid w:val="3B2D0E1E"/>
    <w:rsid w:val="460022C0"/>
    <w:rsid w:val="555D0CC6"/>
    <w:rsid w:val="69215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3"/>
    <w:qFormat/>
    <w:uiPriority w:val="0"/>
    <w:pPr>
      <w:spacing w:after="140" w:line="276" w:lineRule="auto"/>
    </w:pPr>
  </w:style>
  <w:style w:type="paragraph" w:styleId="3">
    <w:name w:val="footer"/>
    <w:basedOn w:val="1"/>
    <w:link w:val="12"/>
    <w:unhideWhenUsed/>
    <w:uiPriority w:val="0"/>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jc w:val="left"/>
    </w:pPr>
    <w:rPr>
      <w:kern w:val="0"/>
      <w:sz w:val="24"/>
    </w:rPr>
  </w:style>
  <w:style w:type="character" w:styleId="8">
    <w:name w:val="Strong"/>
    <w:qFormat/>
    <w:uiPriority w:val="0"/>
    <w:rPr>
      <w:b/>
    </w:rPr>
  </w:style>
  <w:style w:type="character" w:styleId="9">
    <w:name w:val="FollowedHyperlink"/>
    <w:basedOn w:val="7"/>
    <w:semiHidden/>
    <w:unhideWhenUsed/>
    <w:uiPriority w:val="99"/>
    <w:rPr>
      <w:color w:val="800080"/>
      <w:u w:val="single"/>
    </w:rPr>
  </w:style>
  <w:style w:type="character" w:styleId="10">
    <w:name w:val="Hyperlink"/>
    <w:basedOn w:val="7"/>
    <w:semiHidden/>
    <w:unhideWhenUsed/>
    <w:uiPriority w:val="99"/>
    <w:rPr>
      <w:color w:val="0000FF"/>
      <w:u w:val="single"/>
    </w:rPr>
  </w:style>
  <w:style w:type="character" w:customStyle="1" w:styleId="11">
    <w:name w:val="页眉 Char"/>
    <w:basedOn w:val="7"/>
    <w:link w:val="4"/>
    <w:uiPriority w:val="99"/>
    <w:rPr>
      <w:sz w:val="18"/>
      <w:szCs w:val="18"/>
    </w:rPr>
  </w:style>
  <w:style w:type="character" w:customStyle="1" w:styleId="12">
    <w:name w:val="页脚 Char"/>
    <w:basedOn w:val="7"/>
    <w:link w:val="3"/>
    <w:uiPriority w:val="99"/>
    <w:rPr>
      <w:sz w:val="18"/>
      <w:szCs w:val="18"/>
    </w:rPr>
  </w:style>
  <w:style w:type="character" w:customStyle="1" w:styleId="13">
    <w:name w:val="正文文本 Char"/>
    <w:basedOn w:val="7"/>
    <w:link w:val="2"/>
    <w:qFormat/>
    <w:uiPriority w:val="0"/>
    <w:rPr>
      <w:rFonts w:ascii="Calibri" w:hAnsi="Calibri" w:eastAsia="宋体" w:cs="Times New Roman"/>
      <w:szCs w:val="24"/>
    </w:rPr>
  </w:style>
  <w:style w:type="paragraph" w:customStyle="1" w:styleId="14">
    <w:name w:val="〖B02〗二级标题"/>
    <w:basedOn w:val="1"/>
    <w:next w:val="1"/>
    <w:qFormat/>
    <w:uiPriority w:val="0"/>
    <w:pPr>
      <w:numPr>
        <w:ilvl w:val="0"/>
        <w:numId w:val="1"/>
      </w:numPr>
      <w:suppressAutoHyphens w:val="0"/>
      <w:topLinePunct/>
      <w:spacing w:line="600" w:lineRule="exact"/>
      <w:outlineLvl w:val="1"/>
    </w:pPr>
    <w:rPr>
      <w:rFonts w:ascii="楷体_GB2312" w:eastAsia="楷体_GB2312"/>
      <w:sz w:val="32"/>
      <w:szCs w:val="32"/>
    </w:rPr>
  </w:style>
  <w:style w:type="paragraph" w:customStyle="1" w:styleId="15">
    <w:name w:val="font5"/>
    <w:basedOn w:val="1"/>
    <w:qFormat/>
    <w:uiPriority w:val="0"/>
    <w:pPr>
      <w:widowControl/>
      <w:suppressAutoHyphens w:val="0"/>
      <w:spacing w:before="100" w:beforeAutospacing="1" w:after="100" w:afterAutospacing="1"/>
      <w:jc w:val="left"/>
    </w:pPr>
    <w:rPr>
      <w:rFonts w:ascii="宋体" w:hAnsi="宋体" w:cs="宋体"/>
      <w:kern w:val="0"/>
      <w:sz w:val="18"/>
      <w:szCs w:val="18"/>
    </w:rPr>
  </w:style>
  <w:style w:type="paragraph" w:customStyle="1" w:styleId="16">
    <w:name w:val="font6"/>
    <w:basedOn w:val="1"/>
    <w:uiPriority w:val="0"/>
    <w:pPr>
      <w:widowControl/>
      <w:suppressAutoHyphens w:val="0"/>
      <w:spacing w:before="100" w:beforeAutospacing="1" w:after="100" w:afterAutospacing="1"/>
      <w:jc w:val="left"/>
    </w:pPr>
    <w:rPr>
      <w:rFonts w:ascii="Arial" w:hAnsi="Arial" w:cs="Arial"/>
      <w:color w:val="000000"/>
      <w:kern w:val="0"/>
      <w:sz w:val="16"/>
      <w:szCs w:val="16"/>
    </w:rPr>
  </w:style>
  <w:style w:type="paragraph" w:customStyle="1" w:styleId="17">
    <w:name w:val="xl65"/>
    <w:basedOn w:val="1"/>
    <w:qFormat/>
    <w:uiPriority w:val="0"/>
    <w:pPr>
      <w:widowControl/>
      <w:pBdr>
        <w:top w:val="single" w:color="FFFFFF" w:sz="4" w:space="0"/>
        <w:left w:val="single" w:color="FFFFFF" w:sz="4" w:space="0"/>
        <w:bottom w:val="single" w:color="FFFFFF" w:sz="4" w:space="0"/>
        <w:right w:val="single" w:color="FFFFFF" w:sz="4" w:space="0"/>
      </w:pBdr>
      <w:suppressAutoHyphens w:val="0"/>
      <w:spacing w:before="100" w:beforeAutospacing="1" w:after="100" w:afterAutospacing="1"/>
      <w:jc w:val="left"/>
    </w:pPr>
    <w:rPr>
      <w:rFonts w:ascii="宋体" w:hAnsi="宋体" w:cs="宋体"/>
      <w:color w:val="000000"/>
      <w:kern w:val="0"/>
      <w:sz w:val="18"/>
      <w:szCs w:val="18"/>
    </w:rPr>
  </w:style>
  <w:style w:type="paragraph" w:customStyle="1" w:styleId="18">
    <w:name w:val="xl66"/>
    <w:basedOn w:val="1"/>
    <w:qFormat/>
    <w:uiPriority w:val="0"/>
    <w:pPr>
      <w:widowControl/>
      <w:pBdr>
        <w:top w:val="single" w:color="FFFFFF" w:sz="4" w:space="0"/>
        <w:left w:val="single" w:color="FFFFFF" w:sz="4" w:space="0"/>
        <w:right w:val="single" w:color="FFFFFF" w:sz="4" w:space="0"/>
      </w:pBdr>
      <w:suppressAutoHyphens w:val="0"/>
      <w:spacing w:before="100" w:beforeAutospacing="1" w:after="100" w:afterAutospacing="1"/>
      <w:jc w:val="left"/>
    </w:pPr>
    <w:rPr>
      <w:rFonts w:ascii="宋体" w:hAnsi="宋体" w:cs="宋体"/>
      <w:color w:val="000000"/>
      <w:kern w:val="0"/>
      <w:sz w:val="18"/>
      <w:szCs w:val="18"/>
    </w:rPr>
  </w:style>
  <w:style w:type="paragraph" w:customStyle="1" w:styleId="19">
    <w:name w:val="xl67"/>
    <w:basedOn w:val="1"/>
    <w:qFormat/>
    <w:uiPriority w:val="0"/>
    <w:pPr>
      <w:widowControl/>
      <w:pBdr>
        <w:top w:val="single" w:color="FFFFFF" w:sz="4" w:space="0"/>
        <w:left w:val="single" w:color="FFFFFF" w:sz="4" w:space="0"/>
        <w:bottom w:val="single" w:color="FFFFFF" w:sz="4" w:space="0"/>
        <w:right w:val="single" w:color="FFFFFF" w:sz="4" w:space="0"/>
      </w:pBdr>
      <w:suppressAutoHyphens w:val="0"/>
      <w:spacing w:before="100" w:beforeAutospacing="1" w:after="100" w:afterAutospacing="1"/>
      <w:jc w:val="left"/>
    </w:pPr>
    <w:rPr>
      <w:rFonts w:ascii="宋体" w:hAnsi="宋体" w:cs="宋体"/>
      <w:color w:val="000000"/>
      <w:kern w:val="0"/>
      <w:sz w:val="18"/>
      <w:szCs w:val="18"/>
    </w:rPr>
  </w:style>
  <w:style w:type="paragraph" w:customStyle="1" w:styleId="20">
    <w:name w:val="xl68"/>
    <w:basedOn w:val="1"/>
    <w:qFormat/>
    <w:uiPriority w:val="0"/>
    <w:pPr>
      <w:widowControl/>
      <w:pBdr>
        <w:top w:val="single" w:color="FFFFFF" w:sz="4" w:space="0"/>
        <w:left w:val="single" w:color="FFFFFF" w:sz="4" w:space="0"/>
        <w:right w:val="single" w:color="FFFFFF" w:sz="4" w:space="0"/>
      </w:pBdr>
      <w:suppressAutoHyphens w:val="0"/>
      <w:spacing w:before="100" w:beforeAutospacing="1" w:after="100" w:afterAutospacing="1"/>
      <w:jc w:val="left"/>
    </w:pPr>
    <w:rPr>
      <w:rFonts w:ascii="宋体" w:hAnsi="宋体" w:cs="宋体"/>
      <w:color w:val="000000"/>
      <w:kern w:val="0"/>
      <w:sz w:val="18"/>
      <w:szCs w:val="18"/>
    </w:rPr>
  </w:style>
  <w:style w:type="paragraph" w:customStyle="1" w:styleId="21">
    <w:name w:val="xl69"/>
    <w:basedOn w:val="1"/>
    <w:qFormat/>
    <w:uiPriority w:val="0"/>
    <w:pPr>
      <w:widowControl/>
      <w:suppressAutoHyphens w:val="0"/>
      <w:spacing w:before="100" w:beforeAutospacing="1" w:after="100" w:afterAutospacing="1"/>
      <w:jc w:val="left"/>
    </w:pPr>
    <w:rPr>
      <w:rFonts w:ascii="宋体" w:hAnsi="宋体" w:cs="宋体"/>
      <w:kern w:val="0"/>
      <w:sz w:val="16"/>
      <w:szCs w:val="16"/>
    </w:rPr>
  </w:style>
  <w:style w:type="paragraph" w:customStyle="1" w:styleId="22">
    <w:name w:val="xl70"/>
    <w:basedOn w:val="1"/>
    <w:qFormat/>
    <w:uiPriority w:val="0"/>
    <w:pPr>
      <w:widowControl/>
      <w:pBdr>
        <w:top w:val="single" w:color="C0C0C0" w:sz="4" w:space="0"/>
        <w:left w:val="single" w:color="C0C0C0" w:sz="4" w:space="0"/>
        <w:bottom w:val="single" w:color="C0C0C0" w:sz="4" w:space="0"/>
        <w:right w:val="single" w:color="C0C0C0" w:sz="4" w:space="0"/>
      </w:pBdr>
      <w:suppressAutoHyphens w:val="0"/>
      <w:spacing w:before="100" w:beforeAutospacing="1" w:after="100" w:afterAutospacing="1"/>
      <w:jc w:val="center"/>
    </w:pPr>
    <w:rPr>
      <w:rFonts w:ascii="宋体" w:hAnsi="宋体" w:cs="宋体"/>
      <w:color w:val="000000"/>
      <w:kern w:val="0"/>
      <w:sz w:val="16"/>
      <w:szCs w:val="16"/>
    </w:rPr>
  </w:style>
  <w:style w:type="paragraph" w:customStyle="1" w:styleId="23">
    <w:name w:val="xl71"/>
    <w:basedOn w:val="1"/>
    <w:qFormat/>
    <w:uiPriority w:val="0"/>
    <w:pPr>
      <w:widowControl/>
      <w:pBdr>
        <w:top w:val="single" w:color="C0C0C0" w:sz="4" w:space="0"/>
        <w:left w:val="single" w:color="C0C0C0" w:sz="4" w:space="0"/>
        <w:bottom w:val="single" w:color="C0C0C0" w:sz="4" w:space="0"/>
        <w:right w:val="single" w:color="C0C0C0" w:sz="4" w:space="0"/>
      </w:pBdr>
      <w:suppressAutoHyphens w:val="0"/>
      <w:spacing w:before="100" w:beforeAutospacing="1" w:after="100" w:afterAutospacing="1"/>
      <w:jc w:val="left"/>
    </w:pPr>
    <w:rPr>
      <w:rFonts w:ascii="宋体" w:hAnsi="宋体" w:cs="宋体"/>
      <w:color w:val="000000"/>
      <w:kern w:val="0"/>
      <w:sz w:val="16"/>
      <w:szCs w:val="16"/>
    </w:rPr>
  </w:style>
  <w:style w:type="paragraph" w:customStyle="1" w:styleId="24">
    <w:name w:val="xl72"/>
    <w:basedOn w:val="1"/>
    <w:qFormat/>
    <w:uiPriority w:val="0"/>
    <w:pPr>
      <w:widowControl/>
      <w:pBdr>
        <w:top w:val="single" w:color="C0C0C0" w:sz="4" w:space="0"/>
        <w:left w:val="single" w:color="C0C0C0" w:sz="4" w:space="0"/>
        <w:bottom w:val="single" w:color="C0C0C0" w:sz="4" w:space="0"/>
        <w:right w:val="single" w:color="C0C0C0" w:sz="4" w:space="0"/>
      </w:pBdr>
      <w:shd w:val="clear" w:color="EFF2F7" w:fill="EFF2F7"/>
      <w:suppressAutoHyphens w:val="0"/>
      <w:spacing w:before="100" w:beforeAutospacing="1" w:after="100" w:afterAutospacing="1"/>
      <w:jc w:val="center"/>
    </w:pPr>
    <w:rPr>
      <w:rFonts w:ascii="宋体" w:hAnsi="宋体" w:cs="宋体"/>
      <w:b/>
      <w:bCs/>
      <w:color w:val="000000"/>
      <w:kern w:val="0"/>
      <w:sz w:val="16"/>
      <w:szCs w:val="16"/>
    </w:rPr>
  </w:style>
  <w:style w:type="paragraph" w:customStyle="1" w:styleId="25">
    <w:name w:val="xl73"/>
    <w:basedOn w:val="1"/>
    <w:qFormat/>
    <w:uiPriority w:val="0"/>
    <w:pPr>
      <w:widowControl/>
      <w:suppressAutoHyphens w:val="0"/>
      <w:spacing w:before="100" w:beforeAutospacing="1" w:after="100" w:afterAutospacing="1"/>
      <w:jc w:val="left"/>
    </w:pPr>
    <w:rPr>
      <w:rFonts w:ascii="宋体" w:hAnsi="宋体" w:cs="宋体"/>
      <w:kern w:val="0"/>
      <w:sz w:val="16"/>
      <w:szCs w:val="16"/>
    </w:rPr>
  </w:style>
  <w:style w:type="paragraph" w:customStyle="1" w:styleId="26">
    <w:name w:val="xl74"/>
    <w:basedOn w:val="1"/>
    <w:qFormat/>
    <w:uiPriority w:val="0"/>
    <w:pPr>
      <w:widowControl/>
      <w:pBdr>
        <w:top w:val="single" w:color="FFFFFF" w:sz="4" w:space="0"/>
        <w:left w:val="single" w:color="FFFFFF" w:sz="4" w:space="0"/>
        <w:bottom w:val="single" w:color="FFFFFF" w:sz="4" w:space="0"/>
        <w:right w:val="single" w:color="FFFFFF" w:sz="4" w:space="0"/>
      </w:pBdr>
      <w:suppressAutoHyphens w:val="0"/>
      <w:spacing w:before="100" w:beforeAutospacing="1" w:after="100" w:afterAutospacing="1"/>
      <w:jc w:val="left"/>
    </w:pPr>
    <w:rPr>
      <w:rFonts w:ascii="宋体" w:hAnsi="宋体" w:cs="宋体"/>
      <w:color w:val="000000"/>
      <w:kern w:val="0"/>
      <w:sz w:val="24"/>
    </w:rPr>
  </w:style>
  <w:style w:type="paragraph" w:customStyle="1" w:styleId="27">
    <w:name w:val="xl75"/>
    <w:basedOn w:val="1"/>
    <w:uiPriority w:val="0"/>
    <w:pPr>
      <w:widowControl/>
      <w:pBdr>
        <w:top w:val="single" w:color="FFFFFF" w:sz="4" w:space="0"/>
        <w:left w:val="single" w:color="FFFFFF" w:sz="4" w:space="0"/>
        <w:bottom w:val="single" w:color="FFFFFF" w:sz="4" w:space="0"/>
        <w:right w:val="single" w:color="FFFFFF" w:sz="4" w:space="0"/>
      </w:pBdr>
      <w:suppressAutoHyphens w:val="0"/>
      <w:spacing w:before="100" w:beforeAutospacing="1" w:after="100" w:afterAutospacing="1"/>
      <w:jc w:val="center"/>
    </w:pPr>
    <w:rPr>
      <w:rFonts w:ascii="宋体" w:hAnsi="宋体" w:cs="宋体"/>
      <w:b/>
      <w:bCs/>
      <w:color w:val="000000"/>
      <w:kern w:val="0"/>
      <w:sz w:val="32"/>
      <w:szCs w:val="32"/>
    </w:rPr>
  </w:style>
  <w:style w:type="paragraph" w:customStyle="1" w:styleId="28">
    <w:name w:val="xl76"/>
    <w:basedOn w:val="1"/>
    <w:qFormat/>
    <w:uiPriority w:val="0"/>
    <w:pPr>
      <w:widowControl/>
      <w:pBdr>
        <w:top w:val="single" w:color="FFFFFF" w:sz="4" w:space="0"/>
        <w:left w:val="single" w:color="FFFFFF" w:sz="4" w:space="0"/>
        <w:right w:val="single" w:color="FFFFFF" w:sz="4" w:space="0"/>
      </w:pBdr>
      <w:suppressAutoHyphens w:val="0"/>
      <w:spacing w:before="100" w:beforeAutospacing="1" w:after="100" w:afterAutospacing="1"/>
      <w:jc w:val="right"/>
    </w:pPr>
    <w:rPr>
      <w:rFonts w:ascii="宋体" w:hAnsi="宋体" w:cs="宋体"/>
      <w:color w:val="000000"/>
      <w:kern w:val="0"/>
      <w:sz w:val="24"/>
    </w:rPr>
  </w:style>
  <w:style w:type="paragraph" w:customStyle="1" w:styleId="29">
    <w:name w:val="xl77"/>
    <w:basedOn w:val="1"/>
    <w:uiPriority w:val="0"/>
    <w:pPr>
      <w:widowControl/>
      <w:pBdr>
        <w:top w:val="single" w:color="C0C0C0" w:sz="4" w:space="0"/>
        <w:left w:val="single" w:color="C0C0C0" w:sz="4" w:space="0"/>
        <w:bottom w:val="single" w:color="C0C0C0" w:sz="4" w:space="0"/>
        <w:right w:val="single" w:color="C0C0C0" w:sz="4" w:space="0"/>
      </w:pBdr>
      <w:suppressAutoHyphens w:val="0"/>
      <w:spacing w:before="100" w:beforeAutospacing="1" w:after="100" w:afterAutospacing="1"/>
      <w:jc w:val="center"/>
    </w:pPr>
    <w:rPr>
      <w:rFonts w:ascii="宋体" w:hAnsi="宋体" w:cs="宋体"/>
      <w:b/>
      <w:bCs/>
      <w:color w:val="000000"/>
      <w:kern w:val="0"/>
      <w:sz w:val="16"/>
      <w:szCs w:val="16"/>
    </w:rPr>
  </w:style>
  <w:style w:type="paragraph" w:customStyle="1" w:styleId="30">
    <w:name w:val="xl78"/>
    <w:basedOn w:val="1"/>
    <w:uiPriority w:val="0"/>
    <w:pPr>
      <w:widowControl/>
      <w:pBdr>
        <w:top w:val="single" w:color="C2C3C4" w:sz="4" w:space="0"/>
        <w:left w:val="single" w:color="C2C3C4" w:sz="4" w:space="0"/>
        <w:bottom w:val="single" w:color="C2C3C4" w:sz="4" w:space="0"/>
        <w:right w:val="single" w:color="C2C3C4" w:sz="4" w:space="0"/>
      </w:pBdr>
      <w:suppressAutoHyphens w:val="0"/>
      <w:spacing w:before="100" w:beforeAutospacing="1" w:after="100" w:afterAutospacing="1"/>
      <w:jc w:val="center"/>
    </w:pPr>
    <w:rPr>
      <w:rFonts w:ascii="宋体" w:hAnsi="宋体" w:cs="宋体"/>
      <w:b/>
      <w:bCs/>
      <w:color w:val="000000"/>
      <w:kern w:val="0"/>
      <w:sz w:val="16"/>
      <w:szCs w:val="16"/>
    </w:rPr>
  </w:style>
  <w:style w:type="paragraph" w:customStyle="1" w:styleId="31">
    <w:name w:val="xl79"/>
    <w:basedOn w:val="1"/>
    <w:qFormat/>
    <w:uiPriority w:val="0"/>
    <w:pPr>
      <w:widowControl/>
      <w:pBdr>
        <w:top w:val="single" w:color="C0C0C0" w:sz="4" w:space="0"/>
        <w:left w:val="single" w:color="C0C0C0" w:sz="4" w:space="0"/>
        <w:bottom w:val="single" w:color="C0C0C0" w:sz="4" w:space="0"/>
        <w:right w:val="single" w:color="C0C0C0" w:sz="4" w:space="0"/>
      </w:pBdr>
      <w:suppressAutoHyphens w:val="0"/>
      <w:spacing w:before="100" w:beforeAutospacing="1" w:after="100" w:afterAutospacing="1"/>
      <w:jc w:val="right"/>
    </w:pPr>
    <w:rPr>
      <w:rFonts w:ascii="宋体" w:hAnsi="宋体" w:cs="宋体"/>
      <w:b/>
      <w:bCs/>
      <w:color w:val="000000"/>
      <w:kern w:val="0"/>
      <w:sz w:val="16"/>
      <w:szCs w:val="16"/>
    </w:rPr>
  </w:style>
  <w:style w:type="paragraph" w:customStyle="1" w:styleId="32">
    <w:name w:val="xl80"/>
    <w:basedOn w:val="1"/>
    <w:qFormat/>
    <w:uiPriority w:val="0"/>
    <w:pPr>
      <w:widowControl/>
      <w:pBdr>
        <w:top w:val="single" w:color="C0C0C0" w:sz="4" w:space="0"/>
        <w:left w:val="single" w:color="C0C0C0" w:sz="4" w:space="0"/>
        <w:bottom w:val="single" w:color="C0C0C0" w:sz="4" w:space="0"/>
        <w:right w:val="single" w:color="C0C0C0" w:sz="4" w:space="0"/>
      </w:pBdr>
      <w:suppressAutoHyphens w:val="0"/>
      <w:spacing w:before="100" w:beforeAutospacing="1" w:after="100" w:afterAutospacing="1"/>
      <w:jc w:val="right"/>
    </w:pPr>
    <w:rPr>
      <w:rFonts w:ascii="宋体" w:hAnsi="宋体" w:cs="宋体"/>
      <w:color w:val="000000"/>
      <w:kern w:val="0"/>
      <w:sz w:val="16"/>
      <w:szCs w:val="16"/>
    </w:rPr>
  </w:style>
  <w:style w:type="paragraph" w:customStyle="1" w:styleId="33">
    <w:name w:val="xl81"/>
    <w:basedOn w:val="1"/>
    <w:qFormat/>
    <w:uiPriority w:val="0"/>
    <w:pPr>
      <w:widowControl/>
      <w:pBdr>
        <w:top w:val="single" w:color="FFFFFF" w:sz="4" w:space="0"/>
        <w:left w:val="single" w:color="FFFFFF" w:sz="4" w:space="0"/>
        <w:bottom w:val="single" w:color="C0C0C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34">
    <w:name w:val="xl82"/>
    <w:basedOn w:val="1"/>
    <w:uiPriority w:val="0"/>
    <w:pPr>
      <w:widowControl/>
      <w:pBdr>
        <w:top w:val="single" w:color="FFFFFF" w:sz="4" w:space="0"/>
        <w:bottom w:val="single" w:color="C0C0C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35">
    <w:name w:val="xl83"/>
    <w:basedOn w:val="1"/>
    <w:qFormat/>
    <w:uiPriority w:val="0"/>
    <w:pPr>
      <w:widowControl/>
      <w:pBdr>
        <w:top w:val="single" w:color="FFFFFF" w:sz="4" w:space="0"/>
        <w:bottom w:val="single" w:color="C0C0C0" w:sz="4" w:space="0"/>
        <w:right w:val="single" w:color="FFFFFF"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36">
    <w:name w:val="xl84"/>
    <w:basedOn w:val="1"/>
    <w:uiPriority w:val="0"/>
    <w:pPr>
      <w:widowControl/>
      <w:pBdr>
        <w:top w:val="single" w:color="FFFFFF" w:sz="4" w:space="0"/>
        <w:left w:val="single" w:color="FFFFFF" w:sz="4" w:space="0"/>
        <w:right w:val="single" w:color="FFFFFF" w:sz="4" w:space="0"/>
      </w:pBdr>
      <w:suppressAutoHyphens w:val="0"/>
      <w:spacing w:before="100" w:beforeAutospacing="1" w:after="100" w:afterAutospacing="1"/>
      <w:jc w:val="left"/>
    </w:pPr>
    <w:rPr>
      <w:rFonts w:ascii="宋体" w:hAnsi="宋体" w:cs="宋体"/>
      <w:color w:val="000000"/>
      <w:kern w:val="0"/>
      <w:sz w:val="16"/>
      <w:szCs w:val="16"/>
    </w:rPr>
  </w:style>
  <w:style w:type="paragraph" w:customStyle="1" w:styleId="37">
    <w:name w:val="xl85"/>
    <w:basedOn w:val="1"/>
    <w:uiPriority w:val="0"/>
    <w:pPr>
      <w:widowControl/>
      <w:pBdr>
        <w:top w:val="single" w:color="FFFFFF" w:sz="4" w:space="0"/>
        <w:left w:val="single" w:color="FFFFFF" w:sz="4" w:space="0"/>
        <w:bottom w:val="single" w:color="FFFFFF" w:sz="4" w:space="0"/>
      </w:pBdr>
      <w:suppressAutoHyphens w:val="0"/>
      <w:spacing w:before="100" w:beforeAutospacing="1" w:after="100" w:afterAutospacing="1"/>
      <w:jc w:val="center"/>
    </w:pPr>
    <w:rPr>
      <w:rFonts w:ascii="宋体" w:hAnsi="宋体" w:cs="宋体"/>
      <w:color w:val="000000"/>
      <w:kern w:val="0"/>
      <w:sz w:val="16"/>
      <w:szCs w:val="16"/>
    </w:rPr>
  </w:style>
  <w:style w:type="paragraph" w:customStyle="1" w:styleId="38">
    <w:name w:val="xl86"/>
    <w:basedOn w:val="1"/>
    <w:uiPriority w:val="0"/>
    <w:pPr>
      <w:widowControl/>
      <w:pBdr>
        <w:top w:val="single" w:color="FFFFFF" w:sz="4" w:space="0"/>
        <w:bottom w:val="single" w:color="FFFFFF" w:sz="4" w:space="0"/>
        <w:right w:val="single" w:color="FFFFFF" w:sz="4" w:space="0"/>
      </w:pBdr>
      <w:suppressAutoHyphens w:val="0"/>
      <w:spacing w:before="100" w:beforeAutospacing="1" w:after="100" w:afterAutospacing="1"/>
      <w:jc w:val="center"/>
    </w:pPr>
    <w:rPr>
      <w:rFonts w:ascii="宋体" w:hAnsi="宋体" w:cs="宋体"/>
      <w:color w:val="000000"/>
      <w:kern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13.emf"/><Relationship Id="rId42" Type="http://schemas.openxmlformats.org/officeDocument/2006/relationships/oleObject" Target="embeddings/oleObject13.bin"/><Relationship Id="rId41" Type="http://schemas.openxmlformats.org/officeDocument/2006/relationships/image" Target="media/image12.emf"/><Relationship Id="rId40" Type="http://schemas.openxmlformats.org/officeDocument/2006/relationships/oleObject" Target="embeddings/oleObject12.bin"/><Relationship Id="rId4" Type="http://schemas.openxmlformats.org/officeDocument/2006/relationships/footer" Target="footer1.xml"/><Relationship Id="rId39" Type="http://schemas.openxmlformats.org/officeDocument/2006/relationships/image" Target="media/image11.emf"/><Relationship Id="rId38" Type="http://schemas.openxmlformats.org/officeDocument/2006/relationships/oleObject" Target="embeddings/oleObject11.bin"/><Relationship Id="rId37" Type="http://schemas.openxmlformats.org/officeDocument/2006/relationships/image" Target="media/image10.emf"/><Relationship Id="rId36" Type="http://schemas.openxmlformats.org/officeDocument/2006/relationships/oleObject" Target="embeddings/oleObject10.bin"/><Relationship Id="rId35" Type="http://schemas.openxmlformats.org/officeDocument/2006/relationships/image" Target="media/image9.emf"/><Relationship Id="rId34" Type="http://schemas.openxmlformats.org/officeDocument/2006/relationships/oleObject" Target="embeddings/oleObject9.bin"/><Relationship Id="rId33" Type="http://schemas.openxmlformats.org/officeDocument/2006/relationships/image" Target="media/image8.emf"/><Relationship Id="rId32" Type="http://schemas.openxmlformats.org/officeDocument/2006/relationships/oleObject" Target="embeddings/oleObject8.bin"/><Relationship Id="rId31" Type="http://schemas.openxmlformats.org/officeDocument/2006/relationships/image" Target="media/image7.emf"/><Relationship Id="rId30" Type="http://schemas.openxmlformats.org/officeDocument/2006/relationships/oleObject" Target="embeddings/oleObject7.bin"/><Relationship Id="rId3" Type="http://schemas.openxmlformats.org/officeDocument/2006/relationships/header" Target="header1.xml"/><Relationship Id="rId29" Type="http://schemas.openxmlformats.org/officeDocument/2006/relationships/image" Target="media/image6.emf"/><Relationship Id="rId28" Type="http://schemas.openxmlformats.org/officeDocument/2006/relationships/oleObject" Target="embeddings/oleObject6.bin"/><Relationship Id="rId27" Type="http://schemas.openxmlformats.org/officeDocument/2006/relationships/image" Target="media/image5.emf"/><Relationship Id="rId26" Type="http://schemas.openxmlformats.org/officeDocument/2006/relationships/oleObject" Target="embeddings/oleObject5.bin"/><Relationship Id="rId25" Type="http://schemas.openxmlformats.org/officeDocument/2006/relationships/image" Target="media/image4.emf"/><Relationship Id="rId24" Type="http://schemas.openxmlformats.org/officeDocument/2006/relationships/oleObject" Target="embeddings/oleObject4.bin"/><Relationship Id="rId23" Type="http://schemas.openxmlformats.org/officeDocument/2006/relationships/image" Target="media/image3.emf"/><Relationship Id="rId22" Type="http://schemas.openxmlformats.org/officeDocument/2006/relationships/oleObject" Target="embeddings/oleObject3.bin"/><Relationship Id="rId21" Type="http://schemas.openxmlformats.org/officeDocument/2006/relationships/image" Target="media/image2.e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emf"/><Relationship Id="rId18" Type="http://schemas.openxmlformats.org/officeDocument/2006/relationships/oleObject" Target="embeddings/oleObject1.bin"/><Relationship Id="rId17" Type="http://schemas.openxmlformats.org/officeDocument/2006/relationships/theme" Target="theme/theme1.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2713</Words>
  <Characters>15465</Characters>
  <Lines>128</Lines>
  <Paragraphs>36</Paragraphs>
  <TotalTime>0</TotalTime>
  <ScaleCrop>false</ScaleCrop>
  <LinksUpToDate>false</LinksUpToDate>
  <CharactersWithSpaces>18142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2024-02-02T06:53:00Z</dcterms:created>
  <dc:creator>admin</dc:creator>
  <cp:lastModifiedBy>Administrator</cp:lastModifiedBy>
  <dcterms:modified xsi:type="dcterms:W3CDTF">2024-02-04T08:51:30Z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