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outlineLvl w:val="0"/>
        <w:rPr>
          <w:rFonts w:ascii="方正小标宋简体" w:hAnsi="宋体" w:eastAsia="方正小标宋简体"/>
          <w:color w:val="000000"/>
          <w:sz w:val="30"/>
          <w:szCs w:val="30"/>
        </w:rPr>
      </w:pPr>
      <w:bookmarkStart w:id="0" w:name="_Toc15306267"/>
    </w:p>
    <w:p>
      <w:pPr>
        <w:spacing w:line="640" w:lineRule="exact"/>
        <w:jc w:val="center"/>
        <w:outlineLvl w:val="0"/>
        <w:rPr>
          <w:rFonts w:ascii="方正小标宋简体" w:hAnsi="宋体" w:eastAsia="方正小标宋简体"/>
          <w:color w:val="000000"/>
          <w:sz w:val="72"/>
          <w:szCs w:val="72"/>
        </w:rPr>
      </w:pPr>
    </w:p>
    <w:p>
      <w:pPr>
        <w:spacing w:line="640" w:lineRule="exact"/>
        <w:jc w:val="center"/>
        <w:outlineLvl w:val="0"/>
        <w:rPr>
          <w:rFonts w:ascii="方正小标宋简体" w:hAnsi="宋体" w:eastAsia="方正小标宋简体"/>
          <w:color w:val="000000"/>
          <w:sz w:val="72"/>
          <w:szCs w:val="72"/>
        </w:rPr>
      </w:pPr>
    </w:p>
    <w:p>
      <w:pPr>
        <w:spacing w:line="640" w:lineRule="exact"/>
        <w:jc w:val="center"/>
        <w:outlineLvl w:val="0"/>
        <w:rPr>
          <w:rFonts w:ascii="方正小标宋简体" w:hAnsi="宋体" w:eastAsia="方正小标宋简体"/>
          <w:color w:val="000000"/>
          <w:sz w:val="72"/>
          <w:szCs w:val="72"/>
        </w:rPr>
      </w:pPr>
    </w:p>
    <w:p>
      <w:pPr>
        <w:adjustRightInd w:val="0"/>
        <w:snapToGrid w:val="0"/>
        <w:spacing w:line="640" w:lineRule="exact"/>
        <w:jc w:val="center"/>
        <w:outlineLvl w:val="0"/>
        <w:rPr>
          <w:rFonts w:ascii="方正小标宋简体" w:hAnsi="宋体" w:eastAsia="方正小标宋简体"/>
          <w:color w:val="000000"/>
          <w:sz w:val="56"/>
          <w:szCs w:val="56"/>
        </w:rPr>
      </w:pPr>
      <w:bookmarkStart w:id="128" w:name="_GoBack"/>
      <w:bookmarkStart w:id="1" w:name="_Toc15377193"/>
      <w:bookmarkStart w:id="2" w:name="_Toc15378441"/>
      <w:bookmarkStart w:id="3" w:name="_Toc15396475"/>
      <w:bookmarkStart w:id="4" w:name="_Toc15377425"/>
      <w:bookmarkStart w:id="5" w:name="_Toc15396597"/>
      <w:bookmarkStart w:id="6" w:name="_Toc31985"/>
      <w:r>
        <w:rPr>
          <w:rFonts w:ascii="黑体" w:hAnsi="黑体" w:eastAsia="黑体"/>
          <w:color w:val="000000"/>
          <w:sz w:val="56"/>
          <w:szCs w:val="56"/>
        </w:rPr>
        <w:t>2020</w:t>
      </w:r>
      <w:r>
        <w:rPr>
          <w:rFonts w:hint="eastAsia" w:ascii="方正小标宋简体" w:hAnsi="宋体" w:eastAsia="方正小标宋简体"/>
          <w:color w:val="000000"/>
          <w:sz w:val="56"/>
          <w:szCs w:val="56"/>
        </w:rPr>
        <w:t>年度</w:t>
      </w:r>
      <w:bookmarkEnd w:id="1"/>
      <w:bookmarkEnd w:id="2"/>
      <w:bookmarkEnd w:id="3"/>
      <w:bookmarkEnd w:id="4"/>
      <w:bookmarkEnd w:id="5"/>
      <w:bookmarkEnd w:id="6"/>
      <w:bookmarkStart w:id="7" w:name="_Toc27664"/>
      <w:bookmarkStart w:id="8" w:name="_Toc15377194"/>
      <w:bookmarkStart w:id="9" w:name="_Toc15396476"/>
      <w:bookmarkStart w:id="10" w:name="_Toc15396598"/>
      <w:bookmarkStart w:id="11" w:name="_Toc15378442"/>
      <w:bookmarkStart w:id="12" w:name="_Toc15377426"/>
      <w:r>
        <w:rPr>
          <w:rFonts w:hint="eastAsia" w:ascii="方正小标宋简体" w:hAnsi="宋体" w:eastAsia="方正小标宋简体"/>
          <w:color w:val="000000"/>
          <w:sz w:val="56"/>
          <w:szCs w:val="56"/>
        </w:rPr>
        <w:t>四川省</w:t>
      </w:r>
      <w:bookmarkEnd w:id="0"/>
      <w:bookmarkStart w:id="13" w:name="_Toc15306268"/>
      <w:r>
        <w:rPr>
          <w:rFonts w:hint="eastAsia" w:ascii="方正小标宋简体" w:hAnsi="宋体" w:eastAsia="方正小标宋简体"/>
          <w:color w:val="000000"/>
          <w:sz w:val="56"/>
          <w:szCs w:val="56"/>
        </w:rPr>
        <w:t>乐山市公安局</w:t>
      </w:r>
      <w:bookmarkEnd w:id="7"/>
      <w:r>
        <w:rPr>
          <w:rFonts w:hint="eastAsia" w:ascii="方正小标宋简体" w:hAnsi="宋体" w:eastAsia="方正小标宋简体"/>
          <w:color w:val="000000"/>
          <w:sz w:val="56"/>
          <w:szCs w:val="56"/>
        </w:rPr>
        <w:t>机关</w:t>
      </w:r>
      <w:bookmarkStart w:id="14" w:name="_Toc8140"/>
    </w:p>
    <w:p>
      <w:pPr>
        <w:adjustRightInd w:val="0"/>
        <w:snapToGrid w:val="0"/>
        <w:spacing w:line="640" w:lineRule="exact"/>
        <w:jc w:val="center"/>
        <w:outlineLvl w:val="0"/>
        <w:rPr>
          <w:rFonts w:ascii="方正小标宋简体" w:hAnsi="宋体" w:eastAsia="方正小标宋简体"/>
          <w:color w:val="000000"/>
          <w:sz w:val="56"/>
          <w:szCs w:val="56"/>
        </w:rPr>
      </w:pPr>
      <w:r>
        <w:rPr>
          <w:rFonts w:hint="eastAsia" w:ascii="方正小标宋简体" w:hAnsi="宋体" w:eastAsia="方正小标宋简体"/>
          <w:color w:val="000000"/>
          <w:sz w:val="56"/>
          <w:szCs w:val="56"/>
        </w:rPr>
        <w:t>部门决算</w:t>
      </w:r>
      <w:bookmarkEnd w:id="8"/>
      <w:bookmarkEnd w:id="9"/>
      <w:bookmarkEnd w:id="10"/>
      <w:bookmarkEnd w:id="11"/>
      <w:bookmarkEnd w:id="12"/>
      <w:bookmarkEnd w:id="13"/>
      <w:bookmarkEnd w:id="14"/>
    </w:p>
    <w:p>
      <w:pPr>
        <w:widowControl/>
        <w:spacing w:line="560" w:lineRule="exact"/>
        <w:jc w:val="center"/>
        <w:rPr>
          <w:rFonts w:ascii="黑体" w:hAnsi="黑体" w:eastAsia="黑体"/>
          <w:color w:val="000000"/>
          <w:sz w:val="48"/>
          <w:szCs w:val="48"/>
        </w:rPr>
      </w:pPr>
      <w:r>
        <w:rPr>
          <w:rFonts w:ascii="方正小标宋简体" w:hAnsi="宋体" w:eastAsia="方正小标宋简体"/>
          <w:color w:val="000000"/>
          <w:sz w:val="36"/>
          <w:szCs w:val="36"/>
        </w:rPr>
        <w:br w:type="page"/>
      </w:r>
      <w:bookmarkEnd w:id="128"/>
      <w:r>
        <w:rPr>
          <w:rFonts w:hint="eastAsia" w:ascii="黑体" w:hAnsi="黑体" w:eastAsia="黑体"/>
          <w:color w:val="000000"/>
          <w:sz w:val="48"/>
          <w:szCs w:val="48"/>
        </w:rPr>
        <w:t>目录</w:t>
      </w:r>
    </w:p>
    <w:p>
      <w:pPr>
        <w:widowControl/>
        <w:spacing w:line="560" w:lineRule="exact"/>
        <w:jc w:val="center"/>
        <w:rPr>
          <w:rFonts w:ascii="黑体" w:hAnsi="黑体" w:eastAsia="黑体"/>
          <w:sz w:val="28"/>
          <w:szCs w:val="28"/>
        </w:rPr>
      </w:pPr>
    </w:p>
    <w:p>
      <w:pPr>
        <w:pStyle w:val="10"/>
        <w:spacing w:line="560" w:lineRule="exact"/>
      </w:pPr>
      <w:r>
        <w:rPr>
          <w:rFonts w:hint="eastAsia"/>
        </w:rPr>
        <w:t xml:space="preserve"> </w:t>
      </w:r>
      <w:r>
        <w:fldChar w:fldCharType="begin"/>
      </w:r>
      <w:r>
        <w:instrText xml:space="preserve">TOC \o "1-3" \h \u </w:instrText>
      </w:r>
      <w:r>
        <w:fldChar w:fldCharType="separate"/>
      </w:r>
    </w:p>
    <w:p>
      <w:pPr>
        <w:pStyle w:val="10"/>
        <w:adjustRightInd w:val="0"/>
        <w:snapToGrid w:val="0"/>
        <w:spacing w:before="0" w:line="560" w:lineRule="exact"/>
        <w:jc w:val="left"/>
        <w:rPr>
          <w:sz w:val="24"/>
        </w:rPr>
      </w:pPr>
      <w:r>
        <w:fldChar w:fldCharType="begin"/>
      </w:r>
      <w:r>
        <w:instrText xml:space="preserve"> HYPERLINK \l "_Toc13566" </w:instrText>
      </w:r>
      <w:r>
        <w:fldChar w:fldCharType="separate"/>
      </w:r>
      <w:r>
        <w:rPr>
          <w:rFonts w:hint="eastAsia"/>
          <w:sz w:val="24"/>
        </w:rPr>
        <w:t>第一部分 部门概况</w:t>
      </w:r>
      <w:r>
        <w:rPr>
          <w:rFonts w:hint="eastAsia"/>
          <w:sz w:val="24"/>
        </w:rPr>
        <w:tab/>
      </w:r>
      <w:r>
        <w:rPr>
          <w:rFonts w:hint="eastAsia"/>
          <w:sz w:val="24"/>
        </w:rPr>
        <w:fldChar w:fldCharType="begin"/>
      </w:r>
      <w:r>
        <w:rPr>
          <w:rFonts w:hint="eastAsia"/>
          <w:sz w:val="24"/>
        </w:rPr>
        <w:instrText xml:space="preserve"> PAGEREF _Toc13566 </w:instrText>
      </w:r>
      <w:r>
        <w:rPr>
          <w:rFonts w:hint="eastAsia"/>
          <w:sz w:val="24"/>
        </w:rPr>
        <w:fldChar w:fldCharType="separate"/>
      </w:r>
      <w:r>
        <w:rPr>
          <w:sz w:val="24"/>
        </w:rPr>
        <w:t>4</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"_Toc2346" </w:instrText>
      </w:r>
      <w:r>
        <w:fldChar w:fldCharType="separate"/>
      </w:r>
      <w:r>
        <w:rPr>
          <w:rFonts w:hint="eastAsia"/>
          <w:sz w:val="24"/>
        </w:rPr>
        <w:t>一、基本职能及主要工作</w:t>
      </w:r>
      <w:r>
        <w:rPr>
          <w:rFonts w:hint="eastAsia"/>
          <w:sz w:val="24"/>
        </w:rPr>
        <w:tab/>
      </w:r>
      <w:r>
        <w:rPr>
          <w:rFonts w:hint="eastAsia"/>
          <w:sz w:val="24"/>
        </w:rPr>
        <w:fldChar w:fldCharType="begin"/>
      </w:r>
      <w:r>
        <w:rPr>
          <w:rFonts w:hint="eastAsia"/>
          <w:sz w:val="24"/>
        </w:rPr>
        <w:instrText xml:space="preserve"> PAGEREF _Toc2346 </w:instrText>
      </w:r>
      <w:r>
        <w:rPr>
          <w:rFonts w:hint="eastAsia"/>
          <w:sz w:val="24"/>
        </w:rPr>
        <w:fldChar w:fldCharType="separate"/>
      </w:r>
      <w:r>
        <w:rPr>
          <w:sz w:val="24"/>
        </w:rPr>
        <w:t>4</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"_Toc25500" </w:instrText>
      </w:r>
      <w:r>
        <w:fldChar w:fldCharType="separate"/>
      </w:r>
      <w:r>
        <w:rPr>
          <w:rFonts w:hint="eastAsia"/>
          <w:sz w:val="24"/>
        </w:rPr>
        <w:t>二、机构设置</w:t>
      </w:r>
      <w:r>
        <w:rPr>
          <w:rFonts w:hint="eastAsia"/>
          <w:sz w:val="24"/>
        </w:rPr>
        <w:tab/>
      </w:r>
      <w:r>
        <w:rPr>
          <w:rFonts w:hint="eastAsia"/>
          <w:sz w:val="24"/>
        </w:rPr>
        <w:t>4</w:t>
      </w:r>
      <w:r>
        <w:rPr>
          <w:rFonts w:hint="eastAsia"/>
          <w:sz w:val="24"/>
        </w:rPr>
        <w:fldChar w:fldCharType="end"/>
      </w:r>
    </w:p>
    <w:p>
      <w:pPr>
        <w:pStyle w:val="10"/>
        <w:adjustRightInd w:val="0"/>
        <w:snapToGrid w:val="0"/>
        <w:spacing w:before="0" w:line="560" w:lineRule="exact"/>
        <w:jc w:val="left"/>
        <w:rPr>
          <w:sz w:val="24"/>
        </w:rPr>
      </w:pPr>
      <w:r>
        <w:fldChar w:fldCharType="begin"/>
      </w:r>
      <w:r>
        <w:instrText xml:space="preserve"> HYPERLINK \l "_Toc16174" </w:instrText>
      </w:r>
      <w:r>
        <w:fldChar w:fldCharType="separate"/>
      </w:r>
      <w:r>
        <w:rPr>
          <w:rFonts w:hint="eastAsia"/>
          <w:sz w:val="24"/>
        </w:rPr>
        <w:t>第二部分 2020年度部门决算情况说明</w:t>
      </w:r>
      <w:r>
        <w:rPr>
          <w:rFonts w:hint="eastAsia"/>
          <w:sz w:val="24"/>
        </w:rPr>
        <w:tab/>
      </w:r>
      <w:r>
        <w:rPr>
          <w:rFonts w:hint="eastAsia"/>
          <w:sz w:val="24"/>
        </w:rPr>
        <w:fldChar w:fldCharType="begin"/>
      </w:r>
      <w:r>
        <w:rPr>
          <w:rFonts w:hint="eastAsia"/>
          <w:sz w:val="24"/>
        </w:rPr>
        <w:instrText xml:space="preserve"> PAGEREF _Toc16174 </w:instrText>
      </w:r>
      <w:r>
        <w:rPr>
          <w:rFonts w:hint="eastAsia"/>
          <w:sz w:val="24"/>
        </w:rPr>
        <w:fldChar w:fldCharType="separate"/>
      </w:r>
      <w:r>
        <w:rPr>
          <w:sz w:val="24"/>
        </w:rPr>
        <w:t>6</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"_Toc32151" </w:instrText>
      </w:r>
      <w:r>
        <w:fldChar w:fldCharType="separate"/>
      </w:r>
      <w:r>
        <w:rPr>
          <w:sz w:val="24"/>
        </w:rPr>
        <w:t xml:space="preserve">一、 </w:t>
      </w:r>
      <w:r>
        <w:rPr>
          <w:rFonts w:hint="eastAsia"/>
          <w:sz w:val="24"/>
        </w:rPr>
        <w:t>收入支出决算总体情况说明</w:t>
      </w:r>
      <w:r>
        <w:rPr>
          <w:rFonts w:hint="eastAsia"/>
          <w:sz w:val="24"/>
        </w:rPr>
        <w:tab/>
      </w:r>
      <w:r>
        <w:rPr>
          <w:rFonts w:hint="eastAsia"/>
          <w:sz w:val="24"/>
        </w:rPr>
        <w:t>6</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"_Toc13529" </w:instrText>
      </w:r>
      <w:r>
        <w:fldChar w:fldCharType="separate"/>
      </w:r>
      <w:r>
        <w:rPr>
          <w:sz w:val="24"/>
        </w:rPr>
        <w:t xml:space="preserve">二、 </w:t>
      </w:r>
      <w:r>
        <w:rPr>
          <w:rFonts w:hint="eastAsia"/>
          <w:sz w:val="24"/>
        </w:rPr>
        <w:t>收入决算情况说明</w:t>
      </w:r>
      <w:r>
        <w:rPr>
          <w:rFonts w:hint="eastAsia"/>
          <w:sz w:val="24"/>
        </w:rPr>
        <w:tab/>
      </w:r>
      <w:r>
        <w:rPr>
          <w:rFonts w:hint="eastAsia"/>
          <w:sz w:val="24"/>
        </w:rPr>
        <w:t>6</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"_Toc4687" </w:instrText>
      </w:r>
      <w:r>
        <w:fldChar w:fldCharType="separate"/>
      </w:r>
      <w:r>
        <w:rPr>
          <w:sz w:val="24"/>
        </w:rPr>
        <w:t xml:space="preserve">三、 </w:t>
      </w:r>
      <w:r>
        <w:rPr>
          <w:rFonts w:hint="eastAsia"/>
          <w:sz w:val="24"/>
        </w:rPr>
        <w:t>支出决算情况说明</w:t>
      </w:r>
      <w:r>
        <w:rPr>
          <w:rFonts w:hint="eastAsia"/>
          <w:sz w:val="24"/>
        </w:rPr>
        <w:tab/>
      </w:r>
      <w:r>
        <w:rPr>
          <w:rFonts w:hint="eastAsia"/>
          <w:sz w:val="24"/>
        </w:rPr>
        <w:t>7</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"_Toc31179" </w:instrText>
      </w:r>
      <w:r>
        <w:fldChar w:fldCharType="separate"/>
      </w:r>
      <w:r>
        <w:rPr>
          <w:rFonts w:hint="eastAsia"/>
          <w:sz w:val="24"/>
        </w:rPr>
        <w:t>四、财政拨款收入支出决算总体情况说明</w:t>
      </w:r>
      <w:r>
        <w:rPr>
          <w:rFonts w:hint="eastAsia"/>
          <w:sz w:val="24"/>
        </w:rPr>
        <w:tab/>
      </w:r>
      <w:r>
        <w:rPr>
          <w:rFonts w:hint="eastAsia"/>
          <w:sz w:val="24"/>
        </w:rPr>
        <w:t>7</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"_Toc19435" </w:instrText>
      </w:r>
      <w:r>
        <w:fldChar w:fldCharType="separate"/>
      </w:r>
      <w:r>
        <w:rPr>
          <w:rFonts w:hint="eastAsia"/>
          <w:sz w:val="24"/>
        </w:rPr>
        <w:t>五、一般公共预算财政拨款支出决算情况说明</w:t>
      </w:r>
      <w:r>
        <w:rPr>
          <w:rFonts w:hint="eastAsia"/>
          <w:sz w:val="24"/>
        </w:rPr>
        <w:tab/>
      </w:r>
      <w:r>
        <w:rPr>
          <w:rFonts w:hint="eastAsia"/>
          <w:sz w:val="24"/>
        </w:rPr>
        <w:t>8</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"_Toc1672" </w:instrText>
      </w:r>
      <w:r>
        <w:fldChar w:fldCharType="separate"/>
      </w:r>
      <w:r>
        <w:rPr>
          <w:rFonts w:hint="eastAsia"/>
          <w:sz w:val="24"/>
        </w:rPr>
        <w:t>六、一般公共预算财政拨款基本支出决算情况说明</w:t>
      </w:r>
      <w:r>
        <w:rPr>
          <w:rFonts w:hint="eastAsia"/>
          <w:sz w:val="24"/>
        </w:rPr>
        <w:tab/>
      </w:r>
      <w:r>
        <w:rPr>
          <w:rFonts w:hint="eastAsia"/>
          <w:sz w:val="24"/>
        </w:rPr>
        <w:t>11</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"_Toc6829" </w:instrText>
      </w:r>
      <w:r>
        <w:fldChar w:fldCharType="separate"/>
      </w:r>
      <w:r>
        <w:rPr>
          <w:rFonts w:hint="eastAsia"/>
          <w:sz w:val="24"/>
        </w:rPr>
        <w:t>七、“三公”经费财政拨款支出决算情况说明</w:t>
      </w:r>
      <w:r>
        <w:rPr>
          <w:rFonts w:hint="eastAsia"/>
          <w:sz w:val="24"/>
        </w:rPr>
        <w:tab/>
      </w:r>
      <w:r>
        <w:rPr>
          <w:rFonts w:hint="eastAsia"/>
          <w:sz w:val="24"/>
        </w:rPr>
        <w:t>1</w:t>
      </w:r>
      <w:r>
        <w:rPr>
          <w:rFonts w:hint="eastAsia"/>
          <w:sz w:val="24"/>
        </w:rPr>
        <w:fldChar w:fldCharType="end"/>
      </w:r>
      <w:r>
        <w:rPr>
          <w:rFonts w:hint="eastAsia"/>
          <w:sz w:val="24"/>
        </w:rPr>
        <w:t>1</w:t>
      </w:r>
    </w:p>
    <w:p>
      <w:pPr>
        <w:pStyle w:val="11"/>
        <w:adjustRightInd w:val="0"/>
        <w:snapToGrid w:val="0"/>
        <w:spacing w:line="560" w:lineRule="exact"/>
        <w:jc w:val="left"/>
        <w:rPr>
          <w:sz w:val="24"/>
        </w:rPr>
      </w:pPr>
      <w:r>
        <w:fldChar w:fldCharType="begin"/>
      </w:r>
      <w:r>
        <w:instrText xml:space="preserve"> HYPERLINK \l "_Toc21552" </w:instrText>
      </w:r>
      <w:r>
        <w:fldChar w:fldCharType="separate"/>
      </w:r>
      <w:r>
        <w:rPr>
          <w:rFonts w:hint="eastAsia"/>
          <w:sz w:val="24"/>
        </w:rPr>
        <w:t>八、政府性基金预算支出决算情况说明</w:t>
      </w:r>
      <w:r>
        <w:rPr>
          <w:rFonts w:hint="eastAsia"/>
          <w:sz w:val="24"/>
        </w:rPr>
        <w:tab/>
      </w:r>
      <w:r>
        <w:rPr>
          <w:rFonts w:hint="eastAsia"/>
          <w:sz w:val="24"/>
        </w:rPr>
        <w:t>13</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"_Toc31836" </w:instrText>
      </w:r>
      <w:r>
        <w:fldChar w:fldCharType="separate"/>
      </w:r>
      <w:r>
        <w:rPr>
          <w:rFonts w:hint="eastAsia"/>
          <w:sz w:val="24"/>
        </w:rPr>
        <w:t>九、 国有资本经营预算支出决算情况说明</w:t>
      </w:r>
      <w:r>
        <w:rPr>
          <w:rFonts w:hint="eastAsia"/>
          <w:sz w:val="24"/>
        </w:rPr>
        <w:tab/>
      </w:r>
      <w:r>
        <w:rPr>
          <w:rFonts w:hint="eastAsia"/>
          <w:sz w:val="24"/>
        </w:rPr>
        <w:t>13</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"_Toc14978" </w:instrText>
      </w:r>
      <w:r>
        <w:fldChar w:fldCharType="separate"/>
      </w:r>
      <w:r>
        <w:rPr>
          <w:rFonts w:hint="eastAsia"/>
          <w:sz w:val="24"/>
        </w:rPr>
        <w:t>十、其他重要事项的情况说明</w:t>
      </w:r>
      <w:r>
        <w:rPr>
          <w:rFonts w:hint="eastAsia"/>
          <w:sz w:val="24"/>
        </w:rPr>
        <w:tab/>
      </w:r>
      <w:r>
        <w:rPr>
          <w:rFonts w:hint="eastAsia"/>
          <w:sz w:val="24"/>
        </w:rPr>
        <w:t>13</w:t>
      </w:r>
      <w:r>
        <w:rPr>
          <w:rFonts w:hint="eastAsia"/>
          <w:sz w:val="24"/>
        </w:rPr>
        <w:fldChar w:fldCharType="end"/>
      </w:r>
    </w:p>
    <w:p>
      <w:pPr>
        <w:pStyle w:val="10"/>
        <w:adjustRightInd w:val="0"/>
        <w:snapToGrid w:val="0"/>
        <w:spacing w:before="0" w:line="560" w:lineRule="exact"/>
        <w:jc w:val="left"/>
        <w:rPr>
          <w:sz w:val="24"/>
        </w:rPr>
      </w:pPr>
      <w:r>
        <w:fldChar w:fldCharType="begin"/>
      </w:r>
      <w:r>
        <w:instrText xml:space="preserve"> HYPERLINK \l "_Toc5994" </w:instrText>
      </w:r>
      <w:r>
        <w:fldChar w:fldCharType="separate"/>
      </w:r>
      <w:r>
        <w:rPr>
          <w:rFonts w:hint="eastAsia"/>
          <w:sz w:val="24"/>
        </w:rPr>
        <w:t>第三部分 名词解释</w:t>
      </w:r>
      <w:r>
        <w:rPr>
          <w:rFonts w:hint="eastAsia"/>
          <w:sz w:val="24"/>
        </w:rPr>
        <w:tab/>
      </w:r>
      <w:r>
        <w:rPr>
          <w:rFonts w:hint="eastAsia"/>
          <w:sz w:val="24"/>
        </w:rPr>
        <w:fldChar w:fldCharType="begin"/>
      </w:r>
      <w:r>
        <w:rPr>
          <w:rFonts w:hint="eastAsia"/>
          <w:sz w:val="24"/>
        </w:rPr>
        <w:instrText xml:space="preserve"> PAGEREF _Toc5994 </w:instrText>
      </w:r>
      <w:r>
        <w:rPr>
          <w:rFonts w:hint="eastAsia"/>
          <w:sz w:val="24"/>
        </w:rPr>
        <w:fldChar w:fldCharType="separate"/>
      </w:r>
      <w:r>
        <w:rPr>
          <w:sz w:val="24"/>
        </w:rPr>
        <w:t>35</w:t>
      </w:r>
      <w:r>
        <w:rPr>
          <w:rFonts w:hint="eastAsia"/>
          <w:sz w:val="24"/>
        </w:rPr>
        <w:fldChar w:fldCharType="end"/>
      </w:r>
      <w:r>
        <w:rPr>
          <w:rFonts w:hint="eastAsia"/>
          <w:sz w:val="24"/>
        </w:rPr>
        <w:fldChar w:fldCharType="end"/>
      </w:r>
    </w:p>
    <w:p>
      <w:pPr>
        <w:pStyle w:val="10"/>
        <w:adjustRightInd w:val="0"/>
        <w:snapToGrid w:val="0"/>
        <w:spacing w:before="0" w:line="560" w:lineRule="exact"/>
        <w:jc w:val="left"/>
        <w:rPr>
          <w:sz w:val="24"/>
        </w:rPr>
      </w:pPr>
      <w:r>
        <w:fldChar w:fldCharType="begin"/>
      </w:r>
      <w:r>
        <w:instrText xml:space="preserve"> HYPERLINK \l "_Toc8485" </w:instrText>
      </w:r>
      <w:r>
        <w:fldChar w:fldCharType="separate"/>
      </w:r>
      <w:r>
        <w:rPr>
          <w:rFonts w:hint="eastAsia"/>
          <w:sz w:val="24"/>
        </w:rPr>
        <w:t>第四部分 附件</w:t>
      </w:r>
      <w:r>
        <w:rPr>
          <w:rFonts w:hint="eastAsia"/>
          <w:sz w:val="24"/>
        </w:rPr>
        <w:tab/>
      </w:r>
      <w:r>
        <w:rPr>
          <w:rFonts w:hint="eastAsia"/>
          <w:sz w:val="24"/>
        </w:rPr>
        <w:t>38</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"_Toc30099" </w:instrText>
      </w:r>
      <w:r>
        <w:fldChar w:fldCharType="separate"/>
      </w:r>
      <w:r>
        <w:rPr>
          <w:rFonts w:hint="eastAsia"/>
          <w:sz w:val="24"/>
        </w:rPr>
        <w:t>附件1</w:t>
      </w:r>
      <w:r>
        <w:rPr>
          <w:rFonts w:hint="eastAsia"/>
          <w:sz w:val="24"/>
        </w:rPr>
        <w:tab/>
      </w:r>
      <w:r>
        <w:rPr>
          <w:rFonts w:hint="eastAsia"/>
          <w:sz w:val="24"/>
        </w:rPr>
        <w:t>38</w:t>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"_Toc30099" </w:instrText>
      </w:r>
      <w:r>
        <w:fldChar w:fldCharType="separate"/>
      </w:r>
      <w:r>
        <w:rPr>
          <w:rFonts w:hint="eastAsia"/>
          <w:sz w:val="24"/>
        </w:rPr>
        <w:t>附件2</w:t>
      </w:r>
      <w:r>
        <w:rPr>
          <w:rFonts w:hint="eastAsia"/>
          <w:sz w:val="24"/>
        </w:rPr>
        <w:tab/>
      </w:r>
      <w:r>
        <w:rPr>
          <w:rFonts w:hint="eastAsia"/>
          <w:sz w:val="24"/>
        </w:rPr>
        <w:t>4</w:t>
      </w:r>
      <w:r>
        <w:rPr>
          <w:rFonts w:hint="eastAsia"/>
          <w:sz w:val="24"/>
        </w:rPr>
        <w:fldChar w:fldCharType="end"/>
      </w:r>
      <w:r>
        <w:rPr>
          <w:rFonts w:hint="eastAsia"/>
          <w:sz w:val="24"/>
        </w:rPr>
        <w:t>2</w:t>
      </w:r>
    </w:p>
    <w:p>
      <w:pPr>
        <w:pStyle w:val="10"/>
        <w:adjustRightInd w:val="0"/>
        <w:snapToGrid w:val="0"/>
        <w:spacing w:before="0" w:line="560" w:lineRule="exact"/>
        <w:jc w:val="left"/>
        <w:rPr>
          <w:sz w:val="24"/>
        </w:rPr>
      </w:pPr>
      <w:r>
        <w:fldChar w:fldCharType="begin"/>
      </w:r>
      <w:r>
        <w:instrText xml:space="preserve"> HYPERLINK \l "_Toc19739" </w:instrText>
      </w:r>
      <w:r>
        <w:fldChar w:fldCharType="separate"/>
      </w:r>
      <w:r>
        <w:rPr>
          <w:rFonts w:hint="eastAsia"/>
          <w:sz w:val="24"/>
        </w:rPr>
        <w:t>第五部分 附表</w:t>
      </w:r>
      <w:r>
        <w:rPr>
          <w:rFonts w:hint="eastAsia"/>
          <w:sz w:val="24"/>
        </w:rPr>
        <w:tab/>
      </w:r>
      <w:r>
        <w:rPr>
          <w:rFonts w:hint="eastAsia"/>
          <w:sz w:val="24"/>
        </w:rPr>
        <w:t>8</w:t>
      </w:r>
      <w:r>
        <w:rPr>
          <w:rFonts w:hint="eastAsia"/>
          <w:sz w:val="24"/>
        </w:rPr>
        <w:fldChar w:fldCharType="end"/>
      </w:r>
      <w:r>
        <w:rPr>
          <w:rFonts w:hint="eastAsia"/>
          <w:sz w:val="24"/>
        </w:rPr>
        <w:t>2</w:t>
      </w:r>
    </w:p>
    <w:p>
      <w:pPr>
        <w:pStyle w:val="11"/>
        <w:adjustRightInd w:val="0"/>
        <w:snapToGrid w:val="0"/>
        <w:spacing w:line="560" w:lineRule="exact"/>
        <w:jc w:val="left"/>
        <w:rPr>
          <w:sz w:val="24"/>
        </w:rPr>
      </w:pPr>
      <w:r>
        <w:fldChar w:fldCharType="begin"/>
      </w:r>
      <w:r>
        <w:instrText xml:space="preserve"> HYPERLINK \l "_Toc2808" </w:instrText>
      </w:r>
      <w:r>
        <w:fldChar w:fldCharType="separate"/>
      </w:r>
      <w:r>
        <w:rPr>
          <w:rFonts w:hint="eastAsia"/>
          <w:sz w:val="24"/>
        </w:rPr>
        <w:t>一、收入支出决算总表</w:t>
      </w:r>
      <w:r>
        <w:rPr>
          <w:rFonts w:hint="eastAsia"/>
          <w:sz w:val="24"/>
        </w:rPr>
        <w:tab/>
      </w:r>
      <w:r>
        <w:rPr>
          <w:rFonts w:hint="eastAsia"/>
          <w:sz w:val="24"/>
        </w:rPr>
        <w:t>8</w:t>
      </w:r>
      <w:r>
        <w:rPr>
          <w:rFonts w:hint="eastAsia"/>
          <w:sz w:val="24"/>
        </w:rPr>
        <w:fldChar w:fldCharType="end"/>
      </w:r>
      <w:r>
        <w:rPr>
          <w:rFonts w:hint="eastAsia"/>
          <w:sz w:val="24"/>
        </w:rPr>
        <w:t>2</w:t>
      </w:r>
    </w:p>
    <w:p>
      <w:pPr>
        <w:pStyle w:val="11"/>
        <w:adjustRightInd w:val="0"/>
        <w:snapToGrid w:val="0"/>
        <w:spacing w:line="560" w:lineRule="exact"/>
        <w:jc w:val="left"/>
        <w:rPr>
          <w:sz w:val="24"/>
        </w:rPr>
      </w:pPr>
      <w:r>
        <w:fldChar w:fldCharType="begin"/>
      </w:r>
      <w:r>
        <w:instrText xml:space="preserve"> HYPERLINK \l "_Toc31540" </w:instrText>
      </w:r>
      <w:r>
        <w:fldChar w:fldCharType="separate"/>
      </w:r>
      <w:r>
        <w:rPr>
          <w:rFonts w:hint="eastAsia"/>
          <w:sz w:val="24"/>
        </w:rPr>
        <w:t>二、收入决算表</w:t>
      </w:r>
      <w:r>
        <w:rPr>
          <w:rFonts w:hint="eastAsia"/>
          <w:sz w:val="24"/>
        </w:rPr>
        <w:tab/>
      </w:r>
      <w:r>
        <w:rPr>
          <w:rFonts w:hint="eastAsia"/>
          <w:sz w:val="24"/>
        </w:rPr>
        <w:t>8</w:t>
      </w:r>
      <w:r>
        <w:rPr>
          <w:rFonts w:hint="eastAsia"/>
          <w:sz w:val="24"/>
        </w:rPr>
        <w:fldChar w:fldCharType="end"/>
      </w:r>
      <w:r>
        <w:rPr>
          <w:rFonts w:hint="eastAsia"/>
          <w:sz w:val="24"/>
        </w:rPr>
        <w:t>2</w:t>
      </w:r>
    </w:p>
    <w:p>
      <w:pPr>
        <w:pStyle w:val="11"/>
        <w:adjustRightInd w:val="0"/>
        <w:snapToGrid w:val="0"/>
        <w:spacing w:line="560" w:lineRule="exact"/>
        <w:jc w:val="left"/>
        <w:rPr>
          <w:sz w:val="24"/>
        </w:rPr>
      </w:pPr>
      <w:r>
        <w:fldChar w:fldCharType="begin"/>
      </w:r>
      <w:r>
        <w:instrText xml:space="preserve"> HYPERLINK \l "_Toc1909" </w:instrText>
      </w:r>
      <w:r>
        <w:fldChar w:fldCharType="separate"/>
      </w:r>
      <w:r>
        <w:rPr>
          <w:rFonts w:hint="eastAsia"/>
          <w:sz w:val="24"/>
        </w:rPr>
        <w:t>三、支出决算表</w:t>
      </w:r>
      <w:r>
        <w:rPr>
          <w:rFonts w:hint="eastAsia"/>
          <w:sz w:val="24"/>
        </w:rPr>
        <w:tab/>
      </w:r>
      <w:r>
        <w:rPr>
          <w:rFonts w:hint="eastAsia"/>
          <w:sz w:val="24"/>
        </w:rPr>
        <w:t>8</w:t>
      </w:r>
      <w:r>
        <w:rPr>
          <w:rFonts w:hint="eastAsia"/>
          <w:sz w:val="24"/>
        </w:rPr>
        <w:fldChar w:fldCharType="end"/>
      </w:r>
      <w:r>
        <w:rPr>
          <w:rFonts w:hint="eastAsia"/>
          <w:sz w:val="24"/>
        </w:rPr>
        <w:t>2</w:t>
      </w:r>
    </w:p>
    <w:p>
      <w:pPr>
        <w:pStyle w:val="11"/>
        <w:adjustRightInd w:val="0"/>
        <w:snapToGrid w:val="0"/>
        <w:spacing w:line="560" w:lineRule="exact"/>
        <w:jc w:val="left"/>
        <w:rPr>
          <w:sz w:val="24"/>
        </w:rPr>
      </w:pPr>
      <w:r>
        <w:fldChar w:fldCharType="begin"/>
      </w:r>
      <w:r>
        <w:instrText xml:space="preserve"> HYPERLINK \l "_Toc31878" </w:instrText>
      </w:r>
      <w:r>
        <w:fldChar w:fldCharType="separate"/>
      </w:r>
      <w:r>
        <w:rPr>
          <w:rFonts w:hint="eastAsia"/>
          <w:sz w:val="24"/>
        </w:rPr>
        <w:t>四、财政拨款收入支出决算总表</w:t>
      </w:r>
      <w:r>
        <w:rPr>
          <w:rFonts w:hint="eastAsia"/>
          <w:sz w:val="24"/>
        </w:rPr>
        <w:tab/>
      </w:r>
      <w:r>
        <w:rPr>
          <w:rFonts w:hint="eastAsia"/>
          <w:sz w:val="24"/>
        </w:rPr>
        <w:fldChar w:fldCharType="begin"/>
      </w:r>
      <w:r>
        <w:rPr>
          <w:rFonts w:hint="eastAsia"/>
          <w:sz w:val="24"/>
        </w:rPr>
        <w:instrText xml:space="preserve"> PAGEREF _Toc31878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"_Toc32202" </w:instrText>
      </w:r>
      <w:r>
        <w:fldChar w:fldCharType="separate"/>
      </w:r>
      <w:r>
        <w:rPr>
          <w:rFonts w:hint="eastAsia"/>
          <w:sz w:val="24"/>
        </w:rPr>
        <w:t>五、财政拨款支出决算明细表</w:t>
      </w:r>
      <w:r>
        <w:rPr>
          <w:rFonts w:hint="eastAsia"/>
          <w:sz w:val="24"/>
        </w:rPr>
        <w:tab/>
      </w:r>
      <w:r>
        <w:rPr>
          <w:rFonts w:hint="eastAsia"/>
          <w:sz w:val="24"/>
        </w:rPr>
        <w:fldChar w:fldCharType="begin"/>
      </w:r>
      <w:r>
        <w:rPr>
          <w:rFonts w:hint="eastAsia"/>
          <w:sz w:val="24"/>
        </w:rPr>
        <w:instrText xml:space="preserve"> PAGEREF _Toc32202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"_Toc3783" </w:instrText>
      </w:r>
      <w:r>
        <w:fldChar w:fldCharType="separate"/>
      </w:r>
      <w:r>
        <w:rPr>
          <w:rFonts w:hint="eastAsia"/>
          <w:sz w:val="24"/>
        </w:rPr>
        <w:t>六、一般公共预算财政拨款支出决算表</w:t>
      </w:r>
      <w:r>
        <w:rPr>
          <w:rFonts w:hint="eastAsia"/>
          <w:sz w:val="24"/>
        </w:rPr>
        <w:tab/>
      </w:r>
      <w:r>
        <w:rPr>
          <w:rFonts w:hint="eastAsia"/>
          <w:sz w:val="24"/>
        </w:rPr>
        <w:fldChar w:fldCharType="begin"/>
      </w:r>
      <w:r>
        <w:rPr>
          <w:rFonts w:hint="eastAsia"/>
          <w:sz w:val="24"/>
        </w:rPr>
        <w:instrText xml:space="preserve"> PAGEREF _Toc3783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"_Toc15079" </w:instrText>
      </w:r>
      <w:r>
        <w:fldChar w:fldCharType="separate"/>
      </w:r>
      <w:r>
        <w:rPr>
          <w:rFonts w:hint="eastAsia"/>
          <w:sz w:val="24"/>
        </w:rPr>
        <w:t>七、一般公共预算财政拨款支出决算明细表</w:t>
      </w:r>
      <w:r>
        <w:rPr>
          <w:rFonts w:hint="eastAsia"/>
          <w:sz w:val="24"/>
        </w:rPr>
        <w:tab/>
      </w:r>
      <w:r>
        <w:rPr>
          <w:rFonts w:hint="eastAsia"/>
          <w:sz w:val="24"/>
        </w:rPr>
        <w:fldChar w:fldCharType="begin"/>
      </w:r>
      <w:r>
        <w:rPr>
          <w:rFonts w:hint="eastAsia"/>
          <w:sz w:val="24"/>
        </w:rPr>
        <w:instrText xml:space="preserve"> PAGEREF _Toc15079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"_Toc243" </w:instrText>
      </w:r>
      <w:r>
        <w:fldChar w:fldCharType="separate"/>
      </w:r>
      <w:r>
        <w:rPr>
          <w:rFonts w:hint="eastAsia"/>
          <w:sz w:val="24"/>
        </w:rPr>
        <w:t>八、一般公共预算财政拨款基本支出决算表</w:t>
      </w:r>
      <w:r>
        <w:rPr>
          <w:rFonts w:hint="eastAsia"/>
          <w:sz w:val="24"/>
        </w:rPr>
        <w:tab/>
      </w:r>
      <w:r>
        <w:rPr>
          <w:rFonts w:hint="eastAsia"/>
          <w:sz w:val="24"/>
        </w:rPr>
        <w:fldChar w:fldCharType="begin"/>
      </w:r>
      <w:r>
        <w:rPr>
          <w:rFonts w:hint="eastAsia"/>
          <w:sz w:val="24"/>
        </w:rPr>
        <w:instrText xml:space="preserve"> PAGEREF _Toc243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"_Toc22646" </w:instrText>
      </w:r>
      <w:r>
        <w:fldChar w:fldCharType="separate"/>
      </w:r>
      <w:r>
        <w:rPr>
          <w:rFonts w:hint="eastAsia"/>
          <w:sz w:val="24"/>
        </w:rPr>
        <w:t>九、一般公共预算财政拨款项目支出决算表</w:t>
      </w:r>
      <w:r>
        <w:rPr>
          <w:rFonts w:hint="eastAsia"/>
          <w:sz w:val="24"/>
        </w:rPr>
        <w:tab/>
      </w:r>
      <w:r>
        <w:rPr>
          <w:rFonts w:hint="eastAsia"/>
          <w:sz w:val="24"/>
        </w:rPr>
        <w:fldChar w:fldCharType="begin"/>
      </w:r>
      <w:r>
        <w:rPr>
          <w:rFonts w:hint="eastAsia"/>
          <w:sz w:val="24"/>
        </w:rPr>
        <w:instrText xml:space="preserve"> PAGEREF _Toc22646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"_Toc31271" </w:instrText>
      </w:r>
      <w:r>
        <w:fldChar w:fldCharType="separate"/>
      </w:r>
      <w:r>
        <w:rPr>
          <w:rFonts w:hint="eastAsia"/>
          <w:sz w:val="24"/>
        </w:rPr>
        <w:t>十、一般公共预算财政拨款“三公”经费支出决算表</w:t>
      </w:r>
      <w:r>
        <w:rPr>
          <w:rFonts w:hint="eastAsia"/>
          <w:sz w:val="24"/>
        </w:rPr>
        <w:tab/>
      </w:r>
      <w:r>
        <w:rPr>
          <w:rFonts w:hint="eastAsia"/>
          <w:sz w:val="24"/>
        </w:rPr>
        <w:fldChar w:fldCharType="begin"/>
      </w:r>
      <w:r>
        <w:rPr>
          <w:rFonts w:hint="eastAsia"/>
          <w:sz w:val="24"/>
        </w:rPr>
        <w:instrText xml:space="preserve"> PAGEREF _Toc31271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"_Toc27863" </w:instrText>
      </w:r>
      <w:r>
        <w:fldChar w:fldCharType="separate"/>
      </w:r>
      <w:r>
        <w:rPr>
          <w:rFonts w:hint="eastAsia"/>
          <w:sz w:val="24"/>
        </w:rPr>
        <w:t>十一、政府性基金预算财政拨款收入支出决算表</w:t>
      </w:r>
      <w:r>
        <w:rPr>
          <w:rFonts w:hint="eastAsia"/>
          <w:sz w:val="24"/>
        </w:rPr>
        <w:tab/>
      </w:r>
      <w:r>
        <w:rPr>
          <w:rFonts w:hint="eastAsia"/>
          <w:sz w:val="24"/>
        </w:rPr>
        <w:fldChar w:fldCharType="begin"/>
      </w:r>
      <w:r>
        <w:rPr>
          <w:rFonts w:hint="eastAsia"/>
          <w:sz w:val="24"/>
        </w:rPr>
        <w:instrText xml:space="preserve"> PAGEREF _Toc27863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"_Toc23596" </w:instrText>
      </w:r>
      <w:r>
        <w:fldChar w:fldCharType="separate"/>
      </w:r>
      <w:r>
        <w:rPr>
          <w:rFonts w:hint="eastAsia"/>
          <w:sz w:val="24"/>
        </w:rPr>
        <w:t>十二、政府性基金预算财政拨款“三公”经费支出决算表</w:t>
      </w:r>
      <w:r>
        <w:rPr>
          <w:rFonts w:hint="eastAsia"/>
          <w:sz w:val="24"/>
        </w:rPr>
        <w:tab/>
      </w:r>
      <w:r>
        <w:rPr>
          <w:rFonts w:hint="eastAsia"/>
          <w:sz w:val="24"/>
        </w:rPr>
        <w:fldChar w:fldCharType="begin"/>
      </w:r>
      <w:r>
        <w:rPr>
          <w:rFonts w:hint="eastAsia"/>
          <w:sz w:val="24"/>
        </w:rPr>
        <w:instrText xml:space="preserve"> PAGEREF _Toc23596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"_Toc3056" </w:instrText>
      </w:r>
      <w:r>
        <w:fldChar w:fldCharType="separate"/>
      </w:r>
      <w:r>
        <w:rPr>
          <w:rFonts w:hint="eastAsia"/>
          <w:sz w:val="24"/>
        </w:rPr>
        <w:t>十三、国有资本经营预算财政拨款收入支出决算表</w:t>
      </w:r>
      <w:r>
        <w:rPr>
          <w:rFonts w:hint="eastAsia"/>
          <w:sz w:val="24"/>
        </w:rPr>
        <w:tab/>
      </w:r>
      <w:r>
        <w:rPr>
          <w:rFonts w:hint="eastAsia"/>
          <w:sz w:val="24"/>
        </w:rPr>
        <w:fldChar w:fldCharType="begin"/>
      </w:r>
      <w:r>
        <w:rPr>
          <w:rFonts w:hint="eastAsia"/>
          <w:sz w:val="24"/>
        </w:rPr>
        <w:instrText xml:space="preserve"> PAGEREF _Toc3056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pStyle w:val="11"/>
        <w:adjustRightInd w:val="0"/>
        <w:snapToGrid w:val="0"/>
        <w:spacing w:line="560" w:lineRule="exact"/>
        <w:jc w:val="left"/>
        <w:rPr>
          <w:sz w:val="24"/>
        </w:rPr>
      </w:pPr>
      <w:r>
        <w:fldChar w:fldCharType="begin"/>
      </w:r>
      <w:r>
        <w:instrText xml:space="preserve"> HYPERLINK \l "_Toc18314" </w:instrText>
      </w:r>
      <w:r>
        <w:fldChar w:fldCharType="separate"/>
      </w:r>
      <w:r>
        <w:rPr>
          <w:rFonts w:hint="eastAsia"/>
          <w:sz w:val="24"/>
        </w:rPr>
        <w:t>十四、国有资本经营预算财政拨款支出决算表</w:t>
      </w:r>
      <w:r>
        <w:rPr>
          <w:rFonts w:hint="eastAsia"/>
          <w:sz w:val="24"/>
        </w:rPr>
        <w:tab/>
      </w:r>
      <w:r>
        <w:rPr>
          <w:rFonts w:hint="eastAsia"/>
          <w:sz w:val="24"/>
        </w:rPr>
        <w:fldChar w:fldCharType="begin"/>
      </w:r>
      <w:r>
        <w:rPr>
          <w:rFonts w:hint="eastAsia"/>
          <w:sz w:val="24"/>
        </w:rPr>
        <w:instrText xml:space="preserve"> PAGEREF _Toc18314 </w:instrText>
      </w:r>
      <w:r>
        <w:rPr>
          <w:rFonts w:hint="eastAsia"/>
          <w:sz w:val="24"/>
        </w:rPr>
        <w:fldChar w:fldCharType="separate"/>
      </w:r>
      <w:r>
        <w:rPr>
          <w:sz w:val="24"/>
        </w:rPr>
        <w:t>82</w:t>
      </w:r>
      <w:r>
        <w:rPr>
          <w:rFonts w:hint="eastAsia"/>
          <w:sz w:val="24"/>
        </w:rPr>
        <w:fldChar w:fldCharType="end"/>
      </w:r>
      <w:r>
        <w:rPr>
          <w:rFonts w:hint="eastAsia"/>
          <w:sz w:val="24"/>
        </w:rPr>
        <w:fldChar w:fldCharType="end"/>
      </w:r>
    </w:p>
    <w:p>
      <w:pPr>
        <w:spacing w:line="560" w:lineRule="exact"/>
        <w:rPr>
          <w:rFonts w:ascii="仿宋" w:hAnsi="仿宋" w:eastAsia="仿宋"/>
          <w:bCs/>
          <w:kern w:val="44"/>
          <w:sz w:val="24"/>
        </w:rPr>
      </w:pPr>
      <w:r>
        <w:fldChar w:fldCharType="end"/>
      </w:r>
      <w:bookmarkStart w:id="15" w:name="_Toc15377196"/>
      <w:bookmarkStart w:id="16" w:name="_Toc15396599"/>
      <w:r>
        <w:rPr>
          <w:rFonts w:ascii="仿宋" w:hAnsi="仿宋" w:eastAsia="仿宋"/>
          <w:b/>
          <w:sz w:val="24"/>
        </w:rPr>
        <w:br w:type="page"/>
      </w:r>
    </w:p>
    <w:p>
      <w:pPr>
        <w:pStyle w:val="2"/>
        <w:spacing w:line="560" w:lineRule="exact"/>
        <w:jc w:val="center"/>
        <w:rPr>
          <w:rFonts w:ascii="黑体" w:eastAsia="黑体"/>
          <w:color w:val="000000"/>
          <w:sz w:val="32"/>
          <w:szCs w:val="32"/>
        </w:rPr>
      </w:pPr>
      <w:bookmarkStart w:id="17" w:name="_Toc13566"/>
      <w:r>
        <w:rPr>
          <w:rFonts w:hint="eastAsia" w:ascii="黑体" w:hAnsi="黑体" w:eastAsia="黑体"/>
          <w:b w:val="0"/>
        </w:rPr>
        <w:t>第一部分</w:t>
      </w:r>
      <w:r>
        <w:rPr>
          <w:rFonts w:ascii="黑体" w:hAnsi="黑体" w:eastAsia="黑体"/>
          <w:b w:val="0"/>
        </w:rPr>
        <w:t xml:space="preserve"> </w:t>
      </w:r>
      <w:r>
        <w:rPr>
          <w:rStyle w:val="25"/>
          <w:rFonts w:hint="eastAsia" w:ascii="黑体" w:hAnsi="黑体" w:eastAsia="黑体"/>
          <w:b w:val="0"/>
          <w:bCs w:val="0"/>
        </w:rPr>
        <w:t>部门概况</w:t>
      </w:r>
      <w:bookmarkEnd w:id="15"/>
      <w:bookmarkEnd w:id="16"/>
      <w:bookmarkEnd w:id="17"/>
    </w:p>
    <w:p>
      <w:pPr>
        <w:pStyle w:val="3"/>
        <w:spacing w:line="560" w:lineRule="exact"/>
        <w:rPr>
          <w:rStyle w:val="19"/>
          <w:rFonts w:ascii="仿宋" w:hAnsi="仿宋" w:eastAsia="仿宋"/>
          <w:b w:val="0"/>
          <w:bCs w:val="0"/>
        </w:rPr>
      </w:pPr>
      <w:bookmarkStart w:id="18" w:name="_Toc15377197"/>
      <w:bookmarkStart w:id="19" w:name="_Toc15396600"/>
      <w:bookmarkStart w:id="20" w:name="_Toc2346"/>
      <w:r>
        <w:rPr>
          <w:rFonts w:hint="eastAsia" w:ascii="黑体" w:hAnsi="黑体" w:eastAsia="黑体"/>
          <w:b w:val="0"/>
          <w:color w:val="000000"/>
        </w:rPr>
        <w:t>一、基</w:t>
      </w:r>
      <w:r>
        <w:rPr>
          <w:rStyle w:val="19"/>
          <w:rFonts w:hint="eastAsia" w:ascii="黑体" w:hAnsi="黑体" w:eastAsia="黑体"/>
          <w:b w:val="0"/>
          <w:bCs w:val="0"/>
        </w:rPr>
        <w:t>本职能及主要工作</w:t>
      </w:r>
      <w:bookmarkEnd w:id="18"/>
      <w:bookmarkEnd w:id="19"/>
      <w:bookmarkEnd w:id="20"/>
    </w:p>
    <w:p>
      <w:pPr>
        <w:pStyle w:val="5"/>
        <w:adjustRightInd w:val="0"/>
        <w:snapToGrid w:val="0"/>
        <w:spacing w:beforeLines="0" w:line="560" w:lineRule="exact"/>
        <w:ind w:firstLine="674" w:firstLineChars="210"/>
        <w:outlineLvl w:val="2"/>
        <w:rPr>
          <w:rFonts w:ascii="楷体_GB2312" w:hAnsi="楷体_GB2312" w:eastAsia="楷体_GB2312" w:cs="楷体_GB2312"/>
          <w:b/>
          <w:color w:val="000000"/>
          <w:sz w:val="32"/>
          <w:szCs w:val="32"/>
        </w:rPr>
      </w:pPr>
      <w:bookmarkStart w:id="21" w:name="_Toc15378445"/>
      <w:bookmarkStart w:id="22" w:name="_Toc15377198"/>
      <w:bookmarkStart w:id="23" w:name="_Toc8846"/>
      <w:r>
        <w:rPr>
          <w:rFonts w:hint="eastAsia" w:ascii="楷体_GB2312" w:hAnsi="楷体_GB2312" w:eastAsia="楷体_GB2312" w:cs="楷体_GB2312"/>
          <w:b/>
          <w:color w:val="000000"/>
          <w:sz w:val="32"/>
          <w:szCs w:val="32"/>
        </w:rPr>
        <w:t>（一）主要职能。</w:t>
      </w:r>
      <w:bookmarkEnd w:id="21"/>
      <w:bookmarkEnd w:id="22"/>
      <w:bookmarkEnd w:id="23"/>
    </w:p>
    <w:p>
      <w:pPr>
        <w:pStyle w:val="5"/>
        <w:adjustRightInd w:val="0"/>
        <w:spacing w:beforeLines="0" w:line="560" w:lineRule="exact"/>
        <w:ind w:firstLine="672" w:firstLineChars="210"/>
        <w:rPr>
          <w:rFonts w:hAnsi="Helvetica" w:cs="Helvetica"/>
          <w:color w:val="333333"/>
          <w:sz w:val="32"/>
          <w:szCs w:val="32"/>
        </w:rPr>
      </w:pPr>
      <w:bookmarkStart w:id="24" w:name="_Toc15377199"/>
      <w:bookmarkStart w:id="25" w:name="_Toc24576"/>
      <w:bookmarkStart w:id="26" w:name="_Toc15378446"/>
      <w:r>
        <w:rPr>
          <w:rFonts w:hint="eastAsia" w:hAnsi="Helvetica" w:cs="Helvetica"/>
          <w:color w:val="333333"/>
          <w:sz w:val="32"/>
          <w:szCs w:val="32"/>
        </w:rPr>
        <w:t>乐山市公安局</w:t>
      </w:r>
      <w:r>
        <w:rPr>
          <w:rFonts w:hint="eastAsia" w:hAnsi="Helvetica" w:cs="Helvetica"/>
          <w:color w:val="333333"/>
          <w:sz w:val="32"/>
          <w:szCs w:val="32"/>
          <w:lang w:val="en-US" w:eastAsia="zh-CN"/>
        </w:rPr>
        <w:t>机关</w:t>
      </w:r>
      <w:r>
        <w:rPr>
          <w:rFonts w:hint="eastAsia" w:hAnsi="Helvetica" w:cs="Helvetica"/>
          <w:color w:val="333333"/>
          <w:sz w:val="32"/>
          <w:szCs w:val="32"/>
        </w:rPr>
        <w:t>是乐山市人民政府的</w:t>
      </w:r>
      <w:r>
        <w:rPr>
          <w:rFonts w:hAnsi="Helvetica" w:cs="Helvetica"/>
          <w:color w:val="333333"/>
          <w:sz w:val="32"/>
          <w:szCs w:val="32"/>
        </w:rPr>
        <w:t>组成</w:t>
      </w:r>
      <w:r>
        <w:rPr>
          <w:rFonts w:hint="eastAsia" w:hAnsi="Helvetica" w:cs="Helvetica"/>
          <w:color w:val="333333"/>
          <w:sz w:val="32"/>
          <w:szCs w:val="32"/>
        </w:rPr>
        <w:t>部门，</w:t>
      </w:r>
      <w:r>
        <w:rPr>
          <w:rFonts w:hAnsi="Helvetica" w:cs="Helvetica"/>
          <w:color w:val="333333"/>
          <w:sz w:val="32"/>
          <w:szCs w:val="32"/>
        </w:rPr>
        <w:t>是全市公安工作的领导机关和指挥机关，依法承担全市维护国家安全、刑事侦查、治安管理、出入境管理、道路交通安全管理、公共信息网络安全、防范处置邪教组织、应对恐怖活动等指导、</w:t>
      </w:r>
      <w:r>
        <w:rPr>
          <w:rFonts w:hint="eastAsia" w:hAnsi="Helvetica" w:cs="Helvetica"/>
          <w:color w:val="333333"/>
          <w:sz w:val="32"/>
          <w:szCs w:val="32"/>
        </w:rPr>
        <w:t>监督</w:t>
      </w:r>
      <w:r>
        <w:rPr>
          <w:rFonts w:hAnsi="Helvetica" w:cs="Helvetica"/>
          <w:color w:val="333333"/>
          <w:sz w:val="32"/>
          <w:szCs w:val="32"/>
        </w:rPr>
        <w:t>、组织、协调</w:t>
      </w:r>
      <w:r>
        <w:rPr>
          <w:rFonts w:hint="eastAsia" w:hAnsi="Helvetica" w:cs="Helvetica"/>
          <w:color w:val="333333"/>
          <w:sz w:val="32"/>
          <w:szCs w:val="32"/>
        </w:rPr>
        <w:t>、</w:t>
      </w:r>
      <w:r>
        <w:rPr>
          <w:rFonts w:hAnsi="Helvetica" w:cs="Helvetica"/>
          <w:color w:val="333333"/>
          <w:sz w:val="32"/>
          <w:szCs w:val="32"/>
        </w:rPr>
        <w:t>处置</w:t>
      </w:r>
      <w:r>
        <w:rPr>
          <w:rFonts w:hint="eastAsia" w:hAnsi="Helvetica" w:cs="Helvetica"/>
          <w:color w:val="333333"/>
          <w:sz w:val="32"/>
          <w:szCs w:val="32"/>
        </w:rPr>
        <w:t>职责。</w:t>
      </w:r>
    </w:p>
    <w:p>
      <w:pPr>
        <w:pStyle w:val="5"/>
        <w:adjustRightInd w:val="0"/>
        <w:snapToGrid w:val="0"/>
        <w:spacing w:beforeLines="0" w:line="560" w:lineRule="exact"/>
        <w:ind w:firstLine="674" w:firstLineChars="210"/>
        <w:outlineLvl w:val="2"/>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（二）2020年重点工作完成情况。</w:t>
      </w:r>
      <w:bookmarkEnd w:id="24"/>
      <w:bookmarkEnd w:id="25"/>
      <w:bookmarkEnd w:id="26"/>
    </w:p>
    <w:p>
      <w:pPr>
        <w:widowControl/>
        <w:wordWrap w:val="0"/>
        <w:spacing w:before="100" w:beforeAutospacing="1" w:after="100" w:afterAutospacing="1" w:line="560" w:lineRule="exact"/>
        <w:ind w:firstLine="645"/>
        <w:jc w:val="left"/>
        <w:rPr>
          <w:rFonts w:ascii="仿宋" w:hAnsi="仿宋" w:eastAsia="仿宋"/>
          <w:bCs/>
          <w:color w:val="000000"/>
          <w:kern w:val="0"/>
          <w:sz w:val="32"/>
          <w:szCs w:val="32"/>
        </w:rPr>
      </w:pPr>
      <w:bookmarkStart w:id="27" w:name="_Toc15377200"/>
      <w:bookmarkStart w:id="28" w:name="_Toc15396601"/>
      <w:r>
        <w:rPr>
          <w:rFonts w:hint="eastAsia" w:ascii="仿宋" w:hAnsi="仿宋" w:eastAsia="仿宋"/>
          <w:bCs/>
          <w:color w:val="000000"/>
          <w:kern w:val="0"/>
          <w:sz w:val="32"/>
          <w:szCs w:val="32"/>
        </w:rPr>
        <w:t>面对突如其来的新冠肺炎疫情严重冲击、百年一遇的特大洪涝灾害和交织叠加的安全稳定风险，全市公安机关不惧挑战、忠诚履职，全力以赴战疫情、抗洪灾、保安全、护稳定，坚决打赢了“六大战役”，为我市夺取“双胜利”贡献了公安力量。全市公安工作绩效勇夺全省第一，胜利实现“保二争一”工作目标，刑侦、治安排名全省第一，交警、人口、出入境、警保、信访并列全省第一，指挥中心、政治部、政保、督察、科通、技侦等6项工作排名全省第二，17项工作走在全省前列，督考推“红榜”加分全省第一，成为全省唯一无“黑榜”、无负面清单扣分的市州公安机关，市局被省厅评为调研工作成绩突出单位，被省委评为全省脱贫攻坚先进集体。市局治安支队被评为全国公安系统抗疫先进集体，交警支队党总支被评为省抗疫先进基层党组织和先进集体。</w:t>
      </w:r>
      <w:bookmarkStart w:id="29" w:name="_Toc25500"/>
    </w:p>
    <w:p>
      <w:pPr>
        <w:widowControl/>
        <w:wordWrap w:val="0"/>
        <w:spacing w:before="100" w:beforeAutospacing="1" w:after="100" w:afterAutospacing="1" w:line="560" w:lineRule="exact"/>
        <w:ind w:firstLine="645"/>
        <w:jc w:val="left"/>
        <w:rPr>
          <w:rStyle w:val="19"/>
        </w:rPr>
      </w:pPr>
      <w:r>
        <w:rPr>
          <w:rStyle w:val="19"/>
          <w:rFonts w:hint="eastAsia" w:ascii="黑体" w:hAnsi="黑体" w:eastAsia="黑体"/>
        </w:rPr>
        <w:t>二、机构设置</w:t>
      </w:r>
      <w:bookmarkEnd w:id="27"/>
      <w:bookmarkEnd w:id="28"/>
      <w:bookmarkEnd w:id="29"/>
    </w:p>
    <w:p>
      <w:pPr>
        <w:spacing w:line="560" w:lineRule="exact"/>
        <w:ind w:firstLine="800" w:firstLineChars="250"/>
        <w:rPr>
          <w:rFonts w:ascii="仿宋" w:hAnsi="仿宋" w:eastAsia="仿宋"/>
          <w:sz w:val="32"/>
          <w:szCs w:val="32"/>
        </w:rPr>
      </w:pPr>
      <w:r>
        <w:rPr>
          <w:rFonts w:hint="eastAsia" w:ascii="仿宋" w:hAnsi="仿宋" w:eastAsia="仿宋"/>
          <w:sz w:val="32"/>
          <w:szCs w:val="32"/>
        </w:rPr>
        <w:t>乐山市公安局机关下属二级单位0个，其中行政单位0个，参照公务员法管理的事业单位</w:t>
      </w:r>
      <w:r>
        <w:rPr>
          <w:rFonts w:hint="eastAsia" w:ascii="仿宋" w:hAnsi="仿宋" w:eastAsia="仿宋"/>
          <w:bCs/>
          <w:sz w:val="32"/>
          <w:szCs w:val="32"/>
        </w:rPr>
        <w:t>0</w:t>
      </w:r>
      <w:r>
        <w:rPr>
          <w:rFonts w:hint="eastAsia" w:ascii="仿宋" w:hAnsi="仿宋" w:eastAsia="仿宋"/>
          <w:sz w:val="32"/>
          <w:szCs w:val="32"/>
        </w:rPr>
        <w:t>个，其他事业单位0个。</w:t>
      </w:r>
    </w:p>
    <w:p>
      <w:pPr>
        <w:widowControl/>
        <w:spacing w:line="560" w:lineRule="exact"/>
        <w:jc w:val="left"/>
        <w:rPr>
          <w:rFonts w:ascii="仿宋" w:hAnsi="仿宋" w:eastAsia="仿宋"/>
          <w:color w:val="000000"/>
          <w:kern w:val="0"/>
          <w:sz w:val="32"/>
          <w:szCs w:val="32"/>
        </w:rPr>
      </w:pPr>
      <w:r>
        <w:rPr>
          <w:rFonts w:ascii="仿宋" w:hAnsi="仿宋" w:eastAsia="仿宋"/>
          <w:color w:val="000000"/>
          <w:sz w:val="32"/>
          <w:szCs w:val="32"/>
        </w:rPr>
        <w:br w:type="page"/>
      </w:r>
    </w:p>
    <w:p>
      <w:pPr>
        <w:pStyle w:val="2"/>
        <w:spacing w:line="560" w:lineRule="exact"/>
        <w:ind w:right="440"/>
        <w:jc w:val="right"/>
        <w:rPr>
          <w:rStyle w:val="25"/>
          <w:rFonts w:ascii="黑体" w:hAnsi="黑体" w:eastAsia="黑体"/>
          <w:b w:val="0"/>
          <w:bCs w:val="0"/>
        </w:rPr>
      </w:pPr>
      <w:bookmarkStart w:id="30" w:name="_Toc16174"/>
      <w:bookmarkStart w:id="31" w:name="_Toc15396602"/>
      <w:bookmarkStart w:id="32" w:name="_Toc15377204"/>
      <w:r>
        <w:rPr>
          <w:rFonts w:hint="eastAsia" w:ascii="黑体" w:hAnsi="黑体" w:eastAsia="黑体"/>
          <w:b w:val="0"/>
          <w:color w:val="000000"/>
        </w:rPr>
        <w:t>第二部分</w:t>
      </w:r>
      <w:r>
        <w:rPr>
          <w:rFonts w:ascii="黑体" w:hAnsi="黑体" w:eastAsia="黑体"/>
          <w:color w:val="000000"/>
        </w:rPr>
        <w:t xml:space="preserve"> </w:t>
      </w:r>
      <w:r>
        <w:rPr>
          <w:rStyle w:val="25"/>
          <w:rFonts w:ascii="黑体" w:hAnsi="黑体" w:eastAsia="黑体"/>
          <w:b w:val="0"/>
          <w:bCs w:val="0"/>
        </w:rPr>
        <w:t>2020</w:t>
      </w:r>
      <w:r>
        <w:rPr>
          <w:rStyle w:val="25"/>
          <w:rFonts w:hint="eastAsia" w:ascii="黑体" w:hAnsi="黑体" w:eastAsia="黑体"/>
          <w:b w:val="0"/>
          <w:bCs w:val="0"/>
        </w:rPr>
        <w:t>年度部门决算情况说明</w:t>
      </w:r>
      <w:bookmarkEnd w:id="30"/>
      <w:bookmarkEnd w:id="31"/>
      <w:bookmarkEnd w:id="32"/>
    </w:p>
    <w:p>
      <w:pPr>
        <w:spacing w:line="560" w:lineRule="exact"/>
      </w:pPr>
    </w:p>
    <w:p>
      <w:pPr>
        <w:pStyle w:val="31"/>
        <w:numPr>
          <w:ilvl w:val="0"/>
          <w:numId w:val="1"/>
        </w:numPr>
        <w:spacing w:line="560" w:lineRule="exact"/>
        <w:ind w:firstLineChars="0"/>
        <w:outlineLvl w:val="1"/>
        <w:rPr>
          <w:rStyle w:val="24"/>
          <w:rFonts w:ascii="黑体" w:hAnsi="黑体" w:eastAsia="黑体"/>
          <w:b w:val="0"/>
        </w:rPr>
      </w:pPr>
      <w:bookmarkStart w:id="33" w:name="_Toc15377205"/>
      <w:bookmarkStart w:id="34" w:name="_Toc15396603"/>
      <w:bookmarkStart w:id="35" w:name="_Toc20767"/>
      <w:r>
        <w:rPr>
          <w:rFonts w:hint="eastAsia" w:ascii="黑体" w:hAnsi="黑体" w:eastAsia="黑体"/>
          <w:color w:val="000000"/>
          <w:sz w:val="32"/>
          <w:szCs w:val="32"/>
        </w:rPr>
        <w:t>收</w:t>
      </w:r>
      <w:r>
        <w:rPr>
          <w:rStyle w:val="24"/>
          <w:rFonts w:hint="eastAsia" w:ascii="黑体" w:hAnsi="黑体" w:eastAsia="黑体"/>
          <w:b w:val="0"/>
        </w:rPr>
        <w:t>入支出决算总体情况说明</w:t>
      </w:r>
      <w:bookmarkEnd w:id="33"/>
      <w:bookmarkEnd w:id="34"/>
    </w:p>
    <w:p>
      <w:pPr>
        <w:spacing w:line="560" w:lineRule="exact"/>
        <w:ind w:firstLine="420" w:firstLineChars="200"/>
        <w:outlineLvl w:val="1"/>
        <w:rPr>
          <w:rStyle w:val="24"/>
          <w:rFonts w:ascii="黑体" w:hAnsi="黑体" w:eastAsia="黑体"/>
          <w:b w:val="0"/>
        </w:rPr>
      </w:pPr>
      <w:r>
        <w:drawing>
          <wp:anchor distT="0" distB="0" distL="114300" distR="114300" simplePos="0" relativeHeight="251659264" behindDoc="0" locked="0" layoutInCell="1" allowOverlap="1">
            <wp:simplePos x="0" y="0"/>
            <wp:positionH relativeFrom="column">
              <wp:posOffset>514350</wp:posOffset>
            </wp:positionH>
            <wp:positionV relativeFrom="paragraph">
              <wp:posOffset>1333500</wp:posOffset>
            </wp:positionV>
            <wp:extent cx="4584700" cy="2755900"/>
            <wp:effectExtent l="19050" t="0" r="6350" b="0"/>
            <wp:wrapTopAndBottom/>
            <wp:docPr id="2" name="图表 1"/>
            <wp:cNvGraphicFramePr/>
            <a:graphic xmlns:a="http://schemas.openxmlformats.org/drawingml/2006/main">
              <a:graphicData uri="http://schemas.openxmlformats.org/drawingml/2006/picture">
                <pic:pic xmlns:pic="http://schemas.openxmlformats.org/drawingml/2006/picture">
                  <pic:nvPicPr>
                    <pic:cNvPr id="2" name="图表 1"/>
                    <pic:cNvPicPr>
                      <a:picLocks noChangeArrowheads="true"/>
                    </pic:cNvPicPr>
                  </pic:nvPicPr>
                  <pic:blipFill>
                    <a:blip r:embed="rId6" cstate="print"/>
                    <a:srcRect/>
                    <a:stretch>
                      <a:fillRect/>
                    </a:stretch>
                  </pic:blipFill>
                  <pic:spPr>
                    <a:xfrm>
                      <a:off x="0" y="0"/>
                      <a:ext cx="4584700" cy="2755900"/>
                    </a:xfrm>
                    <a:prstGeom prst="rect">
                      <a:avLst/>
                    </a:prstGeom>
                    <a:noFill/>
                    <a:ln w="9525">
                      <a:noFill/>
                      <a:miter lim="800000"/>
                      <a:headEnd/>
                      <a:tailEnd/>
                    </a:ln>
                  </pic:spPr>
                </pic:pic>
              </a:graphicData>
            </a:graphic>
          </wp:anchor>
        </w:drawing>
      </w:r>
      <w:r>
        <w:rPr>
          <w:rFonts w:ascii="仿宋" w:hAnsi="仿宋" w:eastAsia="仿宋"/>
          <w:color w:val="000000"/>
          <w:sz w:val="32"/>
          <w:szCs w:val="32"/>
        </w:rPr>
        <w:t>2020</w:t>
      </w:r>
      <w:r>
        <w:rPr>
          <w:rFonts w:hint="eastAsia" w:ascii="仿宋" w:hAnsi="仿宋" w:eastAsia="仿宋"/>
          <w:color w:val="000000"/>
          <w:sz w:val="32"/>
          <w:szCs w:val="32"/>
        </w:rPr>
        <w:t>年度收、支总计27107.67万元。与</w:t>
      </w:r>
      <w:r>
        <w:rPr>
          <w:rFonts w:ascii="仿宋" w:hAnsi="仿宋" w:eastAsia="仿宋"/>
          <w:color w:val="000000"/>
          <w:sz w:val="32"/>
          <w:szCs w:val="32"/>
        </w:rPr>
        <w:t>2019</w:t>
      </w:r>
      <w:r>
        <w:rPr>
          <w:rFonts w:hint="eastAsia" w:ascii="仿宋" w:hAnsi="仿宋" w:eastAsia="仿宋"/>
          <w:color w:val="000000"/>
          <w:sz w:val="32"/>
          <w:szCs w:val="32"/>
        </w:rPr>
        <w:t>年相比，收、支总计各减少106.06万元，下降0.39</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sz w:val="32"/>
          <w:lang w:val="zh-CN"/>
        </w:rPr>
        <w:t>年初结转和结余</w:t>
      </w:r>
      <w:r>
        <w:rPr>
          <w:rFonts w:hint="eastAsia" w:ascii="仿宋" w:hAnsi="仿宋" w:eastAsia="仿宋"/>
          <w:sz w:val="32"/>
          <w:szCs w:val="32"/>
        </w:rPr>
        <w:t>较2019年度减少。</w:t>
      </w:r>
      <w:bookmarkStart w:id="36" w:name="_Toc15377206"/>
      <w:bookmarkStart w:id="37" w:name="_Toc15396604"/>
    </w:p>
    <w:p>
      <w:pPr>
        <w:pStyle w:val="31"/>
        <w:numPr>
          <w:ilvl w:val="0"/>
          <w:numId w:val="1"/>
        </w:numPr>
        <w:spacing w:line="560" w:lineRule="exact"/>
        <w:ind w:firstLineChars="0"/>
        <w:outlineLvl w:val="1"/>
        <w:rPr>
          <w:rStyle w:val="24"/>
          <w:rFonts w:ascii="黑体" w:hAnsi="黑体" w:eastAsia="黑体"/>
          <w:b w:val="0"/>
        </w:rPr>
      </w:pPr>
      <w:r>
        <w:rPr>
          <w:rFonts w:hint="eastAsia" w:ascii="黑体" w:hAnsi="黑体" w:eastAsia="黑体"/>
          <w:color w:val="000000"/>
          <w:sz w:val="32"/>
          <w:szCs w:val="32"/>
        </w:rPr>
        <w:t>收</w:t>
      </w:r>
      <w:r>
        <w:rPr>
          <w:rStyle w:val="24"/>
          <w:rFonts w:hint="eastAsia" w:ascii="黑体" w:hAnsi="黑体" w:eastAsia="黑体"/>
          <w:b w:val="0"/>
        </w:rPr>
        <w:t>入决算情况说明</w:t>
      </w:r>
      <w:bookmarkEnd w:id="36"/>
      <w:bookmarkEnd w:id="37"/>
    </w:p>
    <w:p>
      <w:pPr>
        <w:spacing w:line="56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年本年收入合计26026.09万元，其中：一般公共预算财政拨款收入26023.07万元，占99.99</w:t>
      </w:r>
      <w:r>
        <w:rPr>
          <w:rFonts w:ascii="仿宋" w:hAnsi="仿宋" w:eastAsia="仿宋"/>
          <w:color w:val="000000"/>
          <w:sz w:val="32"/>
          <w:szCs w:val="32"/>
        </w:rPr>
        <w:t>%</w:t>
      </w:r>
      <w:r>
        <w:rPr>
          <w:rFonts w:hint="eastAsia" w:ascii="仿宋" w:hAnsi="仿宋" w:eastAsia="仿宋"/>
          <w:color w:val="000000"/>
          <w:sz w:val="32"/>
          <w:szCs w:val="32"/>
        </w:rPr>
        <w:t>；政府性基金预算财政拨款收入0万元，占0</w:t>
      </w:r>
      <w:r>
        <w:rPr>
          <w:rFonts w:ascii="仿宋" w:hAnsi="仿宋" w:eastAsia="仿宋"/>
          <w:color w:val="000000"/>
          <w:sz w:val="32"/>
          <w:szCs w:val="32"/>
        </w:rPr>
        <w:t>%</w:t>
      </w:r>
      <w:r>
        <w:rPr>
          <w:rFonts w:hint="eastAsia" w:ascii="仿宋" w:hAnsi="仿宋" w:eastAsia="仿宋"/>
          <w:color w:val="000000"/>
          <w:sz w:val="32"/>
          <w:szCs w:val="32"/>
        </w:rPr>
        <w:t>；上级补助收入0万元，占0</w:t>
      </w:r>
      <w:r>
        <w:rPr>
          <w:rFonts w:ascii="仿宋" w:hAnsi="仿宋" w:eastAsia="仿宋"/>
          <w:color w:val="000000"/>
          <w:sz w:val="32"/>
          <w:szCs w:val="32"/>
        </w:rPr>
        <w:t>%</w:t>
      </w:r>
      <w:r>
        <w:rPr>
          <w:rFonts w:hint="eastAsia" w:ascii="仿宋" w:hAnsi="仿宋" w:eastAsia="仿宋"/>
          <w:color w:val="000000"/>
          <w:sz w:val="32"/>
          <w:szCs w:val="32"/>
        </w:rPr>
        <w:t>；事业收入0万元，占0</w:t>
      </w:r>
      <w:r>
        <w:rPr>
          <w:rFonts w:ascii="仿宋" w:hAnsi="仿宋" w:eastAsia="仿宋"/>
          <w:color w:val="000000"/>
          <w:sz w:val="32"/>
          <w:szCs w:val="32"/>
        </w:rPr>
        <w:t>%</w:t>
      </w:r>
      <w:r>
        <w:rPr>
          <w:rFonts w:hint="eastAsia" w:ascii="仿宋" w:hAnsi="仿宋" w:eastAsia="仿宋"/>
          <w:color w:val="000000"/>
          <w:sz w:val="32"/>
          <w:szCs w:val="32"/>
        </w:rPr>
        <w:t>；经营收入0万元，占0</w:t>
      </w:r>
      <w:r>
        <w:rPr>
          <w:rFonts w:ascii="仿宋" w:hAnsi="仿宋" w:eastAsia="仿宋"/>
          <w:color w:val="000000"/>
          <w:sz w:val="32"/>
          <w:szCs w:val="32"/>
        </w:rPr>
        <w:t>%</w:t>
      </w:r>
      <w:r>
        <w:rPr>
          <w:rFonts w:hint="eastAsia" w:ascii="仿宋" w:hAnsi="仿宋" w:eastAsia="仿宋"/>
          <w:color w:val="000000"/>
          <w:sz w:val="32"/>
          <w:szCs w:val="32"/>
        </w:rPr>
        <w:t>；附属单位上缴收入0万元，占0</w:t>
      </w:r>
      <w:r>
        <w:rPr>
          <w:rFonts w:ascii="仿宋" w:hAnsi="仿宋" w:eastAsia="仿宋"/>
          <w:color w:val="000000"/>
          <w:sz w:val="32"/>
          <w:szCs w:val="32"/>
        </w:rPr>
        <w:t>%</w:t>
      </w:r>
      <w:r>
        <w:rPr>
          <w:rFonts w:hint="eastAsia" w:ascii="仿宋" w:hAnsi="仿宋" w:eastAsia="仿宋"/>
          <w:color w:val="000000"/>
          <w:sz w:val="32"/>
          <w:szCs w:val="32"/>
        </w:rPr>
        <w:t>；其他收入3.02万元，占0.01</w:t>
      </w:r>
      <w:r>
        <w:rPr>
          <w:rFonts w:ascii="仿宋" w:hAnsi="仿宋" w:eastAsia="仿宋"/>
          <w:color w:val="000000"/>
          <w:sz w:val="32"/>
          <w:szCs w:val="32"/>
        </w:rPr>
        <w:t>%</w:t>
      </w:r>
      <w:r>
        <w:rPr>
          <w:rFonts w:hint="eastAsia" w:ascii="仿宋" w:hAnsi="仿宋" w:eastAsia="仿宋"/>
          <w:color w:val="000000"/>
          <w:sz w:val="32"/>
          <w:szCs w:val="32"/>
        </w:rPr>
        <w:t>。</w:t>
      </w:r>
    </w:p>
    <w:p>
      <w:pPr>
        <w:spacing w:line="560" w:lineRule="exact"/>
        <w:ind w:firstLine="640" w:firstLineChars="200"/>
        <w:outlineLvl w:val="1"/>
        <w:rPr>
          <w:rFonts w:ascii="仿宋" w:hAnsi="仿宋" w:eastAsia="仿宋"/>
          <w:color w:val="000000"/>
          <w:sz w:val="32"/>
          <w:szCs w:val="32"/>
        </w:rPr>
      </w:pPr>
    </w:p>
    <w:p>
      <w:pPr>
        <w:spacing w:line="560" w:lineRule="exact"/>
        <w:ind w:firstLine="420" w:firstLineChars="200"/>
        <w:rPr>
          <w:rFonts w:ascii="仿宋_GB2312" w:eastAsia="仿宋_GB2312"/>
          <w:color w:val="FF0000"/>
          <w:sz w:val="32"/>
          <w:szCs w:val="32"/>
        </w:rPr>
      </w:pPr>
      <w:r>
        <w:drawing>
          <wp:anchor distT="0" distB="0" distL="114300" distR="114300" simplePos="0" relativeHeight="251660288" behindDoc="0" locked="0" layoutInCell="1" allowOverlap="1">
            <wp:simplePos x="0" y="0"/>
            <wp:positionH relativeFrom="column">
              <wp:posOffset>368300</wp:posOffset>
            </wp:positionH>
            <wp:positionV relativeFrom="paragraph">
              <wp:posOffset>-8089265</wp:posOffset>
            </wp:positionV>
            <wp:extent cx="4407535" cy="2649220"/>
            <wp:effectExtent l="19050" t="0" r="0" b="0"/>
            <wp:wrapTopAndBottom/>
            <wp:docPr id="3"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true" noChangeArrowheads="true"/>
                    </pic:cNvPicPr>
                  </pic:nvPicPr>
                  <pic:blipFill>
                    <a:blip r:embed="rId7" cstate="print"/>
                    <a:srcRect/>
                    <a:stretch>
                      <a:fillRect/>
                    </a:stretch>
                  </pic:blipFill>
                  <pic:spPr>
                    <a:xfrm>
                      <a:off x="0" y="0"/>
                      <a:ext cx="4407535" cy="2649220"/>
                    </a:xfrm>
                    <a:prstGeom prst="rect">
                      <a:avLst/>
                    </a:prstGeom>
                    <a:noFill/>
                    <a:ln w="9525">
                      <a:noFill/>
                      <a:miter lim="800000"/>
                      <a:headEnd/>
                      <a:tailEnd/>
                    </a:ln>
                  </pic:spPr>
                </pic:pic>
              </a:graphicData>
            </a:graphic>
          </wp:anchor>
        </w:drawing>
      </w:r>
    </w:p>
    <w:p>
      <w:pPr>
        <w:pStyle w:val="31"/>
        <w:numPr>
          <w:ilvl w:val="0"/>
          <w:numId w:val="1"/>
        </w:numPr>
        <w:spacing w:line="560" w:lineRule="exact"/>
        <w:ind w:firstLineChars="0"/>
        <w:outlineLvl w:val="1"/>
        <w:rPr>
          <w:rStyle w:val="24"/>
          <w:rFonts w:ascii="黑体" w:hAnsi="黑体" w:eastAsia="黑体"/>
          <w:b w:val="0"/>
        </w:rPr>
      </w:pPr>
      <w:bookmarkStart w:id="38" w:name="_Toc15396605"/>
      <w:bookmarkStart w:id="39" w:name="_Toc15377207"/>
      <w:r>
        <w:rPr>
          <w:rFonts w:hint="eastAsia" w:ascii="黑体" w:hAnsi="黑体" w:eastAsia="黑体"/>
          <w:color w:val="000000"/>
          <w:sz w:val="32"/>
          <w:szCs w:val="32"/>
        </w:rPr>
        <w:t>支</w:t>
      </w:r>
      <w:r>
        <w:rPr>
          <w:rStyle w:val="24"/>
          <w:rFonts w:hint="eastAsia" w:ascii="黑体" w:hAnsi="黑体" w:eastAsia="黑体"/>
          <w:b w:val="0"/>
        </w:rPr>
        <w:t>出决算情况说明</w:t>
      </w:r>
      <w:bookmarkEnd w:id="38"/>
      <w:bookmarkEnd w:id="39"/>
    </w:p>
    <w:p>
      <w:pPr>
        <w:spacing w:line="56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年本年支出合计27019.84万元，其中：基本支出13901.09万元，占51.45</w:t>
      </w:r>
      <w:r>
        <w:rPr>
          <w:rFonts w:ascii="仿宋" w:hAnsi="仿宋" w:eastAsia="仿宋"/>
          <w:color w:val="000000"/>
          <w:sz w:val="32"/>
          <w:szCs w:val="32"/>
        </w:rPr>
        <w:t>%</w:t>
      </w:r>
      <w:r>
        <w:rPr>
          <w:rFonts w:hint="eastAsia" w:ascii="仿宋" w:hAnsi="仿宋" w:eastAsia="仿宋"/>
          <w:color w:val="000000"/>
          <w:sz w:val="32"/>
          <w:szCs w:val="32"/>
        </w:rPr>
        <w:t>；项目支出13118.75万元，占48.55</w:t>
      </w:r>
      <w:r>
        <w:rPr>
          <w:rFonts w:ascii="仿宋" w:hAnsi="仿宋" w:eastAsia="仿宋"/>
          <w:color w:val="000000"/>
          <w:sz w:val="32"/>
          <w:szCs w:val="32"/>
        </w:rPr>
        <w:t>%</w:t>
      </w:r>
      <w:r>
        <w:rPr>
          <w:rFonts w:hint="eastAsia" w:ascii="仿宋" w:hAnsi="仿宋" w:eastAsia="仿宋"/>
          <w:color w:val="000000"/>
          <w:sz w:val="32"/>
          <w:szCs w:val="32"/>
        </w:rPr>
        <w:t>；上缴上级支出0万元，占0</w:t>
      </w:r>
      <w:r>
        <w:rPr>
          <w:rFonts w:ascii="仿宋" w:hAnsi="仿宋" w:eastAsia="仿宋"/>
          <w:color w:val="000000"/>
          <w:sz w:val="32"/>
          <w:szCs w:val="32"/>
        </w:rPr>
        <w:t>%</w:t>
      </w:r>
      <w:r>
        <w:rPr>
          <w:rFonts w:hint="eastAsia" w:ascii="仿宋" w:hAnsi="仿宋" w:eastAsia="仿宋"/>
          <w:color w:val="000000"/>
          <w:sz w:val="32"/>
          <w:szCs w:val="32"/>
        </w:rPr>
        <w:t>；经营支出0万元，占0</w:t>
      </w:r>
      <w:r>
        <w:rPr>
          <w:rFonts w:ascii="仿宋" w:hAnsi="仿宋" w:eastAsia="仿宋"/>
          <w:color w:val="000000"/>
          <w:sz w:val="32"/>
          <w:szCs w:val="32"/>
        </w:rPr>
        <w:t>%</w:t>
      </w:r>
      <w:r>
        <w:rPr>
          <w:rFonts w:hint="eastAsia" w:ascii="仿宋" w:hAnsi="仿宋" w:eastAsia="仿宋"/>
          <w:color w:val="000000"/>
          <w:sz w:val="32"/>
          <w:szCs w:val="32"/>
        </w:rPr>
        <w:t>；对附属单位补助支出0万元，占0</w:t>
      </w:r>
      <w:r>
        <w:rPr>
          <w:rFonts w:ascii="仿宋" w:hAnsi="仿宋" w:eastAsia="仿宋"/>
          <w:color w:val="000000"/>
          <w:sz w:val="32"/>
          <w:szCs w:val="32"/>
        </w:rPr>
        <w:t>%</w:t>
      </w:r>
      <w:r>
        <w:rPr>
          <w:rFonts w:hint="eastAsia" w:ascii="仿宋" w:hAnsi="仿宋" w:eastAsia="仿宋"/>
          <w:color w:val="000000"/>
          <w:sz w:val="32"/>
          <w:szCs w:val="32"/>
        </w:rPr>
        <w:t>。</w:t>
      </w:r>
    </w:p>
    <w:p>
      <w:pPr>
        <w:spacing w:line="560" w:lineRule="exact"/>
        <w:ind w:firstLine="420" w:firstLineChars="200"/>
        <w:rPr>
          <w:rFonts w:ascii="仿宋_GB2312" w:eastAsia="仿宋_GB2312"/>
          <w:color w:val="FF0000"/>
          <w:sz w:val="32"/>
          <w:szCs w:val="32"/>
        </w:rPr>
      </w:pPr>
      <w:r>
        <w:drawing>
          <wp:anchor distT="0" distB="0" distL="114300" distR="114300" simplePos="0" relativeHeight="251661312" behindDoc="0" locked="0" layoutInCell="1" allowOverlap="1">
            <wp:simplePos x="0" y="0"/>
            <wp:positionH relativeFrom="column">
              <wp:posOffset>584200</wp:posOffset>
            </wp:positionH>
            <wp:positionV relativeFrom="paragraph">
              <wp:posOffset>107950</wp:posOffset>
            </wp:positionV>
            <wp:extent cx="4584700" cy="2755900"/>
            <wp:effectExtent l="19050" t="0" r="6350" b="0"/>
            <wp:wrapTopAndBottom/>
            <wp:docPr id="4" name="图表 3"/>
            <wp:cNvGraphicFramePr/>
            <a:graphic xmlns:a="http://schemas.openxmlformats.org/drawingml/2006/main">
              <a:graphicData uri="http://schemas.openxmlformats.org/drawingml/2006/picture">
                <pic:pic xmlns:pic="http://schemas.openxmlformats.org/drawingml/2006/picture">
                  <pic:nvPicPr>
                    <pic:cNvPr id="4" name="图表 3"/>
                    <pic:cNvPicPr>
                      <a:picLocks noChangeArrowheads="true"/>
                    </pic:cNvPicPr>
                  </pic:nvPicPr>
                  <pic:blipFill>
                    <a:blip r:embed="rId8" cstate="print"/>
                    <a:srcRect/>
                    <a:stretch>
                      <a:fillRect/>
                    </a:stretch>
                  </pic:blipFill>
                  <pic:spPr>
                    <a:xfrm>
                      <a:off x="0" y="0"/>
                      <a:ext cx="4584700" cy="2755900"/>
                    </a:xfrm>
                    <a:prstGeom prst="rect">
                      <a:avLst/>
                    </a:prstGeom>
                    <a:noFill/>
                    <a:ln w="9525">
                      <a:noFill/>
                      <a:miter lim="800000"/>
                      <a:headEnd/>
                      <a:tailEnd/>
                    </a:ln>
                  </pic:spPr>
                </pic:pic>
              </a:graphicData>
            </a:graphic>
          </wp:anchor>
        </w:drawing>
      </w:r>
    </w:p>
    <w:p>
      <w:pPr>
        <w:spacing w:line="560" w:lineRule="exact"/>
        <w:ind w:firstLine="640" w:firstLineChars="200"/>
        <w:outlineLvl w:val="1"/>
        <w:rPr>
          <w:rStyle w:val="24"/>
          <w:rFonts w:ascii="黑体" w:hAnsi="黑体" w:eastAsia="黑体"/>
          <w:b w:val="0"/>
        </w:rPr>
      </w:pPr>
      <w:bookmarkStart w:id="40" w:name="_Toc15377208"/>
      <w:bookmarkStart w:id="41" w:name="_Toc15396606"/>
      <w:r>
        <w:rPr>
          <w:rFonts w:hint="eastAsia" w:ascii="黑体" w:hAnsi="黑体" w:eastAsia="黑体"/>
          <w:color w:val="000000"/>
          <w:sz w:val="32"/>
          <w:szCs w:val="32"/>
        </w:rPr>
        <w:t>四、财</w:t>
      </w:r>
      <w:r>
        <w:rPr>
          <w:rStyle w:val="24"/>
          <w:rFonts w:hint="eastAsia" w:ascii="黑体" w:hAnsi="黑体" w:eastAsia="黑体"/>
          <w:b w:val="0"/>
        </w:rPr>
        <w:t>政拨款收入支出决算总体情况说明</w:t>
      </w:r>
      <w:bookmarkEnd w:id="40"/>
      <w:bookmarkEnd w:id="41"/>
    </w:p>
    <w:p>
      <w:pPr>
        <w:spacing w:line="560" w:lineRule="exact"/>
        <w:ind w:firstLine="640"/>
        <w:rPr>
          <w:rFonts w:ascii="仿宋" w:hAnsi="仿宋" w:eastAsia="仿宋"/>
          <w:sz w:val="32"/>
          <w:szCs w:val="32"/>
        </w:rPr>
      </w:pPr>
      <w:r>
        <w:rPr>
          <w:rFonts w:ascii="仿宋" w:hAnsi="仿宋" w:eastAsia="仿宋"/>
          <w:color w:val="000000"/>
          <w:sz w:val="32"/>
          <w:szCs w:val="32"/>
        </w:rPr>
        <w:t>2020</w:t>
      </w:r>
      <w:r>
        <w:rPr>
          <w:rFonts w:hint="eastAsia" w:ascii="仿宋" w:hAnsi="仿宋" w:eastAsia="仿宋"/>
          <w:color w:val="000000"/>
          <w:sz w:val="32"/>
          <w:szCs w:val="32"/>
        </w:rPr>
        <w:t>年财政拨款收、支总计27063.44万元。与</w:t>
      </w:r>
      <w:r>
        <w:rPr>
          <w:rFonts w:ascii="仿宋" w:hAnsi="仿宋" w:eastAsia="仿宋"/>
          <w:color w:val="000000"/>
          <w:sz w:val="32"/>
          <w:szCs w:val="32"/>
        </w:rPr>
        <w:t>2019</w:t>
      </w:r>
      <w:r>
        <w:rPr>
          <w:rFonts w:hint="eastAsia" w:ascii="仿宋" w:hAnsi="仿宋" w:eastAsia="仿宋"/>
          <w:color w:val="000000"/>
          <w:sz w:val="32"/>
          <w:szCs w:val="32"/>
        </w:rPr>
        <w:t>年相比，财政拨款收、支总计各减少109.09万元，下降0.40</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sz w:val="32"/>
          <w:lang w:val="zh-CN"/>
        </w:rPr>
        <w:t>年初结转和结余</w:t>
      </w:r>
      <w:r>
        <w:rPr>
          <w:rFonts w:hint="eastAsia" w:ascii="仿宋" w:hAnsi="仿宋" w:eastAsia="仿宋"/>
          <w:sz w:val="32"/>
          <w:szCs w:val="32"/>
        </w:rPr>
        <w:t>较2019年度减少。</w:t>
      </w:r>
    </w:p>
    <w:p>
      <w:pPr>
        <w:spacing w:line="560" w:lineRule="exact"/>
        <w:ind w:firstLine="640"/>
        <w:rPr>
          <w:rFonts w:ascii="仿宋" w:hAnsi="仿宋" w:eastAsia="仿宋"/>
          <w:b/>
          <w:color w:val="00B050"/>
          <w:sz w:val="32"/>
          <w:szCs w:val="32"/>
        </w:rPr>
      </w:pPr>
      <w:r>
        <w:drawing>
          <wp:anchor distT="0" distB="0" distL="114300" distR="114300" simplePos="0" relativeHeight="251662336" behindDoc="0" locked="0" layoutInCell="1" allowOverlap="1">
            <wp:simplePos x="0" y="0"/>
            <wp:positionH relativeFrom="column">
              <wp:posOffset>381000</wp:posOffset>
            </wp:positionH>
            <wp:positionV relativeFrom="paragraph">
              <wp:posOffset>297815</wp:posOffset>
            </wp:positionV>
            <wp:extent cx="4584700" cy="2755900"/>
            <wp:effectExtent l="19050" t="0" r="6350" b="0"/>
            <wp:wrapTopAndBottom/>
            <wp:docPr id="5" name="图表 4"/>
            <wp:cNvGraphicFramePr/>
            <a:graphic xmlns:a="http://schemas.openxmlformats.org/drawingml/2006/main">
              <a:graphicData uri="http://schemas.openxmlformats.org/drawingml/2006/picture">
                <pic:pic xmlns:pic="http://schemas.openxmlformats.org/drawingml/2006/picture">
                  <pic:nvPicPr>
                    <pic:cNvPr id="5" name="图表 4"/>
                    <pic:cNvPicPr>
                      <a:picLocks noChangeArrowheads="true"/>
                    </pic:cNvPicPr>
                  </pic:nvPicPr>
                  <pic:blipFill>
                    <a:blip r:embed="rId9" cstate="print"/>
                    <a:srcRect/>
                    <a:stretch>
                      <a:fillRect/>
                    </a:stretch>
                  </pic:blipFill>
                  <pic:spPr>
                    <a:xfrm>
                      <a:off x="0" y="0"/>
                      <a:ext cx="4584700" cy="2755900"/>
                    </a:xfrm>
                    <a:prstGeom prst="rect">
                      <a:avLst/>
                    </a:prstGeom>
                    <a:noFill/>
                    <a:ln w="9525">
                      <a:noFill/>
                      <a:miter lim="800000"/>
                      <a:headEnd/>
                      <a:tailEnd/>
                    </a:ln>
                  </pic:spPr>
                </pic:pic>
              </a:graphicData>
            </a:graphic>
          </wp:anchor>
        </w:drawing>
      </w:r>
    </w:p>
    <w:p>
      <w:pPr>
        <w:spacing w:line="560" w:lineRule="exact"/>
        <w:ind w:firstLine="640" w:firstLineChars="200"/>
        <w:outlineLvl w:val="1"/>
        <w:rPr>
          <w:rStyle w:val="24"/>
          <w:rFonts w:ascii="黑体" w:hAnsi="黑体" w:eastAsia="黑体"/>
          <w:b w:val="0"/>
        </w:rPr>
      </w:pPr>
      <w:bookmarkStart w:id="42" w:name="_Toc15396607"/>
      <w:bookmarkStart w:id="43" w:name="_Toc15377209"/>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4"/>
          <w:rFonts w:hint="eastAsia" w:ascii="黑体" w:hAnsi="黑体" w:eastAsia="黑体"/>
          <w:b w:val="0"/>
        </w:rPr>
        <w:t>般公共预算财政拨款支出决算情况说明</w:t>
      </w:r>
      <w:bookmarkEnd w:id="42"/>
      <w:bookmarkEnd w:id="43"/>
    </w:p>
    <w:p>
      <w:pPr>
        <w:spacing w:line="560" w:lineRule="exact"/>
        <w:ind w:firstLine="642" w:firstLineChars="200"/>
        <w:outlineLvl w:val="2"/>
        <w:rPr>
          <w:rFonts w:ascii="仿宋" w:hAnsi="仿宋" w:eastAsia="仿宋"/>
          <w:b/>
          <w:color w:val="000000"/>
          <w:sz w:val="32"/>
          <w:szCs w:val="32"/>
        </w:rPr>
      </w:pPr>
      <w:bookmarkStart w:id="44" w:name="_Toc15377210"/>
      <w:r>
        <w:rPr>
          <w:rFonts w:hint="eastAsia" w:ascii="仿宋" w:hAnsi="仿宋" w:eastAsia="仿宋"/>
          <w:b/>
          <w:color w:val="000000"/>
          <w:sz w:val="32"/>
          <w:szCs w:val="32"/>
        </w:rPr>
        <w:t>（一）一般公共预算财政拨款支出决算总体情况</w:t>
      </w:r>
      <w:bookmarkEnd w:id="44"/>
    </w:p>
    <w:p>
      <w:pPr>
        <w:spacing w:line="560" w:lineRule="exact"/>
        <w:ind w:firstLine="420" w:firstLineChars="200"/>
        <w:rPr>
          <w:rFonts w:ascii="仿宋" w:hAnsi="仿宋" w:eastAsia="仿宋"/>
          <w:color w:val="000000"/>
          <w:sz w:val="32"/>
          <w:szCs w:val="32"/>
        </w:rPr>
      </w:pPr>
      <w:r>
        <w:drawing>
          <wp:anchor distT="0" distB="0" distL="114300" distR="114300" simplePos="0" relativeHeight="251662336" behindDoc="0" locked="0" layoutInCell="1" allowOverlap="1">
            <wp:simplePos x="0" y="0"/>
            <wp:positionH relativeFrom="column">
              <wp:posOffset>425450</wp:posOffset>
            </wp:positionH>
            <wp:positionV relativeFrom="paragraph">
              <wp:posOffset>1631950</wp:posOffset>
            </wp:positionV>
            <wp:extent cx="4584700" cy="2755900"/>
            <wp:effectExtent l="19050" t="0" r="6350" b="0"/>
            <wp:wrapTopAndBottom/>
            <wp:docPr id="6" name="图表 5"/>
            <wp:cNvGraphicFramePr/>
            <a:graphic xmlns:a="http://schemas.openxmlformats.org/drawingml/2006/main">
              <a:graphicData uri="http://schemas.openxmlformats.org/drawingml/2006/picture">
                <pic:pic xmlns:pic="http://schemas.openxmlformats.org/drawingml/2006/picture">
                  <pic:nvPicPr>
                    <pic:cNvPr id="6" name="图表 5"/>
                    <pic:cNvPicPr>
                      <a:picLocks noChangeArrowheads="true"/>
                    </pic:cNvPicPr>
                  </pic:nvPicPr>
                  <pic:blipFill>
                    <a:blip r:embed="rId10" cstate="print"/>
                    <a:srcRect/>
                    <a:stretch>
                      <a:fillRect/>
                    </a:stretch>
                  </pic:blipFill>
                  <pic:spPr>
                    <a:xfrm>
                      <a:off x="0" y="0"/>
                      <a:ext cx="4584700" cy="2755900"/>
                    </a:xfrm>
                    <a:prstGeom prst="rect">
                      <a:avLst/>
                    </a:prstGeom>
                    <a:noFill/>
                    <a:ln w="9525">
                      <a:noFill/>
                      <a:miter lim="800000"/>
                      <a:headEnd/>
                      <a:tailEnd/>
                    </a:ln>
                  </pic:spPr>
                </pic:pic>
              </a:graphicData>
            </a:graphic>
          </wp:anchor>
        </w:drawing>
      </w:r>
      <w:r>
        <w:rPr>
          <w:rFonts w:ascii="仿宋" w:hAnsi="仿宋" w:eastAsia="仿宋"/>
          <w:color w:val="000000"/>
          <w:sz w:val="32"/>
          <w:szCs w:val="32"/>
        </w:rPr>
        <w:t>2020</w:t>
      </w:r>
      <w:r>
        <w:rPr>
          <w:rFonts w:hint="eastAsia" w:ascii="仿宋" w:hAnsi="仿宋" w:eastAsia="仿宋"/>
          <w:color w:val="000000"/>
          <w:sz w:val="32"/>
          <w:szCs w:val="32"/>
        </w:rPr>
        <w:t>年一般公共预算财政拨款支出27019.58万元，占本年支出合计的99.999</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2019</w:t>
      </w:r>
      <w:r>
        <w:rPr>
          <w:rFonts w:hint="eastAsia" w:ascii="仿宋" w:hAnsi="仿宋" w:eastAsia="仿宋"/>
          <w:color w:val="000000"/>
          <w:sz w:val="32"/>
          <w:szCs w:val="32"/>
        </w:rPr>
        <w:t>年相比，一般公共预算财政拨款增加1418.9万元，增长5.54</w:t>
      </w:r>
      <w:r>
        <w:rPr>
          <w:rFonts w:ascii="仿宋" w:hAnsi="仿宋" w:eastAsia="仿宋"/>
          <w:color w:val="000000"/>
          <w:sz w:val="32"/>
          <w:szCs w:val="32"/>
        </w:rPr>
        <w:t>%</w:t>
      </w:r>
      <w:r>
        <w:rPr>
          <w:rFonts w:hint="eastAsia" w:ascii="仿宋" w:hAnsi="仿宋" w:eastAsia="仿宋"/>
          <w:color w:val="000000"/>
          <w:sz w:val="32"/>
          <w:szCs w:val="32"/>
        </w:rPr>
        <w:t>。主要变动原因是公安局业务技术用房竣工决算支付以及其他项目经费支出。</w:t>
      </w:r>
    </w:p>
    <w:p>
      <w:pPr>
        <w:spacing w:line="560" w:lineRule="exact"/>
        <w:ind w:firstLine="640" w:firstLineChars="200"/>
        <w:rPr>
          <w:rFonts w:ascii="仿宋" w:hAnsi="仿宋" w:eastAsia="仿宋"/>
          <w:color w:val="000000"/>
          <w:sz w:val="32"/>
          <w:szCs w:val="32"/>
        </w:rPr>
      </w:pPr>
    </w:p>
    <w:p>
      <w:pPr>
        <w:spacing w:line="560" w:lineRule="exact"/>
        <w:ind w:firstLine="642" w:firstLineChars="200"/>
        <w:outlineLvl w:val="2"/>
        <w:rPr>
          <w:rFonts w:ascii="仿宋" w:hAnsi="仿宋" w:eastAsia="仿宋"/>
          <w:b/>
          <w:color w:val="000000"/>
          <w:sz w:val="32"/>
          <w:szCs w:val="32"/>
        </w:rPr>
      </w:pPr>
      <w:bookmarkStart w:id="45" w:name="_Toc15377211"/>
      <w:r>
        <w:rPr>
          <w:rFonts w:hint="eastAsia" w:ascii="仿宋" w:hAnsi="仿宋" w:eastAsia="仿宋"/>
          <w:b/>
          <w:color w:val="000000"/>
          <w:sz w:val="32"/>
          <w:szCs w:val="32"/>
        </w:rPr>
        <w:t>（二）一般公共预算财政拨款支出决算结构情况</w:t>
      </w:r>
      <w:bookmarkEnd w:id="45"/>
    </w:p>
    <w:p>
      <w:pPr>
        <w:spacing w:line="560" w:lineRule="exact"/>
        <w:ind w:firstLine="64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年一般公共预算财政拨款支出27019.58万元，主要用于以下方面</w:t>
      </w:r>
      <w:r>
        <w:rPr>
          <w:rFonts w:ascii="仿宋" w:hAnsi="仿宋" w:eastAsia="仿宋"/>
          <w:color w:val="000000"/>
          <w:sz w:val="32"/>
          <w:szCs w:val="32"/>
        </w:rPr>
        <w:t>:</w:t>
      </w:r>
      <w:r>
        <w:rPr>
          <w:rFonts w:hint="eastAsia" w:ascii="仿宋" w:hAnsi="仿宋" w:eastAsia="仿宋"/>
          <w:b/>
          <w:color w:val="000000"/>
          <w:sz w:val="32"/>
          <w:szCs w:val="32"/>
        </w:rPr>
        <w:t>一般公共服务（类）</w:t>
      </w:r>
      <w:r>
        <w:rPr>
          <w:rFonts w:hint="eastAsia" w:ascii="仿宋" w:hAnsi="仿宋" w:eastAsia="仿宋"/>
          <w:color w:val="000000"/>
          <w:sz w:val="32"/>
          <w:szCs w:val="32"/>
        </w:rPr>
        <w:t>支出12.23万元，占0.05</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color w:val="000000"/>
          <w:sz w:val="32"/>
          <w:szCs w:val="32"/>
        </w:rPr>
        <w:t>公共安全支出（类）</w:t>
      </w:r>
      <w:r>
        <w:rPr>
          <w:rFonts w:hint="eastAsia" w:ascii="仿宋" w:hAnsi="仿宋" w:eastAsia="仿宋"/>
          <w:color w:val="000000"/>
          <w:sz w:val="32"/>
          <w:szCs w:val="32"/>
        </w:rPr>
        <w:t>24072.95万元，占89.09</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支出1581.1万元，占5.85</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卫生健康支出</w:t>
      </w:r>
      <w:r>
        <w:rPr>
          <w:rFonts w:hint="eastAsia" w:ascii="仿宋" w:hAnsi="仿宋" w:eastAsia="仿宋"/>
          <w:color w:val="000000"/>
          <w:sz w:val="32"/>
          <w:szCs w:val="32"/>
        </w:rPr>
        <w:t>428.02万元，占1.58</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住房保障支出</w:t>
      </w:r>
      <w:r>
        <w:rPr>
          <w:rFonts w:hint="eastAsia" w:ascii="仿宋" w:hAnsi="仿宋" w:eastAsia="仿宋"/>
          <w:color w:val="000000"/>
          <w:sz w:val="32"/>
          <w:szCs w:val="32"/>
        </w:rPr>
        <w:t>925.28万元，占3.42</w:t>
      </w:r>
      <w:r>
        <w:rPr>
          <w:rFonts w:ascii="仿宋" w:hAnsi="仿宋" w:eastAsia="仿宋"/>
          <w:color w:val="000000"/>
          <w:sz w:val="32"/>
          <w:szCs w:val="32"/>
        </w:rPr>
        <w:t>%</w:t>
      </w:r>
      <w:r>
        <w:rPr>
          <w:rFonts w:hint="eastAsia" w:ascii="仿宋" w:hAnsi="仿宋" w:eastAsia="仿宋"/>
          <w:color w:val="000000"/>
          <w:sz w:val="32"/>
          <w:szCs w:val="32"/>
        </w:rPr>
        <w:t>。</w:t>
      </w:r>
    </w:p>
    <w:p>
      <w:pPr>
        <w:spacing w:line="560" w:lineRule="exact"/>
        <w:ind w:firstLine="420" w:firstLineChars="200"/>
        <w:outlineLvl w:val="2"/>
        <w:rPr>
          <w:rFonts w:ascii="仿宋" w:hAnsi="仿宋" w:eastAsia="仿宋"/>
          <w:b/>
          <w:color w:val="000000"/>
          <w:sz w:val="32"/>
          <w:szCs w:val="32"/>
        </w:rPr>
      </w:pPr>
      <w:bookmarkStart w:id="46" w:name="_Toc15377212"/>
      <w:r>
        <w:drawing>
          <wp:anchor distT="0" distB="0" distL="114300" distR="114300" simplePos="0" relativeHeight="251663360" behindDoc="0" locked="0" layoutInCell="1" allowOverlap="1">
            <wp:simplePos x="0" y="0"/>
            <wp:positionH relativeFrom="column">
              <wp:posOffset>558800</wp:posOffset>
            </wp:positionH>
            <wp:positionV relativeFrom="paragraph">
              <wp:posOffset>57150</wp:posOffset>
            </wp:positionV>
            <wp:extent cx="4584700" cy="2755900"/>
            <wp:effectExtent l="19050" t="0" r="6350" b="0"/>
            <wp:wrapTopAndBottom/>
            <wp:docPr id="7" name="图片 1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15"/>
                    <pic:cNvPicPr>
                      <a:picLocks noChangeAspect="true" noChangeArrowheads="true"/>
                    </pic:cNvPicPr>
                  </pic:nvPicPr>
                  <pic:blipFill>
                    <a:blip r:embed="rId11" cstate="print"/>
                    <a:srcRect/>
                    <a:stretch>
                      <a:fillRect/>
                    </a:stretch>
                  </pic:blipFill>
                  <pic:spPr>
                    <a:xfrm>
                      <a:off x="0" y="0"/>
                      <a:ext cx="4584700" cy="2755900"/>
                    </a:xfrm>
                    <a:prstGeom prst="rect">
                      <a:avLst/>
                    </a:prstGeom>
                    <a:noFill/>
                    <a:ln w="9525">
                      <a:noFill/>
                      <a:miter lim="800000"/>
                      <a:headEnd/>
                      <a:tailEnd/>
                    </a:ln>
                  </pic:spPr>
                </pic:pic>
              </a:graphicData>
            </a:graphic>
          </wp:anchor>
        </w:drawing>
      </w:r>
      <w:r>
        <w:rPr>
          <w:rFonts w:hint="eastAsia" w:ascii="仿宋" w:hAnsi="仿宋" w:eastAsia="仿宋"/>
          <w:b/>
          <w:color w:val="000000"/>
          <w:sz w:val="32"/>
          <w:szCs w:val="32"/>
        </w:rPr>
        <w:t>（三）一般公共预算财政拨款支出决算具体情况</w:t>
      </w:r>
      <w:bookmarkEnd w:id="46"/>
    </w:p>
    <w:p>
      <w:pPr>
        <w:spacing w:line="560" w:lineRule="exact"/>
        <w:ind w:firstLine="642" w:firstLineChars="200"/>
        <w:outlineLvl w:val="2"/>
        <w:rPr>
          <w:rFonts w:ascii="仿宋" w:hAnsi="仿宋" w:eastAsia="仿宋"/>
          <w:color w:val="FF0000"/>
          <w:sz w:val="32"/>
          <w:szCs w:val="32"/>
        </w:rPr>
      </w:pPr>
      <w:bookmarkStart w:id="47" w:name="_Toc15378460"/>
      <w:bookmarkStart w:id="48" w:name="_Toc15377213"/>
      <w:bookmarkStart w:id="49" w:name="_Toc15377444"/>
      <w:r>
        <w:rPr>
          <w:rFonts w:ascii="仿宋" w:hAnsi="仿宋" w:eastAsia="仿宋"/>
          <w:b/>
          <w:color w:val="000000"/>
          <w:sz w:val="32"/>
          <w:szCs w:val="32"/>
        </w:rPr>
        <w:t>2020</w:t>
      </w:r>
      <w:r>
        <w:rPr>
          <w:rFonts w:hint="eastAsia" w:ascii="仿宋" w:hAnsi="仿宋" w:eastAsia="仿宋"/>
          <w:b/>
          <w:color w:val="000000"/>
          <w:sz w:val="32"/>
          <w:szCs w:val="32"/>
        </w:rPr>
        <w:t>年一般公共预算支出决算数为27019.58万元</w:t>
      </w:r>
      <w:r>
        <w:rPr>
          <w:rFonts w:hint="eastAsia" w:ascii="仿宋" w:hAnsi="仿宋" w:eastAsia="仿宋"/>
          <w:color w:val="000000"/>
          <w:sz w:val="32"/>
          <w:szCs w:val="32"/>
        </w:rPr>
        <w:t>，</w:t>
      </w:r>
      <w:r>
        <w:rPr>
          <w:rStyle w:val="14"/>
          <w:rFonts w:hint="eastAsia" w:ascii="仿宋" w:hAnsi="仿宋" w:eastAsia="仿宋"/>
          <w:bCs/>
          <w:color w:val="000000"/>
          <w:sz w:val="32"/>
          <w:szCs w:val="32"/>
        </w:rPr>
        <w:t>完成预算99.84</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。其中：</w:t>
      </w:r>
      <w:bookmarkEnd w:id="47"/>
      <w:bookmarkEnd w:id="48"/>
      <w:bookmarkEnd w:id="49"/>
    </w:p>
    <w:p>
      <w:pPr>
        <w:spacing w:line="560" w:lineRule="exact"/>
        <w:ind w:firstLine="642" w:firstLineChars="200"/>
        <w:rPr>
          <w:rFonts w:ascii="仿宋" w:hAnsi="仿宋" w:eastAsia="仿宋"/>
          <w:b/>
          <w:color w:val="000000"/>
          <w:sz w:val="32"/>
          <w:szCs w:val="32"/>
        </w:rPr>
      </w:pPr>
      <w:r>
        <w:rPr>
          <w:rStyle w:val="14"/>
          <w:rFonts w:hint="eastAsia" w:ascii="仿宋" w:hAnsi="仿宋" w:eastAsia="仿宋"/>
          <w:bCs/>
          <w:color w:val="000000"/>
          <w:sz w:val="32"/>
          <w:szCs w:val="32"/>
        </w:rPr>
        <w:t>1</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 xml:space="preserve"> 一般公共服务（类）发展与改革事务（款）战略规划与实施（项）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ascii="仿宋" w:hAnsi="仿宋" w:eastAsia="仿宋"/>
          <w:bCs/>
          <w:sz w:val="32"/>
          <w:szCs w:val="32"/>
        </w:rPr>
        <w:t>9.73</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Fonts w:ascii="仿宋" w:hAnsi="仿宋" w:eastAsia="仿宋"/>
          <w:b/>
          <w:color w:val="000000"/>
          <w:sz w:val="32"/>
          <w:szCs w:val="32"/>
        </w:rPr>
      </w:pPr>
      <w:r>
        <w:rPr>
          <w:rStyle w:val="14"/>
          <w:rFonts w:hint="eastAsia" w:ascii="仿宋" w:hAnsi="仿宋" w:eastAsia="仿宋"/>
          <w:bCs/>
          <w:color w:val="000000"/>
          <w:sz w:val="32"/>
          <w:szCs w:val="32"/>
        </w:rPr>
        <w:t>2</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 xml:space="preserve"> 一般公共服务（类）其他共产党事务支出（款）一般行政管理事务（项）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sz w:val="32"/>
          <w:szCs w:val="32"/>
        </w:rPr>
        <w:t>2.5</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3</w:t>
      </w:r>
      <w:r>
        <w:rPr>
          <w:rStyle w:val="14"/>
          <w:rFonts w:ascii="仿宋" w:hAnsi="仿宋" w:eastAsia="仿宋"/>
          <w:bCs/>
          <w:color w:val="000000"/>
          <w:sz w:val="32"/>
          <w:szCs w:val="32"/>
        </w:rPr>
        <w:t>.</w:t>
      </w:r>
      <w:r>
        <w:rPr>
          <w:rFonts w:hint="eastAsia"/>
        </w:rPr>
        <w:t xml:space="preserve"> </w:t>
      </w:r>
      <w:r>
        <w:rPr>
          <w:rStyle w:val="14"/>
          <w:rFonts w:hint="eastAsia" w:ascii="仿宋" w:hAnsi="仿宋" w:eastAsia="仿宋"/>
          <w:bCs/>
          <w:color w:val="000000"/>
          <w:sz w:val="32"/>
          <w:szCs w:val="32"/>
        </w:rPr>
        <w:t>公共安全支出（类）公安（款）行政运行（项）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10966.69</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4.公共安全支出（类）公安（款）一般行政管理事务（项）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12663</w:t>
      </w:r>
      <w:r>
        <w:rPr>
          <w:rStyle w:val="14"/>
          <w:rFonts w:hint="eastAsia" w:ascii="仿宋" w:hAnsi="仿宋" w:eastAsia="仿宋"/>
          <w:b w:val="0"/>
          <w:bCs/>
          <w:color w:val="000000"/>
          <w:sz w:val="32"/>
          <w:szCs w:val="32"/>
        </w:rPr>
        <w:t>万元，完成预算99.65</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，决算数小于预算数的主要原因是</w:t>
      </w:r>
      <w:r>
        <w:rPr>
          <w:rFonts w:hint="eastAsia" w:ascii="仿宋_GB2312" w:hAnsi="仿宋" w:eastAsia="仿宋_GB2312"/>
          <w:sz w:val="32"/>
          <w:szCs w:val="32"/>
        </w:rPr>
        <w:t>专项经费结转</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5.公共安全支出（类）公安（款）执法办案（项）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413.34</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Fonts w:ascii="仿宋" w:hAnsi="仿宋" w:eastAsia="仿宋"/>
          <w:bCs/>
          <w:color w:val="000000"/>
          <w:sz w:val="32"/>
          <w:szCs w:val="32"/>
        </w:rPr>
      </w:pPr>
      <w:r>
        <w:rPr>
          <w:rStyle w:val="14"/>
          <w:rFonts w:hint="eastAsia" w:ascii="仿宋" w:hAnsi="仿宋" w:eastAsia="仿宋"/>
          <w:bCs/>
          <w:color w:val="000000"/>
          <w:sz w:val="32"/>
          <w:szCs w:val="32"/>
        </w:rPr>
        <w:t>6.公共安全支出（类）公安（款）其他公安支出（项）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29.92</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7</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社会保障和就业（类）行政事业单位养老支出（款）行政单位离退休（项）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186.11</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8.社会保障和就业（类）行政事业单位养老支出（款）机关事业单位基本养老保险缴费支出（项）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866.72</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9.社会保障和就业（类）行政事业单位养老支出（款）机关事业单位职业年金缴费支出（项）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433.36</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10.社会保障和就业（类）行政事业单位养老支出（款）其他行政事业单位养老支出（项）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13.64</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11.社会保障和就业（类）抚恤（款）死亡抚恤（项）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81.27</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12</w:t>
      </w:r>
      <w:r>
        <w:rPr>
          <w:rStyle w:val="14"/>
          <w:rFonts w:ascii="仿宋" w:hAnsi="仿宋" w:eastAsia="仿宋"/>
          <w:bCs/>
          <w:color w:val="000000"/>
          <w:sz w:val="32"/>
          <w:szCs w:val="32"/>
        </w:rPr>
        <w:t>.</w:t>
      </w:r>
      <w:r>
        <w:rPr>
          <w:rFonts w:hint="eastAsia" w:ascii="仿宋" w:hAnsi="仿宋" w:eastAsia="仿宋"/>
          <w:b/>
          <w:bCs/>
          <w:color w:val="000000"/>
          <w:sz w:val="32"/>
          <w:szCs w:val="32"/>
        </w:rPr>
        <w:t>卫生健康</w:t>
      </w:r>
      <w:r>
        <w:rPr>
          <w:rStyle w:val="14"/>
          <w:rFonts w:hint="eastAsia" w:ascii="仿宋" w:hAnsi="仿宋" w:eastAsia="仿宋"/>
          <w:bCs/>
          <w:color w:val="000000"/>
          <w:sz w:val="32"/>
          <w:szCs w:val="32"/>
        </w:rPr>
        <w:t>（类）卫生健康管理事务（款）行政运行（项）</w:t>
      </w:r>
      <w:r>
        <w:rPr>
          <w:rStyle w:val="14"/>
          <w:rFonts w:ascii="仿宋" w:hAnsi="仿宋" w:eastAsia="仿宋"/>
          <w:bCs/>
          <w:color w:val="000000"/>
          <w:sz w:val="32"/>
          <w:szCs w:val="32"/>
        </w:rPr>
        <w:t>:</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116.13</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Fonts w:hint="eastAsia" w:ascii="仿宋" w:hAnsi="仿宋" w:eastAsia="仿宋"/>
          <w:b/>
          <w:bCs/>
          <w:color w:val="000000"/>
          <w:sz w:val="32"/>
          <w:szCs w:val="32"/>
        </w:rPr>
        <w:t>13.卫生健康</w:t>
      </w:r>
      <w:r>
        <w:rPr>
          <w:rStyle w:val="14"/>
          <w:rFonts w:hint="eastAsia" w:ascii="仿宋" w:hAnsi="仿宋" w:eastAsia="仿宋"/>
          <w:bCs/>
          <w:color w:val="000000"/>
          <w:sz w:val="32"/>
          <w:szCs w:val="32"/>
        </w:rPr>
        <w:t>（类）行政事业单位医疗（款）行政单位医疗（项）</w:t>
      </w:r>
      <w:r>
        <w:rPr>
          <w:rStyle w:val="14"/>
          <w:rFonts w:ascii="仿宋" w:hAnsi="仿宋" w:eastAsia="仿宋"/>
          <w:bCs/>
          <w:color w:val="000000"/>
          <w:sz w:val="32"/>
          <w:szCs w:val="32"/>
        </w:rPr>
        <w:t>:</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311.89</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2" w:firstLineChars="200"/>
        <w:rPr>
          <w:rStyle w:val="14"/>
          <w:rFonts w:ascii="仿宋" w:hAnsi="仿宋" w:eastAsia="仿宋"/>
          <w:b w:val="0"/>
          <w:bCs/>
          <w:color w:val="000000"/>
          <w:sz w:val="32"/>
          <w:szCs w:val="32"/>
        </w:rPr>
      </w:pPr>
      <w:r>
        <w:rPr>
          <w:rFonts w:hint="eastAsia" w:ascii="仿宋" w:hAnsi="仿宋" w:eastAsia="仿宋"/>
          <w:b/>
          <w:bCs/>
          <w:color w:val="000000"/>
          <w:sz w:val="32"/>
          <w:szCs w:val="32"/>
        </w:rPr>
        <w:t>14.住房保障支出</w:t>
      </w:r>
      <w:r>
        <w:rPr>
          <w:rStyle w:val="14"/>
          <w:rFonts w:hint="eastAsia" w:ascii="仿宋" w:hAnsi="仿宋" w:eastAsia="仿宋"/>
          <w:bCs/>
          <w:color w:val="000000"/>
          <w:sz w:val="32"/>
          <w:szCs w:val="32"/>
        </w:rPr>
        <w:t>（类）住房改革支出（款）住房公积金（项）</w:t>
      </w:r>
      <w:r>
        <w:rPr>
          <w:rStyle w:val="14"/>
          <w:rFonts w:ascii="仿宋" w:hAnsi="仿宋" w:eastAsia="仿宋"/>
          <w:bCs/>
          <w:color w:val="000000"/>
          <w:sz w:val="32"/>
          <w:szCs w:val="32"/>
        </w:rPr>
        <w:t>:</w:t>
      </w:r>
      <w:r>
        <w:rPr>
          <w:rStyle w:val="14"/>
          <w:rFonts w:hint="eastAsia" w:ascii="仿宋" w:hAnsi="仿宋" w:eastAsia="仿宋"/>
          <w:b w:val="0"/>
          <w:bCs/>
          <w:color w:val="000000"/>
          <w:sz w:val="32"/>
          <w:szCs w:val="32"/>
        </w:rPr>
        <w:t>支出决算为</w:t>
      </w:r>
      <w:r>
        <w:rPr>
          <w:rStyle w:val="14"/>
          <w:rFonts w:hint="eastAsia" w:ascii="仿宋" w:hAnsi="仿宋" w:eastAsia="仿宋"/>
          <w:bCs/>
          <w:color w:val="000000"/>
          <w:sz w:val="32"/>
          <w:szCs w:val="32"/>
        </w:rPr>
        <w:t>925.28</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spacing w:line="560" w:lineRule="exact"/>
        <w:ind w:firstLine="640" w:firstLineChars="200"/>
        <w:rPr>
          <w:rStyle w:val="14"/>
          <w:rFonts w:ascii="仿宋" w:hAnsi="仿宋" w:eastAsia="仿宋"/>
          <w:b w:val="0"/>
          <w:bCs/>
          <w:color w:val="000000"/>
          <w:sz w:val="32"/>
          <w:szCs w:val="32"/>
        </w:rPr>
      </w:pPr>
    </w:p>
    <w:p>
      <w:pPr>
        <w:tabs>
          <w:tab w:val="right" w:pos="8306"/>
        </w:tabs>
        <w:spacing w:line="560" w:lineRule="exact"/>
        <w:ind w:firstLine="640"/>
        <w:outlineLvl w:val="1"/>
        <w:rPr>
          <w:rStyle w:val="24"/>
        </w:rPr>
      </w:pPr>
      <w:bookmarkStart w:id="50" w:name="_Toc15377214"/>
      <w:bookmarkStart w:id="51"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4"/>
          <w:rFonts w:hint="eastAsia" w:ascii="黑体" w:hAnsi="黑体" w:eastAsia="黑体"/>
          <w:b w:val="0"/>
        </w:rPr>
        <w:t>般公共预算财政拨款基本支出决算情况说明</w:t>
      </w:r>
      <w:bookmarkEnd w:id="50"/>
      <w:bookmarkEnd w:id="51"/>
      <w:r>
        <w:rPr>
          <w:rStyle w:val="24"/>
          <w:rFonts w:ascii="黑体" w:hAnsi="黑体" w:eastAsia="黑体"/>
          <w:b w:val="0"/>
        </w:rPr>
        <w:tab/>
      </w:r>
    </w:p>
    <w:p>
      <w:pPr>
        <w:spacing w:line="560" w:lineRule="exact"/>
        <w:ind w:firstLine="645"/>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年一般公共预算财政拨款基本支出13901.09万元，其中：</w:t>
      </w:r>
    </w:p>
    <w:p>
      <w:pPr>
        <w:spacing w:line="560" w:lineRule="exact"/>
        <w:ind w:firstLine="645"/>
        <w:rPr>
          <w:rFonts w:ascii="仿宋" w:hAnsi="仿宋" w:eastAsia="仿宋"/>
          <w:color w:val="000000"/>
          <w:sz w:val="32"/>
          <w:szCs w:val="32"/>
        </w:rPr>
      </w:pPr>
      <w:r>
        <w:rPr>
          <w:rFonts w:hint="eastAsia" w:ascii="仿宋" w:hAnsi="仿宋" w:eastAsia="仿宋"/>
          <w:color w:val="000000"/>
          <w:sz w:val="32"/>
          <w:szCs w:val="32"/>
        </w:rPr>
        <w:t>人员经费12544.31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1356.78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560" w:lineRule="exact"/>
        <w:ind w:firstLine="640"/>
        <w:outlineLvl w:val="1"/>
        <w:rPr>
          <w:rStyle w:val="24"/>
          <w:rFonts w:ascii="黑体" w:hAnsi="黑体" w:eastAsia="黑体"/>
          <w:b w:val="0"/>
        </w:rPr>
      </w:pPr>
      <w:bookmarkStart w:id="52" w:name="_Toc15377215"/>
      <w:bookmarkStart w:id="53" w:name="_Toc15396609"/>
      <w:r>
        <w:rPr>
          <w:rFonts w:hint="eastAsia" w:ascii="黑体" w:eastAsia="黑体"/>
          <w:color w:val="000000"/>
          <w:sz w:val="32"/>
          <w:szCs w:val="32"/>
        </w:rPr>
        <w:t>七、</w:t>
      </w:r>
      <w:r>
        <w:rPr>
          <w:rStyle w:val="24"/>
          <w:rFonts w:hint="eastAsia" w:ascii="黑体" w:hAnsi="黑体" w:eastAsia="黑体"/>
        </w:rPr>
        <w:t>“</w:t>
      </w:r>
      <w:r>
        <w:rPr>
          <w:rStyle w:val="24"/>
          <w:rFonts w:hint="eastAsia" w:ascii="黑体" w:hAnsi="黑体" w:eastAsia="黑体"/>
          <w:b w:val="0"/>
        </w:rPr>
        <w:t>三公”经费财政拨款支出决算情况说明</w:t>
      </w:r>
      <w:bookmarkEnd w:id="52"/>
      <w:bookmarkEnd w:id="53"/>
    </w:p>
    <w:p>
      <w:pPr>
        <w:spacing w:line="560" w:lineRule="exact"/>
        <w:ind w:firstLine="640"/>
        <w:outlineLvl w:val="2"/>
        <w:rPr>
          <w:rFonts w:ascii="仿宋" w:hAnsi="仿宋" w:eastAsia="仿宋"/>
          <w:b/>
          <w:color w:val="000000"/>
          <w:sz w:val="32"/>
          <w:szCs w:val="32"/>
        </w:rPr>
      </w:pPr>
      <w:bookmarkStart w:id="54" w:name="_Toc15377216"/>
      <w:r>
        <w:rPr>
          <w:rFonts w:hint="eastAsia" w:ascii="仿宋" w:hAnsi="仿宋" w:eastAsia="仿宋"/>
          <w:b/>
          <w:color w:val="000000"/>
          <w:sz w:val="32"/>
          <w:szCs w:val="32"/>
        </w:rPr>
        <w:t>（一）“三公”经费财政拨款支出决算总体情况说明</w:t>
      </w:r>
      <w:bookmarkEnd w:id="54"/>
    </w:p>
    <w:p>
      <w:pPr>
        <w:spacing w:line="560" w:lineRule="exact"/>
        <w:ind w:firstLine="64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年“三公”经费财政拨款支出决算为543.35万元，完成预算97.40</w:t>
      </w:r>
      <w:r>
        <w:rPr>
          <w:rFonts w:ascii="仿宋" w:hAnsi="仿宋" w:eastAsia="仿宋"/>
          <w:color w:val="000000"/>
          <w:sz w:val="32"/>
          <w:szCs w:val="32"/>
        </w:rPr>
        <w:t>%</w:t>
      </w:r>
      <w:r>
        <w:rPr>
          <w:rFonts w:hint="eastAsia" w:ascii="仿宋" w:hAnsi="仿宋" w:eastAsia="仿宋"/>
          <w:color w:val="000000"/>
          <w:sz w:val="32"/>
          <w:szCs w:val="32"/>
        </w:rPr>
        <w:t>，决算数小于预算数的主要原因是</w:t>
      </w:r>
      <w:r>
        <w:rPr>
          <w:rFonts w:hint="eastAsia" w:ascii="仿宋" w:hAnsi="仿宋" w:eastAsia="仿宋" w:cs="仿宋"/>
          <w:color w:val="000000"/>
          <w:sz w:val="32"/>
          <w:szCs w:val="32"/>
        </w:rPr>
        <w:t>公务接待费按照中央八项规定和省、市十项规定有关精神、坚持厉行节约要求执行且2020年疫情期间接待减少</w:t>
      </w:r>
      <w:r>
        <w:rPr>
          <w:rFonts w:hint="eastAsia" w:ascii="仿宋" w:hAnsi="仿宋" w:eastAsia="仿宋"/>
          <w:color w:val="000000"/>
          <w:sz w:val="32"/>
          <w:szCs w:val="32"/>
        </w:rPr>
        <w:t>。</w:t>
      </w:r>
    </w:p>
    <w:p>
      <w:pPr>
        <w:spacing w:line="560" w:lineRule="exact"/>
        <w:ind w:firstLine="640"/>
        <w:outlineLvl w:val="2"/>
        <w:rPr>
          <w:rFonts w:ascii="仿宋" w:hAnsi="仿宋" w:eastAsia="仿宋"/>
          <w:b/>
          <w:color w:val="000000"/>
          <w:sz w:val="32"/>
          <w:szCs w:val="32"/>
        </w:rPr>
      </w:pPr>
      <w:bookmarkStart w:id="55" w:name="_Toc15377217"/>
      <w:r>
        <w:rPr>
          <w:rFonts w:hint="eastAsia" w:ascii="仿宋" w:hAnsi="仿宋" w:eastAsia="仿宋"/>
          <w:b/>
          <w:color w:val="000000"/>
          <w:sz w:val="32"/>
          <w:szCs w:val="32"/>
        </w:rPr>
        <w:t>（二）“三公”经费财政拨款支出决算具体情况说明</w:t>
      </w:r>
      <w:bookmarkEnd w:id="55"/>
    </w:p>
    <w:p>
      <w:pPr>
        <w:spacing w:line="560" w:lineRule="exact"/>
        <w:ind w:firstLine="64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年“三公”经费财政拨款支出决算中，因公出国（境）费支出决算0万元，占0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；公务用车购置及运行维护费支出决算537.83万元，占98.98</w:t>
      </w:r>
      <w:r>
        <w:rPr>
          <w:rFonts w:ascii="仿宋" w:hAnsi="仿宋" w:eastAsia="仿宋"/>
          <w:color w:val="000000"/>
          <w:sz w:val="32"/>
          <w:szCs w:val="32"/>
        </w:rPr>
        <w:t>%</w:t>
      </w:r>
      <w:r>
        <w:rPr>
          <w:rFonts w:hint="eastAsia" w:ascii="仿宋" w:hAnsi="仿宋" w:eastAsia="仿宋"/>
          <w:color w:val="000000"/>
          <w:sz w:val="32"/>
          <w:szCs w:val="32"/>
        </w:rPr>
        <w:t>；公务接待费支出决算5.52万元，占1.02</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560" w:lineRule="exact"/>
        <w:ind w:firstLine="640"/>
        <w:rPr>
          <w:rFonts w:ascii="仿宋_GB2312" w:eastAsia="仿宋_GB2312"/>
          <w:color w:val="000000"/>
          <w:sz w:val="32"/>
          <w:szCs w:val="32"/>
        </w:rPr>
      </w:pPr>
      <w:r>
        <w:drawing>
          <wp:anchor distT="0" distB="0" distL="114300" distR="114300" simplePos="0" relativeHeight="251664384" behindDoc="0" locked="0" layoutInCell="1" allowOverlap="1">
            <wp:simplePos x="0" y="0"/>
            <wp:positionH relativeFrom="column">
              <wp:posOffset>514350</wp:posOffset>
            </wp:positionH>
            <wp:positionV relativeFrom="paragraph">
              <wp:posOffset>120650</wp:posOffset>
            </wp:positionV>
            <wp:extent cx="4584700" cy="2755900"/>
            <wp:effectExtent l="19050" t="0" r="6350" b="0"/>
            <wp:wrapTopAndBottom/>
            <wp:docPr id="8" name="图表 8"/>
            <wp:cNvGraphicFramePr/>
            <a:graphic xmlns:a="http://schemas.openxmlformats.org/drawingml/2006/main">
              <a:graphicData uri="http://schemas.openxmlformats.org/drawingml/2006/picture">
                <pic:pic xmlns:pic="http://schemas.openxmlformats.org/drawingml/2006/picture">
                  <pic:nvPicPr>
                    <pic:cNvPr id="8" name="图表 8"/>
                    <pic:cNvPicPr>
                      <a:picLocks noChangeArrowheads="true"/>
                    </pic:cNvPicPr>
                  </pic:nvPicPr>
                  <pic:blipFill>
                    <a:blip r:embed="rId12" cstate="print"/>
                    <a:srcRect/>
                    <a:stretch>
                      <a:fillRect/>
                    </a:stretch>
                  </pic:blipFill>
                  <pic:spPr>
                    <a:xfrm>
                      <a:off x="0" y="0"/>
                      <a:ext cx="4584700" cy="2755900"/>
                    </a:xfrm>
                    <a:prstGeom prst="rect">
                      <a:avLst/>
                    </a:prstGeom>
                    <a:noFill/>
                    <a:ln w="9525">
                      <a:noFill/>
                      <a:miter lim="800000"/>
                      <a:headEnd/>
                      <a:tailEnd/>
                    </a:ln>
                  </pic:spPr>
                </pic:pic>
              </a:graphicData>
            </a:graphic>
          </wp:anchor>
        </w:drawing>
      </w: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r>
        <w:rPr>
          <w:rStyle w:val="14"/>
          <w:rFonts w:hint="eastAsia" w:ascii="仿宋" w:hAnsi="仿宋" w:eastAsia="仿宋"/>
          <w:b w:val="0"/>
          <w:bCs/>
          <w:color w:val="000000"/>
          <w:sz w:val="32"/>
          <w:szCs w:val="32"/>
        </w:rPr>
        <w:t>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全年安排因公出国（境）团组0次，出国（境）0人。因公出国（境）支出决算比</w:t>
      </w:r>
      <w:r>
        <w:rPr>
          <w:rFonts w:ascii="仿宋_GB2312" w:eastAsia="仿宋_GB2312"/>
          <w:color w:val="000000"/>
          <w:sz w:val="32"/>
          <w:szCs w:val="32"/>
        </w:rPr>
        <w:t>2019</w:t>
      </w:r>
      <w:r>
        <w:rPr>
          <w:rFonts w:hint="eastAsia" w:ascii="仿宋_GB2312" w:eastAsia="仿宋_GB2312"/>
          <w:color w:val="000000"/>
          <w:sz w:val="32"/>
          <w:szCs w:val="32"/>
        </w:rPr>
        <w:t>年增加</w:t>
      </w:r>
      <w:r>
        <w:rPr>
          <w:rFonts w:ascii="仿宋_GB2312" w:eastAsia="仿宋_GB2312"/>
          <w:color w:val="000000"/>
          <w:sz w:val="32"/>
          <w:szCs w:val="32"/>
        </w:rPr>
        <w:t>/</w:t>
      </w:r>
      <w:r>
        <w:rPr>
          <w:rFonts w:hint="eastAsia" w:ascii="仿宋_GB2312" w:eastAsia="仿宋_GB2312"/>
          <w:color w:val="000000"/>
          <w:sz w:val="32"/>
          <w:szCs w:val="32"/>
        </w:rPr>
        <w:t>减少0万元，增长</w:t>
      </w:r>
      <w:r>
        <w:rPr>
          <w:rFonts w:ascii="仿宋_GB2312" w:eastAsia="仿宋_GB2312"/>
          <w:color w:val="000000"/>
          <w:sz w:val="32"/>
          <w:szCs w:val="32"/>
        </w:rPr>
        <w:t>/</w:t>
      </w:r>
      <w:r>
        <w:rPr>
          <w:rFonts w:hint="eastAsia" w:ascii="仿宋_GB2312" w:eastAsia="仿宋_GB2312"/>
          <w:color w:val="000000"/>
          <w:sz w:val="32"/>
          <w:szCs w:val="32"/>
        </w:rPr>
        <w:t>下降0</w:t>
      </w:r>
      <w:r>
        <w:rPr>
          <w:rFonts w:ascii="仿宋_GB2312" w:eastAsia="仿宋_GB2312"/>
          <w:color w:val="000000"/>
          <w:sz w:val="32"/>
          <w:szCs w:val="32"/>
        </w:rPr>
        <w:t>%</w:t>
      </w:r>
      <w:r>
        <w:rPr>
          <w:rFonts w:hint="eastAsia" w:ascii="仿宋_GB2312" w:eastAsia="仿宋_GB2312"/>
          <w:color w:val="000000"/>
          <w:sz w:val="32"/>
          <w:szCs w:val="32"/>
        </w:rPr>
        <w:t>。</w:t>
      </w:r>
    </w:p>
    <w:p>
      <w:pPr>
        <w:spacing w:line="56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537.83万元</w:t>
      </w:r>
      <w:r>
        <w:rPr>
          <w:rFonts w:ascii="仿宋_GB2312" w:eastAsia="仿宋_GB2312"/>
          <w:color w:val="000000"/>
          <w:sz w:val="32"/>
          <w:szCs w:val="32"/>
        </w:rPr>
        <w:t>,</w:t>
      </w:r>
      <w:r>
        <w:rPr>
          <w:rStyle w:val="14"/>
          <w:rFonts w:hint="eastAsia" w:ascii="仿宋" w:hAnsi="仿宋" w:eastAsia="仿宋"/>
          <w:b w:val="0"/>
          <w:bCs/>
          <w:color w:val="000000"/>
          <w:sz w:val="32"/>
          <w:szCs w:val="32"/>
        </w:rPr>
        <w:t>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9年增加387.83万元，增长258.55</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hAnsi="仿宋" w:eastAsia="仿宋_GB2312" w:cs="仿宋"/>
          <w:color w:val="000000"/>
          <w:sz w:val="32"/>
          <w:szCs w:val="32"/>
        </w:rPr>
        <w:t>增加了公务用车购置支出</w:t>
      </w:r>
      <w:r>
        <w:rPr>
          <w:rFonts w:hint="eastAsia" w:ascii="仿宋_GB2312" w:eastAsia="仿宋_GB2312"/>
          <w:color w:val="000000"/>
          <w:sz w:val="32"/>
          <w:szCs w:val="32"/>
        </w:rPr>
        <w:t>。</w:t>
      </w:r>
    </w:p>
    <w:p>
      <w:pPr>
        <w:spacing w:line="56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rPr>
        <w:t>387.83万元。全年按规定更新购置公务用车16辆，其中：轿车6辆、金额116.9万元，越野车5辆、金额135.41万元，载客汽车5辆、金额135.52万元，主要用于专项整治、办案业务等公安业务。截至</w:t>
      </w:r>
      <w:r>
        <w:rPr>
          <w:rFonts w:ascii="仿宋_GB2312" w:eastAsia="仿宋_GB2312"/>
          <w:color w:val="000000"/>
          <w:sz w:val="32"/>
          <w:szCs w:val="32"/>
        </w:rPr>
        <w:t>2020</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月底，单位共有公务用车163辆，其中：轿车89辆、越野车28辆、载客汽车14辆、其他车型32辆。</w:t>
      </w:r>
    </w:p>
    <w:p>
      <w:pPr>
        <w:spacing w:line="56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150万元。</w:t>
      </w:r>
      <w:r>
        <w:rPr>
          <w:rFonts w:hint="eastAsia" w:ascii="仿宋" w:hAnsi="仿宋" w:eastAsia="仿宋" w:cs="仿宋"/>
          <w:color w:val="000000"/>
          <w:sz w:val="32"/>
          <w:szCs w:val="32"/>
        </w:rPr>
        <w:t>主要用于巡逻、办案等公安业务所需的公务用车燃料费、维修费、过路过桥费、保险费等支出。</w:t>
      </w:r>
    </w:p>
    <w:p>
      <w:pPr>
        <w:spacing w:line="56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5.52万元，</w:t>
      </w:r>
      <w:r>
        <w:rPr>
          <w:rStyle w:val="14"/>
          <w:rFonts w:hint="eastAsia" w:ascii="仿宋" w:hAnsi="仿宋" w:eastAsia="仿宋"/>
          <w:b w:val="0"/>
          <w:bCs/>
          <w:color w:val="000000"/>
          <w:sz w:val="32"/>
          <w:szCs w:val="32"/>
        </w:rPr>
        <w:t>完成预算27.60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2019</w:t>
      </w:r>
      <w:r>
        <w:rPr>
          <w:rFonts w:hint="eastAsia" w:ascii="仿宋_GB2312" w:eastAsia="仿宋_GB2312"/>
          <w:color w:val="000000"/>
          <w:sz w:val="32"/>
          <w:szCs w:val="32"/>
        </w:rPr>
        <w:t>年减少3.27万元，下降37.2</w:t>
      </w:r>
      <w:r>
        <w:rPr>
          <w:rFonts w:ascii="仿宋_GB2312" w:eastAsia="仿宋_GB2312"/>
          <w:color w:val="000000"/>
          <w:sz w:val="32"/>
          <w:szCs w:val="32"/>
        </w:rPr>
        <w:t>%</w:t>
      </w:r>
      <w:r>
        <w:rPr>
          <w:rFonts w:hint="eastAsia" w:ascii="仿宋_GB2312" w:eastAsia="仿宋_GB2312"/>
          <w:color w:val="000000"/>
          <w:sz w:val="32"/>
          <w:szCs w:val="32"/>
        </w:rPr>
        <w:t>。主要原因是按照中央八项规定和省、市十项规定有关精神、坚持厉行节约要求执行且2020年疫情期间接待减少。其中：</w:t>
      </w:r>
    </w:p>
    <w:p>
      <w:pPr>
        <w:spacing w:line="56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rPr>
        <w:t>5.52</w:t>
      </w:r>
      <w:r>
        <w:rPr>
          <w:rFonts w:hint="eastAsia" w:ascii="仿宋_GB2312" w:eastAsia="仿宋_GB2312"/>
          <w:color w:val="000000"/>
          <w:sz w:val="32"/>
          <w:szCs w:val="32"/>
        </w:rPr>
        <w:t>万元，主要用于执行公务、开展业务活动开支的用餐费等。国内公务接待44批次，431人次（不包括陪同人员），共计支出5.52万元，具体内容包括：接待上级工作组和外地同行来乐学习考察团用餐费等。</w:t>
      </w:r>
    </w:p>
    <w:p>
      <w:pPr>
        <w:spacing w:line="560" w:lineRule="exact"/>
        <w:ind w:firstLine="642" w:firstLineChars="200"/>
        <w:rPr>
          <w:rFonts w:ascii="仿宋_GB2312" w:eastAsia="仿宋_GB2312"/>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万元，外事接待0批次，0人，共计支出0万元。</w:t>
      </w:r>
    </w:p>
    <w:p>
      <w:pPr>
        <w:spacing w:line="560" w:lineRule="exact"/>
        <w:ind w:firstLine="640"/>
        <w:outlineLvl w:val="1"/>
        <w:rPr>
          <w:rStyle w:val="24"/>
          <w:rFonts w:ascii="黑体" w:hAnsi="黑体" w:eastAsia="黑体"/>
        </w:rPr>
      </w:pPr>
      <w:bookmarkStart w:id="56" w:name="_Toc15396610"/>
      <w:bookmarkStart w:id="57" w:name="_Toc15377218"/>
      <w:r>
        <w:rPr>
          <w:rFonts w:hint="eastAsia" w:ascii="黑体" w:eastAsia="黑体"/>
          <w:color w:val="000000"/>
          <w:sz w:val="32"/>
          <w:szCs w:val="32"/>
        </w:rPr>
        <w:t>八、</w:t>
      </w:r>
      <w:r>
        <w:rPr>
          <w:rStyle w:val="24"/>
          <w:rFonts w:hint="eastAsia" w:ascii="黑体" w:hAnsi="黑体" w:eastAsia="黑体"/>
          <w:b w:val="0"/>
        </w:rPr>
        <w:t>政府性基金预算支出决算情况说明</w:t>
      </w:r>
      <w:bookmarkEnd w:id="56"/>
      <w:bookmarkEnd w:id="57"/>
    </w:p>
    <w:p>
      <w:pPr>
        <w:spacing w:line="560" w:lineRule="exact"/>
        <w:ind w:firstLine="640"/>
        <w:rPr>
          <w:rFonts w:ascii="仿宋_GB2312"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年政府性基金预算拨款支出0万元。</w:t>
      </w:r>
    </w:p>
    <w:p>
      <w:pPr>
        <w:numPr>
          <w:ilvl w:val="0"/>
          <w:numId w:val="2"/>
        </w:numPr>
        <w:spacing w:line="560" w:lineRule="exact"/>
        <w:ind w:firstLine="640"/>
        <w:outlineLvl w:val="1"/>
        <w:rPr>
          <w:rStyle w:val="24"/>
          <w:rFonts w:ascii="黑体" w:hAnsi="黑体" w:eastAsia="黑体"/>
          <w:b w:val="0"/>
        </w:rPr>
      </w:pPr>
      <w:bookmarkStart w:id="58" w:name="_Toc15396611"/>
      <w:bookmarkStart w:id="59" w:name="_Toc15377219"/>
      <w:r>
        <w:rPr>
          <w:rStyle w:val="24"/>
          <w:rFonts w:hint="eastAsia" w:ascii="黑体" w:hAnsi="黑体" w:eastAsia="黑体"/>
          <w:b w:val="0"/>
        </w:rPr>
        <w:t>国有资本经营预算支出决算情况说明</w:t>
      </w:r>
      <w:bookmarkEnd w:id="58"/>
      <w:bookmarkEnd w:id="59"/>
    </w:p>
    <w:p>
      <w:pPr>
        <w:spacing w:line="560" w:lineRule="exact"/>
        <w:ind w:firstLine="640"/>
        <w:rPr>
          <w:rFonts w:ascii="仿宋_GB2312"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年国有资本经营预算拨款支出0万元。</w:t>
      </w:r>
    </w:p>
    <w:p>
      <w:pPr>
        <w:spacing w:line="560" w:lineRule="exact"/>
        <w:ind w:firstLine="800" w:firstLineChars="250"/>
        <w:outlineLvl w:val="1"/>
        <w:rPr>
          <w:rStyle w:val="24"/>
          <w:rFonts w:ascii="黑体" w:hAnsi="黑体" w:eastAsia="黑体"/>
        </w:rPr>
      </w:pPr>
      <w:bookmarkStart w:id="60" w:name="_Toc15396612"/>
      <w:bookmarkStart w:id="61" w:name="_Toc15377221"/>
      <w:r>
        <w:rPr>
          <w:rFonts w:hint="eastAsia" w:ascii="黑体" w:hAnsi="黑体" w:eastAsia="黑体"/>
          <w:color w:val="000000"/>
          <w:sz w:val="32"/>
          <w:szCs w:val="32"/>
        </w:rPr>
        <w:t>十</w:t>
      </w:r>
      <w:r>
        <w:rPr>
          <w:rStyle w:val="24"/>
          <w:rFonts w:hint="eastAsia" w:ascii="黑体" w:hAnsi="黑体" w:eastAsia="黑体"/>
        </w:rPr>
        <w:t>、</w:t>
      </w:r>
      <w:r>
        <w:rPr>
          <w:rStyle w:val="24"/>
          <w:rFonts w:hint="eastAsia" w:ascii="黑体" w:hAnsi="黑体" w:eastAsia="黑体"/>
          <w:b w:val="0"/>
        </w:rPr>
        <w:t>其他重要事项的情况说明</w:t>
      </w:r>
      <w:bookmarkEnd w:id="60"/>
      <w:bookmarkEnd w:id="61"/>
    </w:p>
    <w:p>
      <w:pPr>
        <w:spacing w:line="560" w:lineRule="exact"/>
        <w:ind w:firstLine="642" w:firstLineChars="200"/>
        <w:outlineLvl w:val="2"/>
        <w:rPr>
          <w:rFonts w:ascii="仿宋" w:hAnsi="仿宋" w:eastAsia="仿宋"/>
          <w:color w:val="000000"/>
          <w:sz w:val="32"/>
          <w:szCs w:val="32"/>
        </w:rPr>
      </w:pPr>
      <w:bookmarkStart w:id="62" w:name="_Toc15377222"/>
      <w:r>
        <w:rPr>
          <w:rFonts w:hint="eastAsia" w:ascii="仿宋" w:hAnsi="仿宋" w:eastAsia="仿宋"/>
          <w:b/>
          <w:color w:val="000000"/>
          <w:sz w:val="32"/>
          <w:szCs w:val="32"/>
        </w:rPr>
        <w:t>（一）机关运行经费支出情况</w:t>
      </w:r>
      <w:bookmarkEnd w:id="62"/>
    </w:p>
    <w:p>
      <w:pPr>
        <w:spacing w:line="560" w:lineRule="exact"/>
        <w:ind w:firstLine="640" w:firstLineChars="200"/>
        <w:rPr>
          <w:rFonts w:ascii="仿宋" w:hAnsi="仿宋" w:eastAsia="仿宋"/>
          <w:b/>
          <w:color w:val="FF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年，乐山市公安局机关机关运行经费支出</w:t>
      </w:r>
      <w:r>
        <w:rPr>
          <w:rFonts w:hint="eastAsia" w:ascii="仿宋" w:hAnsi="仿宋" w:eastAsia="仿宋"/>
          <w:color w:val="000000"/>
          <w:sz w:val="32"/>
          <w:szCs w:val="32"/>
        </w:rPr>
        <w:t>1356.78</w:t>
      </w:r>
      <w:r>
        <w:rPr>
          <w:rFonts w:hint="eastAsia" w:ascii="仿宋_GB2312" w:eastAsia="仿宋_GB2312"/>
          <w:color w:val="000000"/>
          <w:sz w:val="32"/>
          <w:szCs w:val="32"/>
        </w:rPr>
        <w:t>万元，比</w:t>
      </w:r>
      <w:r>
        <w:rPr>
          <w:rFonts w:ascii="仿宋_GB2312" w:eastAsia="仿宋_GB2312"/>
          <w:color w:val="000000"/>
          <w:sz w:val="32"/>
          <w:szCs w:val="32"/>
        </w:rPr>
        <w:t>2019</w:t>
      </w:r>
      <w:r>
        <w:rPr>
          <w:rFonts w:hint="eastAsia" w:ascii="仿宋_GB2312" w:eastAsia="仿宋_GB2312"/>
          <w:color w:val="000000"/>
          <w:sz w:val="32"/>
          <w:szCs w:val="32"/>
        </w:rPr>
        <w:t>年增加209.46万元，增长18.26</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hAnsi="仿宋" w:eastAsia="仿宋_GB2312" w:cs="仿宋"/>
          <w:bCs/>
          <w:sz w:val="32"/>
          <w:szCs w:val="32"/>
        </w:rPr>
        <w:t>新增了人员、物价上涨等原因。</w:t>
      </w:r>
    </w:p>
    <w:p>
      <w:pPr>
        <w:autoSpaceDE w:val="0"/>
        <w:autoSpaceDN w:val="0"/>
        <w:adjustRightInd w:val="0"/>
        <w:spacing w:line="560" w:lineRule="exact"/>
        <w:ind w:firstLine="642" w:firstLineChars="200"/>
        <w:jc w:val="left"/>
        <w:outlineLvl w:val="2"/>
        <w:rPr>
          <w:rFonts w:ascii="仿宋" w:hAnsi="仿宋" w:eastAsia="仿宋"/>
          <w:b/>
          <w:color w:val="000000"/>
          <w:sz w:val="32"/>
          <w:szCs w:val="32"/>
        </w:rPr>
      </w:pPr>
      <w:bookmarkStart w:id="63" w:name="_Toc15377223"/>
      <w:r>
        <w:rPr>
          <w:rFonts w:hint="eastAsia" w:ascii="仿宋" w:hAnsi="仿宋" w:eastAsia="仿宋"/>
          <w:b/>
          <w:color w:val="000000"/>
          <w:sz w:val="32"/>
          <w:szCs w:val="32"/>
        </w:rPr>
        <w:t>（二）政府采购支出情况</w:t>
      </w:r>
      <w:bookmarkEnd w:id="63"/>
    </w:p>
    <w:p>
      <w:pPr>
        <w:spacing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乐山市公安局机关政府采购支出总额2926.82万元，其中：政府采购货物支出1205.22万元、政府采购工程支出0万元、政府采购服务支出1721.61万元。主要用于保障警务活动，如案侦和治安防控等。授予中小企业合同金额878.05万元，占政府采购支出总额的30.00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pPr>
        <w:autoSpaceDE w:val="0"/>
        <w:autoSpaceDN w:val="0"/>
        <w:adjustRightInd w:val="0"/>
        <w:spacing w:line="560" w:lineRule="exact"/>
        <w:ind w:firstLine="642" w:firstLineChars="200"/>
        <w:jc w:val="left"/>
        <w:outlineLvl w:val="2"/>
        <w:rPr>
          <w:rFonts w:ascii="仿宋" w:hAnsi="仿宋" w:eastAsia="仿宋"/>
          <w:b/>
          <w:color w:val="000000"/>
          <w:sz w:val="32"/>
          <w:szCs w:val="32"/>
        </w:rPr>
      </w:pPr>
      <w:bookmarkStart w:id="64" w:name="_Toc15377224"/>
      <w:r>
        <w:rPr>
          <w:rFonts w:hint="eastAsia" w:ascii="仿宋" w:hAnsi="仿宋" w:eastAsia="仿宋"/>
          <w:b/>
          <w:color w:val="000000"/>
          <w:sz w:val="32"/>
          <w:szCs w:val="32"/>
        </w:rPr>
        <w:t>（三）国有资产占有使用情况</w:t>
      </w:r>
      <w:bookmarkEnd w:id="64"/>
    </w:p>
    <w:p>
      <w:pPr>
        <w:autoSpaceDE w:val="0"/>
        <w:autoSpaceDN w:val="0"/>
        <w:adjustRightInd w:val="0"/>
        <w:spacing w:line="56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2020</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日，乐山市公安局机关共有车辆163辆，其中：应急保障用车1辆、执法执勤用车116辆、特种专业技术用车46辆。单价</w:t>
      </w:r>
      <w:r>
        <w:rPr>
          <w:rFonts w:ascii="仿宋_GB2312" w:eastAsia="仿宋_GB2312"/>
          <w:color w:val="000000"/>
          <w:sz w:val="32"/>
          <w:szCs w:val="32"/>
        </w:rPr>
        <w:t>50</w:t>
      </w:r>
      <w:r>
        <w:rPr>
          <w:rFonts w:hint="eastAsia" w:ascii="仿宋_GB2312" w:eastAsia="仿宋_GB2312"/>
          <w:color w:val="000000"/>
          <w:sz w:val="32"/>
          <w:szCs w:val="32"/>
        </w:rPr>
        <w:t>万元以上通用设备6台（套），单价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万元以上专用设备49台（套）。</w:t>
      </w:r>
    </w:p>
    <w:p>
      <w:pPr>
        <w:autoSpaceDE w:val="0"/>
        <w:autoSpaceDN w:val="0"/>
        <w:adjustRightInd w:val="0"/>
        <w:spacing w:line="560" w:lineRule="exact"/>
        <w:ind w:firstLine="642"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（四）预算绩效管理情况。</w:t>
      </w:r>
      <w:bookmarkEnd w:id="35"/>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年初预算编制阶段，组织对政务专项项目开展了预算事前绩效评估，对34个项目编制了公开绩效目标，预算执行过程中，选5个项目开展绩效监控，年终执行完毕后，对5个项目开展了绩效目标完成情况自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本单位按要求对</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年部门整体支出开展绩效自评，从评价情况来看</w:t>
      </w:r>
      <w:r>
        <w:rPr>
          <w:rFonts w:hint="eastAsia" w:ascii="仿宋_GB2312" w:hAnsi="仿宋_GB2312" w:eastAsia="仿宋_GB2312" w:cs="仿宋_GB2312"/>
          <w:color w:val="000000"/>
          <w:sz w:val="32"/>
          <w:szCs w:val="32"/>
        </w:rPr>
        <w:t>预算编制较为合理，运转类依据使用进度执行，所有项目全部启动，但是受疫情影响整体项目预算执行程度基本达到要求，其中，部分项目建设周期较长需跨年度执行，续建部分也编进了新年度预算</w:t>
      </w:r>
      <w:r>
        <w:rPr>
          <w:rFonts w:hint="eastAsia" w:ascii="仿宋_GB2312" w:hAnsi="仿宋_GB2312" w:eastAsia="仿宋_GB2312" w:cs="仿宋_GB2312"/>
          <w:sz w:val="32"/>
          <w:szCs w:val="32"/>
        </w:rPr>
        <w:t>。本部门还自行组织了5个项目支出绩效评价，</w:t>
      </w:r>
      <w:r>
        <w:rPr>
          <w:rFonts w:hint="eastAsia" w:ascii="仿宋_GB2312" w:hAnsi="仿宋_GB2312" w:eastAsia="仿宋_GB2312" w:cs="仿宋_GB2312"/>
          <w:color w:val="000000"/>
          <w:sz w:val="32"/>
          <w:szCs w:val="32"/>
        </w:rPr>
        <w:t>“看守所专项经费</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强制隔离戒毒所专项经费</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、“拘留所专项经费”、“康复救治中心专项经费”、“高清天网”项目均有结余，但均严格按实际收治人数核算总经费，虽受疫情影响在安全、平稳、有效、舒适的运行氛围下圆满完成年度工作任务。</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r>
        <w:rPr>
          <w:rFonts w:ascii="楷体_GB2312" w:hAnsi="楷体_GB2312" w:eastAsia="楷体_GB2312" w:cs="楷体_GB2312"/>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本单位</w:t>
      </w:r>
      <w:r>
        <w:rPr>
          <w:rFonts w:hint="eastAsia" w:ascii="仿宋_GB2312" w:hAnsi="仿宋_GB2312" w:eastAsia="仿宋_GB2312" w:cs="仿宋_GB2312"/>
          <w:color w:val="000000"/>
          <w:sz w:val="32"/>
          <w:szCs w:val="32"/>
        </w:rPr>
        <w:t>在</w:t>
      </w:r>
      <w:r>
        <w:rPr>
          <w:rFonts w:ascii="仿宋_GB2312" w:hAnsi="仿宋_GB2312" w:eastAsia="仿宋_GB2312" w:cs="仿宋_GB2312"/>
          <w:color w:val="000000"/>
          <w:sz w:val="32"/>
          <w:szCs w:val="32"/>
        </w:rPr>
        <w:t>2020</w:t>
      </w:r>
      <w:r>
        <w:rPr>
          <w:rFonts w:hint="eastAsia" w:ascii="仿宋_GB2312" w:hAnsi="仿宋_GB2312" w:eastAsia="仿宋_GB2312" w:cs="仿宋_GB2312"/>
          <w:color w:val="000000"/>
          <w:sz w:val="32"/>
          <w:szCs w:val="32"/>
        </w:rPr>
        <w:t>年度部门决算中反映“看守所专项经费</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强制隔离戒毒所专项经费</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“拘留所专项经费”“康复救治中心专项经费”“高清天网与绿心环线视频监控”</w:t>
      </w:r>
      <w:r>
        <w:rPr>
          <w:rFonts w:hint="eastAsia" w:ascii="仿宋_GB2312" w:hAnsi="仿宋_GB2312" w:eastAsia="仿宋_GB2312" w:cs="仿宋_GB2312"/>
          <w:sz w:val="32"/>
          <w:szCs w:val="32"/>
        </w:rPr>
        <w:t>等5个项目绩效目标实际完成情况。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）乐山市</w:t>
      </w:r>
      <w:r>
        <w:rPr>
          <w:rFonts w:hint="eastAsia" w:ascii="仿宋_GB2312" w:hAnsi="仿宋_GB2312" w:eastAsia="仿宋_GB2312" w:cs="仿宋_GB2312"/>
          <w:color w:val="000000"/>
          <w:sz w:val="32"/>
          <w:szCs w:val="32"/>
        </w:rPr>
        <w:t>看守所专项经费项目</w:t>
      </w:r>
      <w:r>
        <w:rPr>
          <w:rFonts w:hint="eastAsia" w:ascii="仿宋_GB2312" w:hAnsi="仿宋_GB2312" w:eastAsia="仿宋_GB2312" w:cs="仿宋_GB2312"/>
          <w:sz w:val="32"/>
          <w:szCs w:val="32"/>
        </w:rPr>
        <w:t>绩效目标完成情况综述。项目全年预算数727.9万元，执行数为516.9万元，完成预算的71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。看守所经费主要用于保障在押人员的伙食、医疗，维护看守所各类物防、技防设施正常运行，保障提讯、会见等业务工作正常进行，确保刑事诉讼活动顺利进行。发现的主要问题：一是</w:t>
      </w:r>
      <w:r>
        <w:rPr>
          <w:rFonts w:ascii="仿宋_GB2312" w:hAnsi="仿宋_GB2312" w:eastAsia="仿宋_GB2312" w:cs="仿宋_GB2312"/>
          <w:sz w:val="32"/>
          <w:szCs w:val="32"/>
        </w:rPr>
        <w:t>后勤工作精细化管理上还有差距</w:t>
      </w:r>
      <w:r>
        <w:rPr>
          <w:rFonts w:hint="eastAsia" w:ascii="仿宋_GB2312" w:hAnsi="仿宋_GB2312" w:eastAsia="仿宋_GB2312" w:cs="仿宋_GB2312"/>
          <w:sz w:val="32"/>
          <w:szCs w:val="32"/>
        </w:rPr>
        <w:t>。二是</w:t>
      </w:r>
      <w:r>
        <w:rPr>
          <w:rFonts w:ascii="仿宋_GB2312" w:hAnsi="仿宋_GB2312" w:eastAsia="仿宋_GB2312" w:cs="仿宋_GB2312"/>
          <w:sz w:val="32"/>
          <w:szCs w:val="32"/>
        </w:rPr>
        <w:t>在经费预算执行上还有差距。</w:t>
      </w:r>
      <w:r>
        <w:rPr>
          <w:rFonts w:hint="eastAsia" w:ascii="仿宋_GB2312" w:hAnsi="仿宋_GB2312" w:eastAsia="仿宋_GB2312" w:cs="仿宋_GB2312"/>
          <w:sz w:val="32"/>
          <w:szCs w:val="32"/>
        </w:rPr>
        <w:t>下一步改进措施：</w:t>
      </w:r>
      <w:r>
        <w:rPr>
          <w:rFonts w:ascii="仿宋_GB2312" w:hAnsi="仿宋_GB2312" w:eastAsia="仿宋_GB2312" w:cs="仿宋_GB2312"/>
          <w:sz w:val="32"/>
          <w:szCs w:val="32"/>
        </w:rPr>
        <w:t>进一步规范管理，开源节流，向管理要效益，确保经费按预算来执行，确保经费合理开支</w:t>
      </w:r>
      <w:r>
        <w:rPr>
          <w:rFonts w:hint="eastAsia" w:ascii="仿宋_GB2312" w:hAnsi="仿宋_GB2312" w:eastAsia="仿宋_GB2312" w:cs="仿宋_GB2312"/>
          <w:sz w:val="32"/>
          <w:szCs w:val="32"/>
        </w:rPr>
        <w:t>。</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乐山市强制隔离戒毒所专项经费项目绩效目标完成情况综述。项目全年预算数570万元，执行数为450.46万元，完成预算的79%。通过项目实施，确保乐山市的禁毒工作有效开展，积极收治强制隔离戒毒人员，培植戒毒专业队伍，健全戒毒管理制度，创新医疗、教育、心理矫治、诊断评估的戒毒方法，帮助戒毒人员戒断毒瘾，早日回归家庭和社会，对社会和谐进步发展起到促进作用，让很多戒毒学员重获新生，让很多破碎的家庭得以复合，维护了社会安全稳定。发现的主要问题：一是预算编制质量较好但编制准确性有待提高。二是预算经费支出明细科目与实际支出明细科目存偏差。三是禁毒形势依然严峻，社会效益还不能完全达到人民的期望。下一步改进措施：一是做好、做细预算基础工作，提高预算的准确性。二是进一步完善相应制度建设和财务管理。三是进一步加强对戒毒人员心理辅导、走访帮扶、身心矫正、技能培训工作，降低复吸率；四是加大禁毒宣传，尤其是对青少年的禁毒宣传，提高禁毒效能。</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（3）拘留所专项经费项目绩效目标完成情况综述。项目全年预算数135万元，执行数为126.04万元，完成预算的93.4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确保监所安全无事故，提升了管理教育水平，保障了正常运转。发现的主要问题：一是预算编制质量较好但编制准确性有待提高；二是预算经费支出明细科目与实际支出明细科目存偏差。下一步改进措施：一是做好、做细预算基础工作，提高预算的准确性；二是加快完善相应制度建设和财务管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（4）康复救治中心专项经费项目绩效目标完成情况综述。项目全年预算数760万元，执行数为681.74万元，完成预算的89.7</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。通过项目实施，有力的促进了全市社会治安持续好转，群众安全感满意度明显提升，2020年度康复救治中心累计收治病残吸毒人员208人，较好完成了年度工作目标。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（5）高清天网与绿心环线视频监控项目绩效目标完成情况综述。项目全年预算数1202.22万元，执行数为813.27万元，完成预算的67.65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2020年1月至12月底，在刑侦方面，共接案件41起，通过视频侦查破案件15起。在处理交通事故方面，通过视频监控认定交通事故责任150余起，查获交通肇事逃逸20余起。在执行安保任务方面，用于春节安保以及重要领导来访视察等重大安保行动任务10余起。发现的主要问题：一是建设缺乏统一领导和管理；二是感知源建设种类和技术手段较单一；三是事例社会视频资源难度大，运用效果差；四是存在监控点位少，布局不合理，建设周期长；五是基础平台建设滞后，无视频结构化分析平台。下一步改进措施：一是加强感知源建设的统一规划和管理；二是积极争取各级党委、政府支持，完善事例社会视频资源等各项工作机制；三是逐步扩大“天网”覆盖圈，全力推进天网三期建设；四是积极探索新的技术手段，不断丰富感知源建设的内涵；五是通过合成作战二期建设加强技战法的提炼和培训推广，增强实战部门的应用意识。</w:t>
      </w:r>
    </w:p>
    <w:tbl>
      <w:tblPr>
        <w:tblStyle w:val="12"/>
        <w:tblpPr w:leftFromText="180" w:rightFromText="180" w:vertAnchor="text" w:horzAnchor="page" w:tblpXSpec="center" w:tblpY="423"/>
        <w:tblOverlap w:val="never"/>
        <w:tblW w:w="0" w:type="auto"/>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spacing w:line="560" w:lineRule="exact"/>
              <w:jc w:val="center"/>
              <w:textAlignment w:val="center"/>
              <w:rPr>
                <w:rFonts w:ascii="宋体" w:cs="宋体"/>
                <w:color w:val="000000"/>
                <w:sz w:val="36"/>
                <w:szCs w:val="36"/>
              </w:rPr>
            </w:pPr>
            <w:r>
              <w:rPr>
                <w:rFonts w:hint="eastAsia" w:ascii="宋体" w:hAnsi="宋体" w:cs="宋体"/>
                <w:b/>
                <w:bCs/>
                <w:color w:val="000000"/>
                <w:kern w:val="0"/>
                <w:sz w:val="36"/>
                <w:szCs w:val="36"/>
              </w:rPr>
              <w:t>项目绩效目标完成情况表</w:t>
            </w:r>
            <w:r>
              <w:rPr>
                <w:rFonts w:ascii="宋体" w:cs="宋体"/>
                <w:b/>
                <w:bCs/>
                <w:color w:val="000000"/>
                <w:kern w:val="0"/>
                <w:sz w:val="36"/>
                <w:szCs w:val="36"/>
              </w:rPr>
              <w:br w:type="textWrapping"/>
            </w:r>
            <w:r>
              <w:rPr>
                <w:rFonts w:ascii="宋体" w:hAnsi="宋体" w:cs="宋体"/>
                <w:color w:val="000000"/>
                <w:kern w:val="0"/>
                <w:sz w:val="36"/>
                <w:szCs w:val="36"/>
              </w:rPr>
              <w:t>(2020</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看守所专项经费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乐山市公安局机关</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预算执行情况</w:t>
            </w:r>
            <w:r>
              <w:rPr>
                <w:rFonts w:ascii="宋体" w:cs="宋体"/>
                <w:color w:val="000000"/>
                <w:sz w:val="24"/>
              </w:rPr>
              <w:t>(</w:t>
            </w:r>
            <w:r>
              <w:rPr>
                <w:rFonts w:hint="eastAsia" w:ascii="宋体" w:cs="宋体"/>
                <w:color w:val="000000"/>
                <w:sz w:val="24"/>
              </w:rPr>
              <w:t>万元</w:t>
            </w:r>
            <w:r>
              <w:rPr>
                <w:rFonts w:ascii="宋体" w:cs="宋体"/>
                <w:color w:val="00000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预算数</w:t>
            </w:r>
            <w:r>
              <w:rPr>
                <w:rFonts w:ascii="宋体" w:cs="宋体"/>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727.9万元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执行数</w:t>
            </w:r>
            <w:r>
              <w:rPr>
                <w:rFonts w:ascii="宋体" w:cs="宋体"/>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516.9万元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727.9万元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516.9万元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按日均关押量750预算，预需经费727.9万元预计完成90</w:t>
            </w:r>
            <w:r>
              <w:rPr>
                <w:rFonts w:ascii="宋体" w:cs="宋体"/>
                <w:color w:val="000000"/>
                <w:sz w:val="24"/>
              </w:rPr>
              <w:t>%</w:t>
            </w:r>
            <w:r>
              <w:rPr>
                <w:rFonts w:hint="eastAsia" w:ascii="宋体" w:cs="宋体"/>
                <w:color w:val="000000"/>
                <w:sz w:val="24"/>
              </w:rPr>
              <w:t>以上。</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因疫情，男性在押人员指定区县集中收押。实际关押量日均600人。实际完成516.9万元，完成率71</w:t>
            </w:r>
            <w:r>
              <w:rPr>
                <w:rFonts w:ascii="宋体" w:hAnsi="宋体" w:cs="宋体"/>
                <w:color w:val="000000"/>
                <w:kern w:val="0"/>
                <w:sz w:val="24"/>
              </w:rPr>
              <w:t>%</w:t>
            </w:r>
            <w:r>
              <w:rPr>
                <w:rFonts w:hint="eastAsia" w:ascii="宋体" w:hAnsi="宋体" w:cs="宋体"/>
                <w:color w:val="000000"/>
                <w:kern w:val="0"/>
                <w:sz w:val="24"/>
              </w:rPr>
              <w:t>。</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给养费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按月均关押750人，按公安部、省财政厅规定执行,每人每月不超过280元。粮食20公斤,蔬菜24公斤,肉类2.4公斤,蛋1.4公斤,豆制品1.4公斤,食油1公斤,调味品适量的定量标准预需：252万元；衣被费：34.2万元；医疗费：29.5万元。共需：315.7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因疫情，男性在押人员指定区县集中收押。实际关押600人，按公安部、省财政厅规定执行,每人每月不超过280元。粮食20公斤,蔬菜24公斤,肉类2.4公斤,蛋1.4公斤,豆制品1.4公斤,食油1公斤,调味品适量的定量标准，实际完成267.86万元。</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水、电、气费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按2019年实际支付的标准，2020年预需167.8万元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因疫情，男性在押人员指定区县集中收押。实际完成85.49万元。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劳务费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按月均押量750人的3</w:t>
            </w:r>
            <w:r>
              <w:rPr>
                <w:rFonts w:ascii="宋体" w:hAnsi="宋体" w:cs="仿宋_GB2312"/>
                <w:sz w:val="24"/>
              </w:rPr>
              <w:t>%</w:t>
            </w:r>
            <w:r>
              <w:rPr>
                <w:rFonts w:hint="eastAsia" w:ascii="宋体" w:hAnsi="宋体" w:cs="仿宋_GB2312"/>
                <w:sz w:val="24"/>
              </w:rPr>
              <w:t>比例配备炊事员，关押量500-1000人所配备4名医生、3名有资质的护士，根据需要适量配置文员、保洁、驾驶员。预需经费144.4万元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因疫情，男性在押人员指定区县集中收押。月均押量600人。我所一名民警兼任医生，护士也由民、辅警兼任。实际完成97.1万元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维修（护）费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围墙、监舍、门窗、水电等附属设施维修，预需经费20万元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围墙、监舍、门窗、水电等附属设施维修，实际完成37.7万元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专用材料费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计算机耗材、通信消耗、警械购置等，预需经费22万元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计算机耗材、通信消耗、警械购置等，实际完成16.93万元。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公用经费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购置和印制宣传资料、装订档案、邮电费、押解费等，预需经费14万元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购置和印制宣传资料、装订档案、邮电费、押解费等，实际完成5.22万元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专用设备购置费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因疫情，民、辅警工勤人员及在押人员够防疫物资和核酸检测，预需经费7万元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因疫情，民、辅警工勤人员及在押人员够防疫物资和核酸检测。实际完成6.6万元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其他费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生活污水处理费及其他没有列入但看守所必须开支的费用，预需37万元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因污水系统升级改造，项目未移交。实际完成0万元。</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震慑作用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经过羁押人员的亲身感受，体会到守法的重要性。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经过羁押人员的亲身感受，体会到守法的重要性。</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降低重新犯罪率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通过法律法规的教育学习，使在押人员进一步懂法守法，回归社会后减少重新犯罪。</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通过法律法规的教育学习，使在押人员进一步懂法守法，回归社会后减少重新犯罪。</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kern w:val="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降低犯罪率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在押人员（罪犯）通过教育改造，回归社会后，自身经历将影响家人及身边朋友，带动大家遵纪守法。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在押人员（罪犯）通过教育改造，回归社会后，自身经历将影响家人及身边朋友，带动大家遵纪守法。</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r>
    </w:tbl>
    <w:p>
      <w:pPr>
        <w:spacing w:line="560" w:lineRule="exact"/>
        <w:rPr>
          <w:rFonts w:ascii="黑体" w:hAnsi="黑体" w:eastAsia="黑体"/>
          <w:color w:val="000000"/>
          <w:sz w:val="44"/>
          <w:szCs w:val="44"/>
        </w:rPr>
      </w:pPr>
    </w:p>
    <w:tbl>
      <w:tblPr>
        <w:tblStyle w:val="12"/>
        <w:tblpPr w:leftFromText="180" w:rightFromText="180" w:vertAnchor="text" w:horzAnchor="page" w:tblpXSpec="center" w:tblpY="423"/>
        <w:tblOverlap w:val="never"/>
        <w:tblW w:w="0" w:type="auto"/>
        <w:jc w:val="center"/>
        <w:tblLayout w:type="fixed"/>
        <w:tblCellMar>
          <w:top w:w="0" w:type="dxa"/>
          <w:left w:w="0" w:type="dxa"/>
          <w:bottom w:w="0" w:type="dxa"/>
          <w:right w:w="0" w:type="dxa"/>
        </w:tblCellMar>
      </w:tblPr>
      <w:tblGrid>
        <w:gridCol w:w="514"/>
        <w:gridCol w:w="887"/>
        <w:gridCol w:w="1186"/>
        <w:gridCol w:w="195"/>
        <w:gridCol w:w="2392"/>
        <w:gridCol w:w="2394"/>
        <w:gridCol w:w="2392"/>
      </w:tblGrid>
      <w:tr>
        <w:tblPrEx>
          <w:tblCellMar>
            <w:top w:w="0" w:type="dxa"/>
            <w:left w:w="0" w:type="dxa"/>
            <w:bottom w:w="0" w:type="dxa"/>
            <w:right w:w="0" w:type="dxa"/>
          </w:tblCellMar>
        </w:tblPrEx>
        <w:trPr>
          <w:trHeight w:val="927" w:hRule="atLeast"/>
          <w:jc w:val="center"/>
        </w:trPr>
        <w:tc>
          <w:tcPr>
            <w:tcW w:w="9960" w:type="dxa"/>
            <w:gridSpan w:val="7"/>
            <w:tcBorders>
              <w:top w:val="nil"/>
              <w:left w:val="nil"/>
              <w:bottom w:val="nil"/>
              <w:right w:val="nil"/>
            </w:tcBorders>
            <w:tcMar>
              <w:top w:w="15" w:type="dxa"/>
              <w:left w:w="15" w:type="dxa"/>
              <w:right w:w="15" w:type="dxa"/>
            </w:tcMar>
            <w:vAlign w:val="center"/>
          </w:tcPr>
          <w:p>
            <w:pPr>
              <w:widowControl/>
              <w:spacing w:line="560" w:lineRule="exact"/>
              <w:jc w:val="center"/>
              <w:textAlignment w:val="center"/>
              <w:rPr>
                <w:rFonts w:ascii="宋体" w:hAnsi="宋体" w:cs="宋体"/>
                <w:color w:val="000000"/>
                <w:kern w:val="0"/>
                <w:sz w:val="36"/>
                <w:szCs w:val="36"/>
              </w:rPr>
            </w:pPr>
            <w:r>
              <w:rPr>
                <w:rFonts w:hint="eastAsia" w:ascii="宋体" w:hAnsi="宋体" w:cs="宋体"/>
                <w:b/>
                <w:bCs/>
                <w:color w:val="000000"/>
                <w:kern w:val="0"/>
                <w:sz w:val="36"/>
                <w:szCs w:val="36"/>
              </w:rPr>
              <w:t>项目绩效目标完成情况表</w:t>
            </w:r>
            <w:r>
              <w:rPr>
                <w:rFonts w:hint="eastAsia" w:ascii="宋体" w:hAnsi="宋体" w:cs="宋体"/>
                <w:color w:val="000000"/>
                <w:kern w:val="0"/>
                <w:sz w:val="36"/>
                <w:szCs w:val="36"/>
              </w:rPr>
              <w:br w:type="textWrapping"/>
            </w:r>
            <w:r>
              <w:rPr>
                <w:rFonts w:hint="eastAsia" w:ascii="宋体" w:hAnsi="宋体" w:cs="宋体"/>
                <w:color w:val="000000"/>
                <w:kern w:val="0"/>
                <w:sz w:val="36"/>
                <w:szCs w:val="36"/>
              </w:rPr>
              <w:t>(2020年度)</w:t>
            </w:r>
          </w:p>
        </w:tc>
      </w:tr>
      <w:tr>
        <w:tblPrEx>
          <w:tblCellMar>
            <w:top w:w="0" w:type="dxa"/>
            <w:left w:w="0" w:type="dxa"/>
            <w:bottom w:w="0" w:type="dxa"/>
            <w:right w:w="0" w:type="dxa"/>
          </w:tblCellMar>
        </w:tblPrEx>
        <w:trPr>
          <w:trHeight w:val="472" w:hRule="atLeast"/>
          <w:jc w:val="center"/>
        </w:trPr>
        <w:tc>
          <w:tcPr>
            <w:tcW w:w="278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戒毒所专项经费</w:t>
            </w:r>
          </w:p>
        </w:tc>
      </w:tr>
      <w:tr>
        <w:tblPrEx>
          <w:tblCellMar>
            <w:top w:w="0" w:type="dxa"/>
            <w:left w:w="0" w:type="dxa"/>
            <w:bottom w:w="0" w:type="dxa"/>
            <w:right w:w="0" w:type="dxa"/>
          </w:tblCellMar>
        </w:tblPrEx>
        <w:trPr>
          <w:trHeight w:val="466" w:hRule="atLeast"/>
          <w:jc w:val="center"/>
        </w:trPr>
        <w:tc>
          <w:tcPr>
            <w:tcW w:w="278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乐山市公安局</w:t>
            </w:r>
          </w:p>
        </w:tc>
      </w:tr>
      <w:tr>
        <w:tblPrEx>
          <w:tblCellMar>
            <w:top w:w="0" w:type="dxa"/>
            <w:left w:w="0" w:type="dxa"/>
            <w:bottom w:w="0" w:type="dxa"/>
            <w:right w:w="0" w:type="dxa"/>
          </w:tblCellMar>
        </w:tblPrEx>
        <w:trPr>
          <w:trHeight w:val="542" w:hRule="atLeast"/>
          <w:jc w:val="center"/>
        </w:trPr>
        <w:tc>
          <w:tcPr>
            <w:tcW w:w="51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预算执行情况(万元)</w:t>
            </w:r>
          </w:p>
        </w:tc>
        <w:tc>
          <w:tcPr>
            <w:tcW w:w="226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570万元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450.46万元</w:t>
            </w:r>
          </w:p>
        </w:tc>
      </w:tr>
      <w:tr>
        <w:tblPrEx>
          <w:tblCellMar>
            <w:top w:w="0" w:type="dxa"/>
            <w:left w:w="0" w:type="dxa"/>
            <w:bottom w:w="0" w:type="dxa"/>
            <w:right w:w="0" w:type="dxa"/>
          </w:tblCellMar>
        </w:tblPrEx>
        <w:trPr>
          <w:trHeight w:val="641"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226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570万元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450.46万元</w:t>
            </w:r>
          </w:p>
        </w:tc>
      </w:tr>
      <w:tr>
        <w:tblPrEx>
          <w:tblCellMar>
            <w:top w:w="0" w:type="dxa"/>
            <w:left w:w="0" w:type="dxa"/>
            <w:bottom w:w="0" w:type="dxa"/>
            <w:right w:w="0" w:type="dxa"/>
          </w:tblCellMar>
        </w:tblPrEx>
        <w:trPr>
          <w:trHeight w:val="505" w:hRule="atLeast"/>
          <w:jc w:val="center"/>
        </w:trPr>
        <w:tc>
          <w:tcPr>
            <w:tcW w:w="51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226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r>
      <w:tr>
        <w:tblPrEx>
          <w:tblCellMar>
            <w:top w:w="0" w:type="dxa"/>
            <w:left w:w="0" w:type="dxa"/>
            <w:bottom w:w="0" w:type="dxa"/>
            <w:right w:w="0" w:type="dxa"/>
          </w:tblCellMar>
        </w:tblPrEx>
        <w:trPr>
          <w:trHeight w:val="557" w:hRule="atLeast"/>
          <w:jc w:val="center"/>
        </w:trPr>
        <w:tc>
          <w:tcPr>
            <w:tcW w:w="51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p>
            <w:pPr>
              <w:widowControl/>
              <w:spacing w:line="560" w:lineRule="exact"/>
              <w:jc w:val="center"/>
              <w:textAlignment w:val="center"/>
              <w:rPr>
                <w:rFonts w:ascii="宋体" w:cs="宋体"/>
                <w:color w:val="000000"/>
                <w:sz w:val="24"/>
              </w:rPr>
            </w:pPr>
          </w:p>
          <w:p>
            <w:pPr>
              <w:widowControl/>
              <w:spacing w:line="560" w:lineRule="exact"/>
              <w:jc w:val="center"/>
              <w:textAlignment w:val="center"/>
              <w:rPr>
                <w:rFonts w:ascii="宋体" w:cs="宋体"/>
                <w:color w:val="000000"/>
                <w:sz w:val="24"/>
              </w:rPr>
            </w:pPr>
          </w:p>
          <w:p>
            <w:pPr>
              <w:widowControl/>
              <w:spacing w:line="560" w:lineRule="exact"/>
              <w:jc w:val="center"/>
              <w:textAlignment w:val="center"/>
              <w:rPr>
                <w:rFonts w:ascii="宋体" w:cs="宋体"/>
                <w:color w:val="000000"/>
                <w:sz w:val="24"/>
              </w:rPr>
            </w:pPr>
          </w:p>
          <w:p>
            <w:pPr>
              <w:widowControl/>
              <w:spacing w:line="560" w:lineRule="exact"/>
              <w:jc w:val="center"/>
              <w:textAlignment w:val="center"/>
              <w:rPr>
                <w:rFonts w:ascii="宋体" w:cs="宋体"/>
                <w:color w:val="000000"/>
                <w:sz w:val="24"/>
              </w:rPr>
            </w:pPr>
            <w:r>
              <w:rPr>
                <w:rFonts w:hint="eastAsia" w:ascii="宋体" w:cs="宋体"/>
                <w:color w:val="000000"/>
                <w:sz w:val="24"/>
              </w:rPr>
              <w:t>年度目标完成情况</w:t>
            </w:r>
          </w:p>
        </w:tc>
        <w:tc>
          <w:tcPr>
            <w:tcW w:w="4660"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实际完成目标</w:t>
            </w:r>
          </w:p>
        </w:tc>
      </w:tr>
      <w:tr>
        <w:tblPrEx>
          <w:tblCellMar>
            <w:top w:w="0" w:type="dxa"/>
            <w:left w:w="0" w:type="dxa"/>
            <w:bottom w:w="0" w:type="dxa"/>
            <w:right w:w="0" w:type="dxa"/>
          </w:tblCellMar>
        </w:tblPrEx>
        <w:trPr>
          <w:trHeight w:val="1159" w:hRule="atLeast"/>
          <w:jc w:val="center"/>
        </w:trPr>
        <w:tc>
          <w:tcPr>
            <w:tcW w:w="51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4660"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 xml:space="preserve">    作为乐山市唯一一所强制隔离戒毒所，确保乐山市的禁毒工作有效开展，积极收治强制隔离戒毒人员，培植戒毒专业队伍，健全戒毒管理制度，创新医疗、教育、心理矫治、诊断评估的戒毒方法；确保监管场所的安全稳定，保障戒毒人员在所期间的身心康复，提高戒毒人员在所生活质量，在有限场所内打造一个良好的戒毒康复环境，帮助他们早日戒断毒瘾，回归社会。做好监所各项工作，确保监所安全无事故，提升管理教育水平，维护长期安全稳定，实现队伍零违纪。保障戒毒所工作正常运转，严格按照财经制度的有关要求，做到专款专用，在资金使用上必须按照国家财经法规和市局财务管理制度规定以及有关专项资金管理办法的规定收支，财务处理及时，确保资金使用的安全性和规范性，保质保量完成了年度工作目标任务。 </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 xml:space="preserve">    确保了乐山市的禁毒工作有效开展，积极收治强制隔离戒毒人员，培植戒毒专业队伍，健全戒毒管理制度，创新医疗、教育、心理矫治、诊断评估的戒毒方法；帮助他们戒断毒瘾，早日回归家庭和社会，对社会和谐进步发展起到促进作用，让很多戒毒人员重获新生，让很多破碎的家庭得以复合，维护社会安全稳定。确保了监所安全零事故，提升管理教育水平，维护长期安全稳定，实现队伍无违纪，保障了我所正常运转。按照财经制度的有关要求，做到专款专用，单位资金监督小组对专项资金的使用进行全程监督，保证资金使用的合法合规。报账采取月底汇集采购清单和正式发票，经所领导审批、警保处领导审批、分管副局长审批等完成相关手续，最后再到市局财务室报账。在资金使用上一直按照国家财经法规和市局财务管理制度规定以及有关专项资金管理办法的规定收支，财务处理及时，确保了资金使用的安全性和规范性，保质保量完成了年度工作目标任务。 </w:t>
            </w:r>
          </w:p>
        </w:tc>
      </w:tr>
      <w:tr>
        <w:tblPrEx>
          <w:tblCellMar>
            <w:top w:w="0" w:type="dxa"/>
            <w:left w:w="0" w:type="dxa"/>
            <w:bottom w:w="0" w:type="dxa"/>
            <w:right w:w="0" w:type="dxa"/>
          </w:tblCellMar>
        </w:tblPrEx>
        <w:trPr>
          <w:trHeight w:val="90" w:hRule="atLeast"/>
          <w:jc w:val="center"/>
        </w:trPr>
        <w:tc>
          <w:tcPr>
            <w:tcW w:w="51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绩效指标完成情况</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一级指标</w:t>
            </w:r>
          </w:p>
        </w:tc>
        <w:tc>
          <w:tcPr>
            <w:tcW w:w="11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二级指标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实际完成指标值(包含数字及文字描述)</w:t>
            </w:r>
          </w:p>
        </w:tc>
      </w:tr>
      <w:tr>
        <w:tblPrEx>
          <w:tblCellMar>
            <w:top w:w="0" w:type="dxa"/>
            <w:left w:w="0" w:type="dxa"/>
            <w:bottom w:w="0" w:type="dxa"/>
            <w:right w:w="0" w:type="dxa"/>
          </w:tblCellMar>
        </w:tblPrEx>
        <w:trPr>
          <w:trHeight w:val="354"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项目完成指标</w:t>
            </w:r>
          </w:p>
          <w:p>
            <w:pPr>
              <w:widowControl/>
              <w:spacing w:line="560" w:lineRule="exact"/>
              <w:jc w:val="center"/>
              <w:textAlignment w:val="center"/>
              <w:rPr>
                <w:rFonts w:ascii="宋体" w:cs="宋体"/>
                <w:color w:val="000000"/>
                <w:sz w:val="24"/>
              </w:rPr>
            </w:pPr>
          </w:p>
        </w:tc>
        <w:tc>
          <w:tcPr>
            <w:tcW w:w="1186" w:type="dxa"/>
            <w:vMerge w:val="restart"/>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r>
              <w:rPr>
                <w:rFonts w:hint="eastAsia" w:ascii="宋体" w:cs="宋体"/>
                <w:color w:val="000000"/>
                <w:sz w:val="24"/>
              </w:rPr>
              <w:t>数量指标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指标1：戒毒人员在所日均人数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 xml:space="preserve">      600人左右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507人左右</w:t>
            </w:r>
          </w:p>
        </w:tc>
      </w:tr>
      <w:tr>
        <w:tblPrEx>
          <w:tblCellMar>
            <w:top w:w="0" w:type="dxa"/>
            <w:left w:w="0" w:type="dxa"/>
            <w:bottom w:w="0" w:type="dxa"/>
            <w:right w:w="0" w:type="dxa"/>
          </w:tblCellMar>
        </w:tblPrEx>
        <w:trPr>
          <w:trHeight w:val="422"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jc w:val="center"/>
              <w:rPr>
                <w:rFonts w:ascii="宋体" w:cs="宋体"/>
                <w:color w:val="000000"/>
                <w:sz w:val="24"/>
              </w:rPr>
            </w:pPr>
            <w:r>
              <w:rPr>
                <w:rFonts w:hint="eastAsia" w:ascii="宋体" w:cs="宋体"/>
                <w:color w:val="000000"/>
                <w:sz w:val="24"/>
              </w:rPr>
              <w:t>指标2：戒毒人员伙食费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按财政部、公安部规定和参照看守所标准执行,每人每月不超过280元.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按财政部、公安部规定和参照看守所标准执行,每人每月不超过280元.</w:t>
            </w:r>
          </w:p>
        </w:tc>
      </w:tr>
      <w:tr>
        <w:tblPrEx>
          <w:tblCellMar>
            <w:top w:w="0" w:type="dxa"/>
            <w:left w:w="0" w:type="dxa"/>
            <w:bottom w:w="0" w:type="dxa"/>
            <w:right w:w="0" w:type="dxa"/>
          </w:tblCellMar>
        </w:tblPrEx>
        <w:trPr>
          <w:trHeight w:val="344"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指标:3：禁毒宣传教育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不少于6场次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10场次</w:t>
            </w:r>
          </w:p>
        </w:tc>
      </w:tr>
      <w:tr>
        <w:tblPrEx>
          <w:tblCellMar>
            <w:top w:w="0" w:type="dxa"/>
            <w:left w:w="0" w:type="dxa"/>
            <w:bottom w:w="0" w:type="dxa"/>
            <w:right w:w="0" w:type="dxa"/>
          </w:tblCellMar>
        </w:tblPrEx>
        <w:trPr>
          <w:trHeight w:val="371"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restart"/>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指标4：收戒强制隔离戒毒人员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约1000人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约518人</w:t>
            </w:r>
          </w:p>
        </w:tc>
      </w:tr>
      <w:tr>
        <w:tblPrEx>
          <w:tblCellMar>
            <w:top w:w="0" w:type="dxa"/>
            <w:left w:w="0" w:type="dxa"/>
            <w:bottom w:w="0" w:type="dxa"/>
            <w:right w:w="0" w:type="dxa"/>
          </w:tblCellMar>
        </w:tblPrEx>
        <w:trPr>
          <w:trHeight w:val="358"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指标5：强制隔离戒毒人员集中教育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每月最少1次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每月1次</w:t>
            </w:r>
          </w:p>
        </w:tc>
      </w:tr>
      <w:tr>
        <w:tblPrEx>
          <w:tblCellMar>
            <w:top w:w="0" w:type="dxa"/>
            <w:left w:w="0" w:type="dxa"/>
            <w:bottom w:w="0" w:type="dxa"/>
            <w:right w:w="0" w:type="dxa"/>
          </w:tblCellMar>
        </w:tblPrEx>
        <w:trPr>
          <w:trHeight w:val="358"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指标6：安全责任事故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无</w:t>
            </w:r>
          </w:p>
        </w:tc>
      </w:tr>
      <w:tr>
        <w:tblPrEx>
          <w:tblCellMar>
            <w:top w:w="0" w:type="dxa"/>
            <w:left w:w="0" w:type="dxa"/>
            <w:bottom w:w="0" w:type="dxa"/>
            <w:right w:w="0" w:type="dxa"/>
          </w:tblCellMar>
        </w:tblPrEx>
        <w:trPr>
          <w:trHeight w:val="289"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restart"/>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w:t>
            </w: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w:t>
            </w:r>
          </w:p>
          <w:p>
            <w:pPr>
              <w:widowControl/>
              <w:autoSpaceDE w:val="0"/>
              <w:autoSpaceDN w:val="0"/>
              <w:spacing w:line="560" w:lineRule="exact"/>
              <w:jc w:val="center"/>
              <w:rPr>
                <w:rFonts w:ascii="宋体" w:cs="宋体"/>
                <w:color w:val="000000"/>
                <w:sz w:val="24"/>
              </w:rPr>
            </w:pPr>
            <w:r>
              <w:rPr>
                <w:rFonts w:hint="eastAsia" w:ascii="宋体" w:cs="宋体"/>
                <w:color w:val="000000"/>
                <w:sz w:val="24"/>
              </w:rPr>
              <w:t xml:space="preserve"> 质量指标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指标7：在押人员脱逃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无</w:t>
            </w:r>
          </w:p>
        </w:tc>
      </w:tr>
      <w:tr>
        <w:tblPrEx>
          <w:tblCellMar>
            <w:top w:w="0" w:type="dxa"/>
            <w:left w:w="0" w:type="dxa"/>
            <w:bottom w:w="0" w:type="dxa"/>
            <w:right w:w="0" w:type="dxa"/>
          </w:tblCellMar>
        </w:tblPrEx>
        <w:trPr>
          <w:trHeight w:val="354"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指标8：在押人员非正常死亡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无</w:t>
            </w:r>
          </w:p>
        </w:tc>
      </w:tr>
      <w:tr>
        <w:tblPrEx>
          <w:tblCellMar>
            <w:top w:w="0" w:type="dxa"/>
            <w:left w:w="0" w:type="dxa"/>
            <w:bottom w:w="0" w:type="dxa"/>
            <w:right w:w="0" w:type="dxa"/>
          </w:tblCellMar>
        </w:tblPrEx>
        <w:trPr>
          <w:trHeight w:val="408"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continue"/>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jc w:val="center"/>
              <w:rPr>
                <w:rFonts w:ascii="宋体" w:cs="宋体"/>
                <w:color w:val="000000"/>
                <w:sz w:val="24"/>
              </w:rPr>
            </w:pPr>
            <w:r>
              <w:rPr>
                <w:rFonts w:hint="eastAsia" w:ascii="宋体" w:cs="宋体"/>
                <w:color w:val="000000"/>
                <w:sz w:val="24"/>
              </w:rPr>
              <w:t>指标1：戒毒人员伙食费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粮食20公斤,蔬菜24公斤,肉类2.4公斤,蛋1.4公斤,豆制品1.4公斤,食油1公斤,调味品适量.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r>
              <w:rPr>
                <w:rFonts w:hint="eastAsia" w:ascii="宋体" w:cs="宋体"/>
                <w:color w:val="000000"/>
                <w:sz w:val="24"/>
              </w:rPr>
              <w:t>按照标准：粮食20公斤,蔬菜24公斤,肉类2.4公斤,蛋1.4公斤,豆制品1.4公斤,食油1公斤,调味品适量.</w:t>
            </w:r>
          </w:p>
        </w:tc>
      </w:tr>
      <w:tr>
        <w:tblPrEx>
          <w:tblCellMar>
            <w:top w:w="0" w:type="dxa"/>
            <w:left w:w="0" w:type="dxa"/>
            <w:bottom w:w="0" w:type="dxa"/>
            <w:right w:w="0" w:type="dxa"/>
          </w:tblCellMar>
        </w:tblPrEx>
        <w:trPr>
          <w:trHeight w:val="366"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指标2：禁毒宣传教育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570"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restart"/>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r>
              <w:rPr>
                <w:rFonts w:hint="eastAsia" w:ascii="宋体" w:cs="宋体"/>
                <w:color w:val="000000"/>
                <w:sz w:val="24"/>
              </w:rPr>
              <w:t xml:space="preserve"> 时效指标</w:t>
            </w: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jc w:val="center"/>
              <w:rPr>
                <w:rFonts w:ascii="宋体" w:cs="宋体"/>
                <w:color w:val="000000"/>
                <w:sz w:val="24"/>
              </w:rPr>
            </w:pPr>
            <w:r>
              <w:rPr>
                <w:rFonts w:hint="eastAsia" w:ascii="宋体" w:cs="宋体"/>
                <w:color w:val="000000"/>
                <w:sz w:val="24"/>
              </w:rPr>
              <w:t xml:space="preserve"> 成本指标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指标3：收戒强制隔离戒毒人员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964"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指标4：强制隔离戒毒人员集中教育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393"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指标:5：安全责任事故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r>
      <w:tr>
        <w:tblPrEx>
          <w:tblCellMar>
            <w:top w:w="0" w:type="dxa"/>
            <w:left w:w="0" w:type="dxa"/>
            <w:bottom w:w="0" w:type="dxa"/>
            <w:right w:w="0" w:type="dxa"/>
          </w:tblCellMar>
        </w:tblPrEx>
        <w:trPr>
          <w:trHeight w:val="556"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指标6：在押人员脱逃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r>
      <w:tr>
        <w:tblPrEx>
          <w:tblCellMar>
            <w:top w:w="0" w:type="dxa"/>
            <w:left w:w="0" w:type="dxa"/>
            <w:bottom w:w="0" w:type="dxa"/>
            <w:right w:w="0" w:type="dxa"/>
          </w:tblCellMar>
        </w:tblPrEx>
        <w:trPr>
          <w:trHeight w:val="379"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指标8：在押人员非正常死亡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r>
      <w:tr>
        <w:tblPrEx>
          <w:tblCellMar>
            <w:top w:w="0" w:type="dxa"/>
            <w:left w:w="0" w:type="dxa"/>
            <w:bottom w:w="0" w:type="dxa"/>
            <w:right w:w="0" w:type="dxa"/>
          </w:tblCellMar>
        </w:tblPrEx>
        <w:trPr>
          <w:trHeight w:val="311"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完成各类工作任务、目标完成率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年内达到100%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年内达到100%</w:t>
            </w:r>
          </w:p>
        </w:tc>
      </w:tr>
      <w:tr>
        <w:tblPrEx>
          <w:tblCellMar>
            <w:top w:w="0" w:type="dxa"/>
            <w:left w:w="0" w:type="dxa"/>
            <w:bottom w:w="0" w:type="dxa"/>
            <w:right w:w="0" w:type="dxa"/>
          </w:tblCellMar>
        </w:tblPrEx>
        <w:trPr>
          <w:trHeight w:val="421"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指标1：戒毒人员给养费（伙食费、衣被费、生理脱毒费、医疗药品费等）</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 xml:space="preserve">  </w:t>
            </w:r>
          </w:p>
          <w:p>
            <w:pPr>
              <w:widowControl/>
              <w:autoSpaceDE w:val="0"/>
              <w:autoSpaceDN w:val="0"/>
              <w:spacing w:line="560" w:lineRule="exact"/>
              <w:rPr>
                <w:rFonts w:ascii="宋体" w:cs="宋体"/>
                <w:color w:val="000000"/>
                <w:sz w:val="24"/>
              </w:rPr>
            </w:pPr>
            <w:r>
              <w:rPr>
                <w:rFonts w:hint="eastAsia" w:ascii="宋体" w:cs="宋体"/>
                <w:color w:val="000000"/>
                <w:sz w:val="24"/>
              </w:rPr>
              <w:t>338.96万元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258.15万元</w:t>
            </w:r>
          </w:p>
        </w:tc>
      </w:tr>
      <w:tr>
        <w:tblPrEx>
          <w:tblCellMar>
            <w:top w:w="0" w:type="dxa"/>
            <w:left w:w="0" w:type="dxa"/>
            <w:bottom w:w="0" w:type="dxa"/>
            <w:right w:w="0" w:type="dxa"/>
          </w:tblCellMar>
        </w:tblPrEx>
        <w:trPr>
          <w:trHeight w:val="625"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指标2：医护、保安、厨师等临工费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112.8万元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100.94万元</w:t>
            </w:r>
          </w:p>
        </w:tc>
      </w:tr>
      <w:tr>
        <w:tblPrEx>
          <w:tblCellMar>
            <w:top w:w="0" w:type="dxa"/>
            <w:left w:w="0" w:type="dxa"/>
            <w:bottom w:w="0" w:type="dxa"/>
            <w:right w:w="0" w:type="dxa"/>
          </w:tblCellMar>
        </w:tblPrEx>
        <w:trPr>
          <w:trHeight w:val="1050"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restart"/>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jc w:val="center"/>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社会效益</w:t>
            </w:r>
          </w:p>
          <w:p>
            <w:pPr>
              <w:widowControl/>
              <w:autoSpaceDE w:val="0"/>
              <w:autoSpaceDN w:val="0"/>
              <w:spacing w:line="560" w:lineRule="exact"/>
              <w:jc w:val="center"/>
              <w:rPr>
                <w:rFonts w:ascii="宋体" w:cs="宋体"/>
                <w:color w:val="000000"/>
                <w:sz w:val="24"/>
              </w:rPr>
            </w:pPr>
            <w:r>
              <w:rPr>
                <w:rFonts w:hint="eastAsia" w:ascii="宋体" w:cs="宋体"/>
                <w:color w:val="000000"/>
                <w:sz w:val="24"/>
              </w:rPr>
              <w:t>指标</w:t>
            </w:r>
          </w:p>
          <w:p>
            <w:pPr>
              <w:widowControl/>
              <w:spacing w:line="560" w:lineRule="exact"/>
              <w:jc w:val="center"/>
              <w:textAlignment w:val="center"/>
              <w:rPr>
                <w:rFonts w:ascii="宋体" w:cs="宋体"/>
                <w:color w:val="000000"/>
                <w:sz w:val="24"/>
              </w:rPr>
            </w:pPr>
          </w:p>
          <w:p>
            <w:pPr>
              <w:widowControl/>
              <w:spacing w:line="560" w:lineRule="exact"/>
              <w:jc w:val="center"/>
              <w:textAlignment w:val="center"/>
              <w:rPr>
                <w:rFonts w:ascii="宋体" w:cs="宋体"/>
                <w:color w:val="000000"/>
                <w:sz w:val="24"/>
              </w:rPr>
            </w:pPr>
          </w:p>
          <w:p>
            <w:pPr>
              <w:widowControl/>
              <w:spacing w:line="560" w:lineRule="exact"/>
              <w:jc w:val="center"/>
              <w:textAlignment w:val="center"/>
              <w:rPr>
                <w:rFonts w:ascii="宋体" w:cs="宋体"/>
                <w:color w:val="000000"/>
                <w:sz w:val="24"/>
              </w:rPr>
            </w:pPr>
          </w:p>
          <w:p>
            <w:pPr>
              <w:widowControl/>
              <w:spacing w:line="560" w:lineRule="exact"/>
              <w:jc w:val="center"/>
              <w:textAlignment w:val="center"/>
              <w:rPr>
                <w:rFonts w:ascii="宋体" w:cs="宋体"/>
                <w:color w:val="000000"/>
                <w:sz w:val="24"/>
              </w:rPr>
            </w:pPr>
          </w:p>
          <w:p>
            <w:pPr>
              <w:widowControl/>
              <w:spacing w:line="560" w:lineRule="exact"/>
              <w:jc w:val="center"/>
              <w:textAlignment w:val="center"/>
              <w:rPr>
                <w:rFonts w:ascii="宋体" w:cs="宋体"/>
                <w:color w:val="000000"/>
                <w:sz w:val="24"/>
              </w:rPr>
            </w:pPr>
            <w:r>
              <w:rPr>
                <w:rFonts w:hint="eastAsia" w:ascii="宋体" w:cs="宋体"/>
                <w:color w:val="000000"/>
                <w:sz w:val="24"/>
              </w:rPr>
              <w:t>可持续影响</w:t>
            </w:r>
          </w:p>
          <w:p>
            <w:pPr>
              <w:widowControl/>
              <w:autoSpaceDE w:val="0"/>
              <w:autoSpaceDN w:val="0"/>
              <w:spacing w:line="560" w:lineRule="exact"/>
              <w:jc w:val="center"/>
              <w:rPr>
                <w:rFonts w:ascii="宋体" w:cs="宋体"/>
                <w:color w:val="000000"/>
                <w:sz w:val="24"/>
              </w:rPr>
            </w:pPr>
            <w:r>
              <w:rPr>
                <w:rFonts w:hint="eastAsia" w:ascii="宋体" w:cs="宋体"/>
                <w:color w:val="000000"/>
                <w:sz w:val="24"/>
              </w:rPr>
              <w:t>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指标3：水电气费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78.6万元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55.23万元</w:t>
            </w:r>
          </w:p>
        </w:tc>
      </w:tr>
      <w:tr>
        <w:tblPrEx>
          <w:tblCellMar>
            <w:top w:w="0" w:type="dxa"/>
            <w:left w:w="0" w:type="dxa"/>
            <w:bottom w:w="0" w:type="dxa"/>
            <w:right w:w="0" w:type="dxa"/>
          </w:tblCellMar>
        </w:tblPrEx>
        <w:trPr>
          <w:trHeight w:val="393"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指标4：其他运转费（含化粪池消毒费、零星维修、戒毒人员教育学习资料、丧葬费费）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39.64万元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36.14万元</w:t>
            </w:r>
          </w:p>
        </w:tc>
      </w:tr>
      <w:tr>
        <w:tblPrEx>
          <w:tblCellMar>
            <w:top w:w="0" w:type="dxa"/>
            <w:left w:w="0" w:type="dxa"/>
            <w:bottom w:w="0" w:type="dxa"/>
            <w:right w:w="0" w:type="dxa"/>
          </w:tblCellMar>
        </w:tblPrEx>
        <w:trPr>
          <w:trHeight w:val="611"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指标1：加强戒毒人员技能培训回归社会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降低重新吸毒率和回归社会生存能力。</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降低重新吸毒率和回归社会生存能力。</w:t>
            </w:r>
          </w:p>
        </w:tc>
      </w:tr>
      <w:tr>
        <w:tblPrEx>
          <w:tblCellMar>
            <w:top w:w="0" w:type="dxa"/>
            <w:left w:w="0" w:type="dxa"/>
            <w:bottom w:w="0" w:type="dxa"/>
            <w:right w:w="0" w:type="dxa"/>
          </w:tblCellMar>
        </w:tblPrEx>
        <w:trPr>
          <w:trHeight w:val="543"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指标2：通过法律学习教肓</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使戒毒人员进一步懂法守法，回归社会后减少犯罪。</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使戒毒人员进一步懂法守法，回归社会后减少犯罪。</w:t>
            </w:r>
          </w:p>
        </w:tc>
      </w:tr>
      <w:tr>
        <w:tblPrEx>
          <w:tblCellMar>
            <w:top w:w="0" w:type="dxa"/>
            <w:left w:w="0" w:type="dxa"/>
            <w:bottom w:w="0" w:type="dxa"/>
            <w:right w:w="0" w:type="dxa"/>
          </w:tblCellMar>
        </w:tblPrEx>
        <w:trPr>
          <w:trHeight w:val="407"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指标1：震慑作用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经过强制戒毒,使戒毒人员回归社会后遵法守法。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经过强制戒毒,使戒毒人员回归社会后遵法守法。</w:t>
            </w:r>
          </w:p>
        </w:tc>
      </w:tr>
      <w:tr>
        <w:tblPrEx>
          <w:tblCellMar>
            <w:top w:w="0" w:type="dxa"/>
            <w:left w:w="0" w:type="dxa"/>
            <w:bottom w:w="0" w:type="dxa"/>
            <w:right w:w="0" w:type="dxa"/>
          </w:tblCellMar>
        </w:tblPrEx>
        <w:trPr>
          <w:trHeight w:val="379"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p>
            <w:pPr>
              <w:widowControl/>
              <w:spacing w:line="560" w:lineRule="exact"/>
              <w:textAlignment w:val="center"/>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指标2：降低犯罪率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使戒毒人员通过教育改造，回归社会后，自身经历将影响家人及身边朋友，带动大家遵法守法。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使戒毒人员通过教育改造，回归社会后，自身经历将影响家人及身边朋友，带动大家遵法守法。</w:t>
            </w:r>
          </w:p>
        </w:tc>
      </w:tr>
      <w:tr>
        <w:tblPrEx>
          <w:tblCellMar>
            <w:top w:w="0" w:type="dxa"/>
            <w:left w:w="0" w:type="dxa"/>
            <w:bottom w:w="0" w:type="dxa"/>
            <w:right w:w="0" w:type="dxa"/>
          </w:tblCellMar>
        </w:tblPrEx>
        <w:trPr>
          <w:trHeight w:val="585"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jc w:val="center"/>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指标3：禁毒形势依然严峻</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进一步创新工作方法，提高社会产出效益。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进一步创新工作方法，提高社会产出效益。</w:t>
            </w:r>
          </w:p>
        </w:tc>
      </w:tr>
      <w:tr>
        <w:tblPrEx>
          <w:tblCellMar>
            <w:top w:w="0" w:type="dxa"/>
            <w:left w:w="0" w:type="dxa"/>
            <w:bottom w:w="0" w:type="dxa"/>
            <w:right w:w="0" w:type="dxa"/>
          </w:tblCellMar>
        </w:tblPrEx>
        <w:trPr>
          <w:trHeight w:val="1006" w:hRule="atLeast"/>
          <w:jc w:val="center"/>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p>
        </w:tc>
        <w:tc>
          <w:tcPr>
            <w:tcW w:w="11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560" w:lineRule="exact"/>
              <w:jc w:val="center"/>
              <w:textAlignment w:val="center"/>
              <w:rPr>
                <w:rFonts w:ascii="宋体" w:cs="宋体"/>
                <w:color w:val="000000"/>
                <w:sz w:val="24"/>
              </w:rPr>
            </w:pPr>
            <w:r>
              <w:rPr>
                <w:rFonts w:hint="eastAsia" w:ascii="宋体" w:cs="宋体"/>
                <w:color w:val="000000"/>
                <w:sz w:val="24"/>
              </w:rPr>
              <w:t xml:space="preserve">          满意度指标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p>
            <w:pPr>
              <w:widowControl/>
              <w:spacing w:line="560" w:lineRule="exact"/>
              <w:textAlignment w:val="center"/>
              <w:rPr>
                <w:rFonts w:ascii="宋体" w:cs="宋体"/>
                <w:color w:val="000000"/>
                <w:sz w:val="24"/>
              </w:rPr>
            </w:pPr>
            <w:r>
              <w:rPr>
                <w:rFonts w:hint="eastAsia" w:ascii="宋体" w:cs="宋体"/>
                <w:color w:val="000000"/>
                <w:sz w:val="24"/>
              </w:rPr>
              <w:t>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p>
            <w:pPr>
              <w:widowControl/>
              <w:spacing w:line="560" w:lineRule="exact"/>
              <w:textAlignment w:val="center"/>
              <w:rPr>
                <w:rFonts w:ascii="宋体" w:cs="宋体"/>
                <w:color w:val="000000"/>
                <w:sz w:val="24"/>
              </w:rPr>
            </w:pPr>
            <w:r>
              <w:rPr>
                <w:rFonts w:hint="eastAsia" w:ascii="宋体" w:cs="宋体"/>
                <w:color w:val="000000"/>
                <w:sz w:val="24"/>
              </w:rPr>
              <w:t>≥96%</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p>
            <w:pPr>
              <w:widowControl/>
              <w:spacing w:line="560" w:lineRule="exact"/>
              <w:textAlignment w:val="center"/>
              <w:rPr>
                <w:rFonts w:ascii="宋体" w:cs="宋体"/>
                <w:color w:val="000000"/>
                <w:sz w:val="24"/>
              </w:rPr>
            </w:pPr>
            <w:r>
              <w:rPr>
                <w:rFonts w:hint="eastAsia" w:ascii="宋体" w:cs="宋体"/>
                <w:color w:val="000000"/>
                <w:sz w:val="24"/>
              </w:rPr>
              <w:t>≥96%</w:t>
            </w:r>
          </w:p>
        </w:tc>
      </w:tr>
    </w:tbl>
    <w:tbl>
      <w:tblPr>
        <w:tblStyle w:val="12"/>
        <w:tblpPr w:leftFromText="180" w:rightFromText="180" w:vertAnchor="text" w:horzAnchor="margin" w:tblpXSpec="center" w:tblpY="-1693"/>
        <w:tblW w:w="9960" w:type="dxa"/>
        <w:tblInd w:w="0" w:type="dxa"/>
        <w:tblLayout w:type="fixed"/>
        <w:tblCellMar>
          <w:top w:w="0" w:type="dxa"/>
          <w:left w:w="0" w:type="dxa"/>
          <w:bottom w:w="0" w:type="dxa"/>
          <w:right w:w="0" w:type="dxa"/>
        </w:tblCellMar>
      </w:tblPr>
      <w:tblGrid>
        <w:gridCol w:w="514"/>
        <w:gridCol w:w="887"/>
        <w:gridCol w:w="1186"/>
        <w:gridCol w:w="195"/>
        <w:gridCol w:w="2392"/>
        <w:gridCol w:w="2394"/>
        <w:gridCol w:w="2392"/>
      </w:tblGrid>
      <w:tr>
        <w:tblPrEx>
          <w:tblCellMar>
            <w:top w:w="0" w:type="dxa"/>
            <w:left w:w="0" w:type="dxa"/>
            <w:bottom w:w="0" w:type="dxa"/>
            <w:right w:w="0" w:type="dxa"/>
          </w:tblCellMar>
        </w:tblPrEx>
        <w:trPr>
          <w:trHeight w:val="927" w:hRule="atLeast"/>
        </w:trPr>
        <w:tc>
          <w:tcPr>
            <w:tcW w:w="9960" w:type="dxa"/>
            <w:gridSpan w:val="7"/>
            <w:tcBorders>
              <w:top w:val="nil"/>
              <w:left w:val="nil"/>
              <w:bottom w:val="nil"/>
              <w:right w:val="nil"/>
            </w:tcBorders>
            <w:tcMar>
              <w:top w:w="15" w:type="dxa"/>
              <w:left w:w="15" w:type="dxa"/>
              <w:right w:w="15" w:type="dxa"/>
            </w:tcMar>
            <w:vAlign w:val="center"/>
          </w:tcPr>
          <w:p>
            <w:pPr>
              <w:widowControl/>
              <w:spacing w:line="560" w:lineRule="exact"/>
              <w:jc w:val="center"/>
              <w:textAlignment w:val="center"/>
              <w:rPr>
                <w:rFonts w:ascii="宋体" w:hAnsi="宋体" w:cs="宋体"/>
                <w:b/>
                <w:bCs/>
                <w:color w:val="000000"/>
                <w:kern w:val="0"/>
                <w:sz w:val="36"/>
                <w:szCs w:val="36"/>
              </w:rPr>
            </w:pPr>
          </w:p>
          <w:p>
            <w:pPr>
              <w:widowControl/>
              <w:spacing w:line="560" w:lineRule="exact"/>
              <w:jc w:val="center"/>
              <w:textAlignment w:val="center"/>
              <w:rPr>
                <w:rFonts w:ascii="宋体" w:hAnsi="宋体" w:cs="宋体"/>
                <w:b/>
                <w:bCs/>
                <w:color w:val="000000"/>
                <w:kern w:val="0"/>
                <w:sz w:val="36"/>
                <w:szCs w:val="36"/>
              </w:rPr>
            </w:pPr>
          </w:p>
          <w:p>
            <w:pPr>
              <w:widowControl/>
              <w:spacing w:line="560" w:lineRule="exact"/>
              <w:jc w:val="center"/>
              <w:textAlignment w:val="center"/>
              <w:rPr>
                <w:rFonts w:asci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bCs/>
                <w:color w:val="000000"/>
                <w:kern w:val="0"/>
                <w:sz w:val="36"/>
                <w:szCs w:val="36"/>
              </w:rPr>
              <w:t>(2020年度)</w:t>
            </w:r>
          </w:p>
        </w:tc>
      </w:tr>
      <w:tr>
        <w:tblPrEx>
          <w:tblCellMar>
            <w:top w:w="0" w:type="dxa"/>
            <w:left w:w="0" w:type="dxa"/>
            <w:bottom w:w="0" w:type="dxa"/>
            <w:right w:w="0" w:type="dxa"/>
          </w:tblCellMar>
        </w:tblPrEx>
        <w:trPr>
          <w:trHeight w:val="472" w:hRule="atLeast"/>
        </w:trPr>
        <w:tc>
          <w:tcPr>
            <w:tcW w:w="278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拘留所专项经费</w:t>
            </w:r>
          </w:p>
        </w:tc>
      </w:tr>
      <w:tr>
        <w:tblPrEx>
          <w:tblCellMar>
            <w:top w:w="0" w:type="dxa"/>
            <w:left w:w="0" w:type="dxa"/>
            <w:bottom w:w="0" w:type="dxa"/>
            <w:right w:w="0" w:type="dxa"/>
          </w:tblCellMar>
        </w:tblPrEx>
        <w:trPr>
          <w:trHeight w:val="466" w:hRule="atLeast"/>
        </w:trPr>
        <w:tc>
          <w:tcPr>
            <w:tcW w:w="2782"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乐山市公安局</w:t>
            </w:r>
          </w:p>
        </w:tc>
      </w:tr>
      <w:tr>
        <w:tblPrEx>
          <w:tblCellMar>
            <w:top w:w="0" w:type="dxa"/>
            <w:left w:w="0" w:type="dxa"/>
            <w:bottom w:w="0" w:type="dxa"/>
            <w:right w:w="0" w:type="dxa"/>
          </w:tblCellMar>
        </w:tblPrEx>
        <w:trPr>
          <w:trHeight w:val="542" w:hRule="atLeast"/>
        </w:trPr>
        <w:tc>
          <w:tcPr>
            <w:tcW w:w="51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预算执行情况(万元)</w:t>
            </w:r>
          </w:p>
        </w:tc>
        <w:tc>
          <w:tcPr>
            <w:tcW w:w="226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135万元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126.04万元</w:t>
            </w:r>
          </w:p>
        </w:tc>
      </w:tr>
      <w:tr>
        <w:tblPrEx>
          <w:tblCellMar>
            <w:top w:w="0" w:type="dxa"/>
            <w:left w:w="0" w:type="dxa"/>
            <w:bottom w:w="0" w:type="dxa"/>
            <w:right w:w="0" w:type="dxa"/>
          </w:tblCellMar>
        </w:tblPrEx>
        <w:trPr>
          <w:trHeight w:val="641"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226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135万元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126.04万元</w:t>
            </w:r>
          </w:p>
        </w:tc>
      </w:tr>
      <w:tr>
        <w:tblPrEx>
          <w:tblCellMar>
            <w:top w:w="0" w:type="dxa"/>
            <w:left w:w="0" w:type="dxa"/>
            <w:bottom w:w="0" w:type="dxa"/>
            <w:right w:w="0" w:type="dxa"/>
          </w:tblCellMar>
        </w:tblPrEx>
        <w:trPr>
          <w:trHeight w:val="1087" w:hRule="atLeast"/>
        </w:trPr>
        <w:tc>
          <w:tcPr>
            <w:tcW w:w="51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226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r>
      <w:tr>
        <w:tblPrEx>
          <w:tblCellMar>
            <w:top w:w="0" w:type="dxa"/>
            <w:left w:w="0" w:type="dxa"/>
            <w:bottom w:w="0" w:type="dxa"/>
            <w:right w:w="0" w:type="dxa"/>
          </w:tblCellMar>
        </w:tblPrEx>
        <w:trPr>
          <w:trHeight w:val="557" w:hRule="atLeast"/>
        </w:trPr>
        <w:tc>
          <w:tcPr>
            <w:tcW w:w="51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p>
            <w:pPr>
              <w:widowControl/>
              <w:spacing w:line="560" w:lineRule="exact"/>
              <w:textAlignment w:val="center"/>
              <w:rPr>
                <w:rFonts w:ascii="宋体" w:cs="宋体"/>
                <w:color w:val="000000"/>
                <w:sz w:val="24"/>
              </w:rPr>
            </w:pPr>
          </w:p>
          <w:p>
            <w:pPr>
              <w:widowControl/>
              <w:spacing w:line="560" w:lineRule="exact"/>
              <w:textAlignment w:val="center"/>
              <w:rPr>
                <w:rFonts w:ascii="宋体" w:cs="宋体"/>
                <w:color w:val="000000"/>
                <w:sz w:val="24"/>
              </w:rPr>
            </w:pPr>
          </w:p>
          <w:p>
            <w:pPr>
              <w:widowControl/>
              <w:spacing w:line="560" w:lineRule="exact"/>
              <w:textAlignment w:val="center"/>
              <w:rPr>
                <w:rFonts w:ascii="宋体" w:cs="宋体"/>
                <w:color w:val="000000"/>
                <w:sz w:val="24"/>
              </w:rPr>
            </w:pPr>
          </w:p>
          <w:p>
            <w:pPr>
              <w:widowControl/>
              <w:spacing w:line="560" w:lineRule="exact"/>
              <w:textAlignment w:val="center"/>
              <w:rPr>
                <w:rFonts w:ascii="宋体" w:cs="宋体"/>
                <w:color w:val="000000"/>
                <w:sz w:val="24"/>
              </w:rPr>
            </w:pPr>
            <w:r>
              <w:rPr>
                <w:rFonts w:hint="eastAsia" w:ascii="宋体" w:cs="宋体"/>
                <w:color w:val="000000"/>
                <w:sz w:val="24"/>
              </w:rPr>
              <w:t>年度目标完成情况</w:t>
            </w:r>
          </w:p>
        </w:tc>
        <w:tc>
          <w:tcPr>
            <w:tcW w:w="4660"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实际完成目标</w:t>
            </w:r>
          </w:p>
        </w:tc>
      </w:tr>
      <w:tr>
        <w:tblPrEx>
          <w:tblCellMar>
            <w:top w:w="0" w:type="dxa"/>
            <w:left w:w="0" w:type="dxa"/>
            <w:bottom w:w="0" w:type="dxa"/>
            <w:right w:w="0" w:type="dxa"/>
          </w:tblCellMar>
        </w:tblPrEx>
        <w:trPr>
          <w:trHeight w:val="1159" w:hRule="atLeast"/>
        </w:trPr>
        <w:tc>
          <w:tcPr>
            <w:tcW w:w="51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4660"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 xml:space="preserve">   认真贯彻落实党的十九大精神，以全国公安监管系统系列会议精神为指引，以“一级拘留所”为载体，坚持紧贴实际，坚持真抓实干，坚持改革创新，通过持续建设，久久为功，着力实现五大工作目标，实现一级拘留所文化创建，铸就乐山监管名片：一是建设一流的拘留所软硬件环境；二是建立符合所情的高效运转工作机制；三是着力提升执法水平，依法收拘管理拘留人员；四是进一步强化公安队伍建设，加强公安宣传力度；五是强化窗口部门服务意识，提高服务质量，打造一支高素质的监所管理队伍。                                </w:t>
            </w:r>
            <w:r>
              <w:rPr>
                <w:rFonts w:ascii="宋体" w:cs="宋体"/>
                <w:color w:val="000000"/>
                <w:sz w:val="24"/>
              </w:rPr>
              <w:t xml:space="preserve">          </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 xml:space="preserve">    2020年我所严格按照监所管理制度，落实各级指示和要求，积极配合各办案单位的工作，依法收拘违法人员，文明科学管理，在全所民警积极教育、感化、挽救拘留人员，定期进行安全检查、法律教育、每日落实领导带班值班备勤，医生及对拘留人员每日巡诊，确保拘留人员就诊就医。做好监所各项工作，确保监所安全，提升管理教育水平，维护长期安全稳定，实现队伍无违纪，监所无事故相比上年得到有效提高，拘留人员对监所环境、管理制度均表示满意，保障了我所正常运转。在资金使用上一直按照国家财经法规和市局财务管理制度规定以及有关专项资金管理办法的规定收支，财务处理及时，确保了资金使用的安全性和规范性。较好地完成了年度工作目标任务。，财务处理及时，确保了资金使用的安全性和规范性，保质保量完成了年度工作目标任务。 </w:t>
            </w:r>
          </w:p>
        </w:tc>
      </w:tr>
      <w:tr>
        <w:tblPrEx>
          <w:tblCellMar>
            <w:top w:w="0" w:type="dxa"/>
            <w:left w:w="0" w:type="dxa"/>
            <w:bottom w:w="0" w:type="dxa"/>
            <w:right w:w="0" w:type="dxa"/>
          </w:tblCellMar>
        </w:tblPrEx>
        <w:trPr>
          <w:trHeight w:val="90" w:hRule="atLeast"/>
        </w:trPr>
        <w:tc>
          <w:tcPr>
            <w:tcW w:w="51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绩效指标完成情况</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一级指标</w:t>
            </w:r>
          </w:p>
        </w:tc>
        <w:tc>
          <w:tcPr>
            <w:tcW w:w="11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二级指标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实际完成指标值(包含数字及文字描述)</w:t>
            </w:r>
          </w:p>
        </w:tc>
      </w:tr>
      <w:tr>
        <w:tblPrEx>
          <w:tblCellMar>
            <w:top w:w="0" w:type="dxa"/>
            <w:left w:w="0" w:type="dxa"/>
            <w:bottom w:w="0" w:type="dxa"/>
            <w:right w:w="0" w:type="dxa"/>
          </w:tblCellMar>
        </w:tblPrEx>
        <w:trPr>
          <w:trHeight w:val="354"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项目完成指标</w:t>
            </w:r>
          </w:p>
          <w:p>
            <w:pPr>
              <w:widowControl/>
              <w:spacing w:line="560" w:lineRule="exact"/>
              <w:textAlignment w:val="center"/>
              <w:rPr>
                <w:rFonts w:ascii="宋体" w:cs="宋体"/>
                <w:color w:val="000000"/>
                <w:sz w:val="24"/>
              </w:rPr>
            </w:pPr>
          </w:p>
        </w:tc>
        <w:tc>
          <w:tcPr>
            <w:tcW w:w="1186" w:type="dxa"/>
            <w:vMerge w:val="restart"/>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数量指标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指标1：在所拘留人员日均人数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 xml:space="preserve">      60人以上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70人以上</w:t>
            </w:r>
          </w:p>
        </w:tc>
      </w:tr>
      <w:tr>
        <w:tblPrEx>
          <w:tblCellMar>
            <w:top w:w="0" w:type="dxa"/>
            <w:left w:w="0" w:type="dxa"/>
            <w:bottom w:w="0" w:type="dxa"/>
            <w:right w:w="0" w:type="dxa"/>
          </w:tblCellMar>
        </w:tblPrEx>
        <w:trPr>
          <w:trHeight w:val="422"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指标2：在所拘留人员伙食费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按财政部 公安部规定和参照看守所标准执行,每人每月不超过280元.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按财政部 公安部规定和参照看守所标准执行,每人每月不超过280元.</w:t>
            </w:r>
          </w:p>
        </w:tc>
      </w:tr>
      <w:tr>
        <w:tblPrEx>
          <w:tblCellMar>
            <w:top w:w="0" w:type="dxa"/>
            <w:left w:w="0" w:type="dxa"/>
            <w:bottom w:w="0" w:type="dxa"/>
            <w:right w:w="0" w:type="dxa"/>
          </w:tblCellMar>
        </w:tblPrEx>
        <w:trPr>
          <w:trHeight w:val="344"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指标:3：拘留人员法律法规及禁毒宣传教育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不少于8场次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10场次</w:t>
            </w:r>
          </w:p>
        </w:tc>
      </w:tr>
      <w:tr>
        <w:tblPrEx>
          <w:tblCellMar>
            <w:top w:w="0" w:type="dxa"/>
            <w:left w:w="0" w:type="dxa"/>
            <w:bottom w:w="0" w:type="dxa"/>
            <w:right w:w="0" w:type="dxa"/>
          </w:tblCellMar>
        </w:tblPrEx>
        <w:trPr>
          <w:trHeight w:val="371"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restart"/>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指标4：收拘留人员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约2300人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约1308人</w:t>
            </w:r>
          </w:p>
        </w:tc>
      </w:tr>
      <w:tr>
        <w:tblPrEx>
          <w:tblCellMar>
            <w:top w:w="0" w:type="dxa"/>
            <w:left w:w="0" w:type="dxa"/>
            <w:bottom w:w="0" w:type="dxa"/>
            <w:right w:w="0" w:type="dxa"/>
          </w:tblCellMar>
        </w:tblPrEx>
        <w:trPr>
          <w:trHeight w:val="358"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指标5：拘留人员集中教育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每月最少1次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每月1次</w:t>
            </w:r>
          </w:p>
        </w:tc>
      </w:tr>
      <w:tr>
        <w:tblPrEx>
          <w:tblCellMar>
            <w:top w:w="0" w:type="dxa"/>
            <w:left w:w="0" w:type="dxa"/>
            <w:bottom w:w="0" w:type="dxa"/>
            <w:right w:w="0" w:type="dxa"/>
          </w:tblCellMar>
        </w:tblPrEx>
        <w:trPr>
          <w:trHeight w:val="358"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指标6：安全责任事故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无</w:t>
            </w:r>
          </w:p>
        </w:tc>
      </w:tr>
      <w:tr>
        <w:tblPrEx>
          <w:tblCellMar>
            <w:top w:w="0" w:type="dxa"/>
            <w:left w:w="0" w:type="dxa"/>
            <w:bottom w:w="0" w:type="dxa"/>
            <w:right w:w="0" w:type="dxa"/>
          </w:tblCellMar>
        </w:tblPrEx>
        <w:trPr>
          <w:trHeight w:val="289"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restart"/>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w:t>
            </w: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w:t>
            </w: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质量指标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指标7：在押人员脱逃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无</w:t>
            </w:r>
          </w:p>
        </w:tc>
      </w:tr>
      <w:tr>
        <w:tblPrEx>
          <w:tblCellMar>
            <w:top w:w="0" w:type="dxa"/>
            <w:left w:w="0" w:type="dxa"/>
            <w:bottom w:w="0" w:type="dxa"/>
            <w:right w:w="0" w:type="dxa"/>
          </w:tblCellMar>
        </w:tblPrEx>
        <w:trPr>
          <w:trHeight w:val="354"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指标8：在押人员非正常死亡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无</w:t>
            </w:r>
          </w:p>
        </w:tc>
      </w:tr>
      <w:tr>
        <w:tblPrEx>
          <w:tblCellMar>
            <w:top w:w="0" w:type="dxa"/>
            <w:left w:w="0" w:type="dxa"/>
            <w:bottom w:w="0" w:type="dxa"/>
            <w:right w:w="0" w:type="dxa"/>
          </w:tblCellMar>
        </w:tblPrEx>
        <w:trPr>
          <w:trHeight w:val="408"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continue"/>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指标1：在所拘留人员伙食费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粮食20公斤,蔬菜24公斤,肉类2.4公斤,蛋1.4公斤,豆制品1.4公斤,食油1公斤,调味品适量.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按照标准：粮食20公斤,蔬菜24公斤,肉类2.4公斤,蛋1.4公斤,豆制品1.4公斤,食油1公斤,调味品适量.</w:t>
            </w:r>
          </w:p>
        </w:tc>
      </w:tr>
      <w:tr>
        <w:tblPrEx>
          <w:tblCellMar>
            <w:top w:w="0" w:type="dxa"/>
            <w:left w:w="0" w:type="dxa"/>
            <w:bottom w:w="0" w:type="dxa"/>
            <w:right w:w="0" w:type="dxa"/>
          </w:tblCellMar>
        </w:tblPrEx>
        <w:trPr>
          <w:trHeight w:val="366"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指标2：禁毒宣传教育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122"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restart"/>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时效指标</w:t>
            </w: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成本指标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指标3：收拘留人员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964"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指标4：拘留人员集中教育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393"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指标:5：安全责任事故</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r>
      <w:tr>
        <w:tblPrEx>
          <w:tblCellMar>
            <w:top w:w="0" w:type="dxa"/>
            <w:left w:w="0" w:type="dxa"/>
            <w:bottom w:w="0" w:type="dxa"/>
            <w:right w:w="0" w:type="dxa"/>
          </w:tblCellMar>
        </w:tblPrEx>
        <w:trPr>
          <w:trHeight w:val="556"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指标6：在押人员脱逃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r>
      <w:tr>
        <w:tblPrEx>
          <w:tblCellMar>
            <w:top w:w="0" w:type="dxa"/>
            <w:left w:w="0" w:type="dxa"/>
            <w:bottom w:w="0" w:type="dxa"/>
            <w:right w:w="0" w:type="dxa"/>
          </w:tblCellMar>
        </w:tblPrEx>
        <w:trPr>
          <w:trHeight w:val="379"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指标8：在押人员非正常死亡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0</w:t>
            </w:r>
          </w:p>
        </w:tc>
      </w:tr>
      <w:tr>
        <w:tblPrEx>
          <w:tblCellMar>
            <w:top w:w="0" w:type="dxa"/>
            <w:left w:w="0" w:type="dxa"/>
            <w:bottom w:w="0" w:type="dxa"/>
            <w:right w:w="0" w:type="dxa"/>
          </w:tblCellMar>
        </w:tblPrEx>
        <w:trPr>
          <w:trHeight w:val="311"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完成各类工作任务、目标完成率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年内达到100%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年内达到100%</w:t>
            </w:r>
          </w:p>
        </w:tc>
      </w:tr>
      <w:tr>
        <w:tblPrEx>
          <w:tblCellMar>
            <w:top w:w="0" w:type="dxa"/>
            <w:left w:w="0" w:type="dxa"/>
            <w:bottom w:w="0" w:type="dxa"/>
            <w:right w:w="0" w:type="dxa"/>
          </w:tblCellMar>
        </w:tblPrEx>
        <w:trPr>
          <w:trHeight w:val="421"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指标1：拘留人员伙食费、衣被、医疗、公杂费</w:t>
            </w:r>
          </w:p>
        </w:tc>
        <w:tc>
          <w:tcPr>
            <w:tcW w:w="2394" w:type="dxa"/>
            <w:tcBorders>
              <w:top w:val="single" w:color="000000" w:sz="4" w:space="0"/>
              <w:left w:val="single" w:color="000000" w:sz="4" w:space="0"/>
              <w:right w:val="single" w:color="000000" w:sz="4" w:space="0"/>
            </w:tcBorders>
            <w:tcMar>
              <w:top w:w="15" w:type="dxa"/>
              <w:left w:w="15" w:type="dxa"/>
              <w:right w:w="15" w:type="dxa"/>
            </w:tcMar>
            <w:vAlign w:val="center"/>
          </w:tcPr>
          <w:p>
            <w:pPr>
              <w:widowControl/>
              <w:autoSpaceDE w:val="0"/>
              <w:autoSpaceDN w:val="0"/>
              <w:spacing w:line="560" w:lineRule="exact"/>
              <w:rPr>
                <w:rFonts w:ascii="宋体" w:cs="宋体"/>
                <w:color w:val="000000"/>
                <w:sz w:val="24"/>
              </w:rPr>
            </w:pPr>
            <w:r>
              <w:rPr>
                <w:rFonts w:hint="eastAsia" w:ascii="宋体" w:cs="宋体"/>
                <w:color w:val="000000"/>
                <w:sz w:val="24"/>
              </w:rPr>
              <w:t>126．04万元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27万元</w:t>
            </w:r>
          </w:p>
        </w:tc>
      </w:tr>
      <w:tr>
        <w:tblPrEx>
          <w:tblCellMar>
            <w:top w:w="0" w:type="dxa"/>
            <w:left w:w="0" w:type="dxa"/>
            <w:bottom w:w="0" w:type="dxa"/>
            <w:right w:w="0" w:type="dxa"/>
          </w:tblCellMar>
        </w:tblPrEx>
        <w:trPr>
          <w:trHeight w:val="625"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指标2：医护、保安、厨师等临工费</w:t>
            </w:r>
          </w:p>
        </w:tc>
        <w:tc>
          <w:tcPr>
            <w:tcW w:w="2394" w:type="dxa"/>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62.5万元</w:t>
            </w:r>
          </w:p>
        </w:tc>
      </w:tr>
      <w:tr>
        <w:tblPrEx>
          <w:tblCellMar>
            <w:top w:w="0" w:type="dxa"/>
            <w:left w:w="0" w:type="dxa"/>
            <w:bottom w:w="0" w:type="dxa"/>
            <w:right w:w="0" w:type="dxa"/>
          </w:tblCellMar>
        </w:tblPrEx>
        <w:trPr>
          <w:trHeight w:val="1050"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restart"/>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 xml:space="preserve">  社会效益</w:t>
            </w:r>
          </w:p>
          <w:p>
            <w:pPr>
              <w:widowControl/>
              <w:autoSpaceDE w:val="0"/>
              <w:autoSpaceDN w:val="0"/>
              <w:spacing w:line="560" w:lineRule="exact"/>
              <w:rPr>
                <w:rFonts w:ascii="宋体" w:cs="宋体"/>
                <w:color w:val="000000"/>
                <w:sz w:val="24"/>
              </w:rPr>
            </w:pPr>
            <w:r>
              <w:rPr>
                <w:rFonts w:hint="eastAsia" w:ascii="宋体" w:cs="宋体"/>
                <w:color w:val="000000"/>
                <w:sz w:val="24"/>
              </w:rPr>
              <w:t>指标</w:t>
            </w: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可持续影响</w:t>
            </w:r>
          </w:p>
          <w:p>
            <w:pPr>
              <w:widowControl/>
              <w:autoSpaceDE w:val="0"/>
              <w:autoSpaceDN w:val="0"/>
              <w:spacing w:line="560" w:lineRule="exact"/>
              <w:rPr>
                <w:rFonts w:ascii="宋体" w:cs="宋体"/>
                <w:color w:val="000000"/>
                <w:sz w:val="24"/>
              </w:rPr>
            </w:pPr>
            <w:r>
              <w:rPr>
                <w:rFonts w:hint="eastAsia" w:ascii="宋体" w:cs="宋体"/>
                <w:color w:val="000000"/>
                <w:sz w:val="24"/>
              </w:rPr>
              <w:t>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指标3：宣传教育、水电、取暖、档案资料</w:t>
            </w:r>
          </w:p>
        </w:tc>
        <w:tc>
          <w:tcPr>
            <w:tcW w:w="2394" w:type="dxa"/>
            <w:tcBorders>
              <w:left w:val="single" w:color="000000" w:sz="4" w:space="0"/>
              <w:right w:val="single" w:color="000000" w:sz="4" w:space="0"/>
            </w:tcBorders>
            <w:tcMar>
              <w:top w:w="15" w:type="dxa"/>
              <w:left w:w="15" w:type="dxa"/>
              <w:right w:w="15" w:type="dxa"/>
            </w:tcMar>
          </w:tcPr>
          <w:p>
            <w:pPr>
              <w:widowControl/>
              <w:spacing w:line="560" w:lineRule="exact"/>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18.53万元</w:t>
            </w:r>
          </w:p>
        </w:tc>
      </w:tr>
      <w:tr>
        <w:tblPrEx>
          <w:tblCellMar>
            <w:top w:w="0" w:type="dxa"/>
            <w:left w:w="0" w:type="dxa"/>
            <w:bottom w:w="0" w:type="dxa"/>
            <w:right w:w="0" w:type="dxa"/>
          </w:tblCellMar>
        </w:tblPrEx>
        <w:trPr>
          <w:trHeight w:val="393"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tbl>
            <w:tblPr>
              <w:tblStyle w:val="12"/>
              <w:tblpPr w:leftFromText="180" w:rightFromText="180" w:vertAnchor="text" w:horzAnchor="margin" w:tblpXSpec="center" w:tblpY="-1693"/>
              <w:tblW w:w="0" w:type="auto"/>
              <w:tblInd w:w="0" w:type="dxa"/>
              <w:tblLayout w:type="fixed"/>
              <w:tblCellMar>
                <w:top w:w="0" w:type="dxa"/>
                <w:left w:w="0" w:type="dxa"/>
                <w:bottom w:w="0" w:type="dxa"/>
                <w:right w:w="0" w:type="dxa"/>
              </w:tblCellMar>
            </w:tblPr>
            <w:tblGrid>
              <w:gridCol w:w="3495"/>
              <w:gridCol w:w="3234"/>
              <w:gridCol w:w="3231"/>
            </w:tblGrid>
            <w:tr>
              <w:tblPrEx>
                <w:tblCellMar>
                  <w:top w:w="0" w:type="dxa"/>
                  <w:left w:w="0" w:type="dxa"/>
                  <w:bottom w:w="0" w:type="dxa"/>
                  <w:right w:w="0" w:type="dxa"/>
                </w:tblCellMar>
              </w:tblPrEx>
              <w:trPr>
                <w:trHeight w:val="810" w:hRule="atLeast"/>
              </w:trPr>
              <w:tc>
                <w:tcPr>
                  <w:tcW w:w="3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指标4：交通工具、通信、计算机、警械、修缮、绿化等费用</w:t>
                  </w:r>
                </w:p>
              </w:tc>
              <w:tc>
                <w:tcPr>
                  <w:tcW w:w="32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39.64万元</w:t>
                  </w:r>
                </w:p>
              </w:tc>
              <w:tc>
                <w:tcPr>
                  <w:tcW w:w="32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36.14万元</w:t>
                  </w:r>
                </w:p>
              </w:tc>
            </w:tr>
          </w:tbl>
          <w:p>
            <w:pPr>
              <w:widowControl/>
              <w:autoSpaceDE w:val="0"/>
              <w:autoSpaceDN w:val="0"/>
              <w:spacing w:line="560" w:lineRule="exact"/>
              <w:rPr>
                <w:rFonts w:ascii="宋体" w:cs="宋体"/>
                <w:color w:val="000000"/>
                <w:sz w:val="24"/>
              </w:rPr>
            </w:pPr>
            <w:r>
              <w:rPr>
                <w:rFonts w:hint="eastAsia" w:ascii="宋体" w:cs="宋体"/>
                <w:color w:val="000000"/>
                <w:sz w:val="24"/>
              </w:rPr>
              <w:t>指标5：邮电等其它费用</w:t>
            </w:r>
          </w:p>
        </w:tc>
        <w:tc>
          <w:tcPr>
            <w:tcW w:w="2394" w:type="dxa"/>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tbl>
            <w:tblPr>
              <w:tblStyle w:val="12"/>
              <w:tblpPr w:leftFromText="180" w:rightFromText="180" w:vertAnchor="text" w:horzAnchor="margin" w:tblpXSpec="center" w:tblpY="-1693"/>
              <w:tblW w:w="0" w:type="auto"/>
              <w:tblInd w:w="0" w:type="dxa"/>
              <w:tblLayout w:type="fixed"/>
              <w:tblCellMar>
                <w:top w:w="0" w:type="dxa"/>
                <w:left w:w="0" w:type="dxa"/>
                <w:bottom w:w="0" w:type="dxa"/>
                <w:right w:w="0" w:type="dxa"/>
              </w:tblCellMar>
            </w:tblPr>
            <w:tblGrid>
              <w:gridCol w:w="3495"/>
              <w:gridCol w:w="3234"/>
              <w:gridCol w:w="3231"/>
            </w:tblGrid>
            <w:tr>
              <w:tblPrEx>
                <w:tblCellMar>
                  <w:top w:w="0" w:type="dxa"/>
                  <w:left w:w="0" w:type="dxa"/>
                  <w:bottom w:w="0" w:type="dxa"/>
                  <w:right w:w="0" w:type="dxa"/>
                </w:tblCellMar>
              </w:tblPrEx>
              <w:trPr>
                <w:trHeight w:val="810" w:hRule="atLeast"/>
              </w:trPr>
              <w:tc>
                <w:tcPr>
                  <w:tcW w:w="3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9.51万元</w:t>
                  </w:r>
                </w:p>
              </w:tc>
              <w:tc>
                <w:tcPr>
                  <w:tcW w:w="32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39.64万元</w:t>
                  </w:r>
                </w:p>
              </w:tc>
              <w:tc>
                <w:tcPr>
                  <w:tcW w:w="32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36.14万元</w:t>
                  </w:r>
                </w:p>
              </w:tc>
            </w:tr>
          </w:tbl>
          <w:p>
            <w:pPr>
              <w:widowControl/>
              <w:autoSpaceDE w:val="0"/>
              <w:autoSpaceDN w:val="0"/>
              <w:spacing w:line="560" w:lineRule="exact"/>
              <w:rPr>
                <w:rFonts w:ascii="宋体" w:cs="宋体"/>
                <w:color w:val="000000"/>
                <w:sz w:val="24"/>
              </w:rPr>
            </w:pPr>
            <w:r>
              <w:rPr>
                <w:rFonts w:hint="eastAsia" w:ascii="宋体" w:cs="宋体"/>
                <w:color w:val="000000"/>
                <w:sz w:val="24"/>
              </w:rPr>
              <w:t>8.5万元</w:t>
            </w:r>
          </w:p>
        </w:tc>
      </w:tr>
      <w:tr>
        <w:tblPrEx>
          <w:tblCellMar>
            <w:top w:w="0" w:type="dxa"/>
            <w:left w:w="0" w:type="dxa"/>
            <w:bottom w:w="0" w:type="dxa"/>
            <w:right w:w="0" w:type="dxa"/>
          </w:tblCellMar>
        </w:tblPrEx>
        <w:trPr>
          <w:trHeight w:val="611"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指标1：加强吸毒拘留人员学习教育</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降低重新吸毒率和回归社会。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降低违法行为率和回归社会。</w:t>
            </w:r>
          </w:p>
        </w:tc>
      </w:tr>
      <w:tr>
        <w:tblPrEx>
          <w:tblCellMar>
            <w:top w:w="0" w:type="dxa"/>
            <w:left w:w="0" w:type="dxa"/>
            <w:bottom w:w="0" w:type="dxa"/>
            <w:right w:w="0" w:type="dxa"/>
          </w:tblCellMar>
        </w:tblPrEx>
        <w:trPr>
          <w:trHeight w:val="543"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指标2：通过法律学习教肓</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通过法律法规教育，拘留人员进一步懂法守法。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减少了很多违法犯罪行为和社会问题。</w:t>
            </w:r>
          </w:p>
        </w:tc>
      </w:tr>
      <w:tr>
        <w:tblPrEx>
          <w:tblCellMar>
            <w:top w:w="0" w:type="dxa"/>
            <w:left w:w="0" w:type="dxa"/>
            <w:bottom w:w="0" w:type="dxa"/>
            <w:right w:w="0" w:type="dxa"/>
          </w:tblCellMar>
        </w:tblPrEx>
        <w:trPr>
          <w:trHeight w:val="407"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top w:val="single" w:color="000000" w:sz="4" w:space="0"/>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指标1：震慑作用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经过教育、感化拘留人员回归社会后遵法守法。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经过教育，回归社会后将会进一步守法。</w:t>
            </w:r>
          </w:p>
        </w:tc>
      </w:tr>
      <w:tr>
        <w:tblPrEx>
          <w:tblCellMar>
            <w:top w:w="0" w:type="dxa"/>
            <w:left w:w="0" w:type="dxa"/>
            <w:bottom w:w="0" w:type="dxa"/>
            <w:right w:w="0" w:type="dxa"/>
          </w:tblCellMar>
        </w:tblPrEx>
        <w:trPr>
          <w:trHeight w:val="379"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left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指标2：降低犯罪率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使拘留人员通过教育改造，回归社会后，自身经历将影响家人及身边朋友，带动大家遵法守法。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严格按照要求在全所民警积极教育感化拘留人员，使他们认识错误，让他们重拾信心，自身经历将影响家人及身边朋友，带动大家遵法守法。早日回归家庭和社会。</w:t>
            </w:r>
          </w:p>
        </w:tc>
      </w:tr>
      <w:tr>
        <w:tblPrEx>
          <w:tblCellMar>
            <w:top w:w="0" w:type="dxa"/>
            <w:left w:w="0" w:type="dxa"/>
            <w:bottom w:w="0" w:type="dxa"/>
            <w:right w:w="0" w:type="dxa"/>
          </w:tblCellMar>
        </w:tblPrEx>
        <w:trPr>
          <w:trHeight w:val="585"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vMerge w:val="continue"/>
            <w:tcBorders>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tc>
      </w:tr>
      <w:tr>
        <w:tblPrEx>
          <w:tblCellMar>
            <w:top w:w="0" w:type="dxa"/>
            <w:left w:w="0" w:type="dxa"/>
            <w:bottom w:w="0" w:type="dxa"/>
            <w:right w:w="0" w:type="dxa"/>
          </w:tblCellMar>
        </w:tblPrEx>
        <w:trPr>
          <w:trHeight w:val="475" w:hRule="atLeast"/>
        </w:trPr>
        <w:tc>
          <w:tcPr>
            <w:tcW w:w="514"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p>
        </w:tc>
        <w:tc>
          <w:tcPr>
            <w:tcW w:w="887" w:type="dxa"/>
            <w:vMerge w:val="continue"/>
            <w:tcBorders>
              <w:left w:val="single" w:color="000000" w:sz="4" w:space="0"/>
              <w:right w:val="single" w:color="000000" w:sz="4" w:space="0"/>
            </w:tcBorders>
            <w:tcMar>
              <w:top w:w="15" w:type="dxa"/>
              <w:left w:w="15" w:type="dxa"/>
              <w:right w:w="15" w:type="dxa"/>
            </w:tcMar>
          </w:tcPr>
          <w:p>
            <w:pPr>
              <w:widowControl/>
              <w:spacing w:line="560" w:lineRule="exact"/>
              <w:textAlignment w:val="center"/>
              <w:rPr>
                <w:rFonts w:ascii="宋体" w:cs="宋体"/>
                <w:color w:val="000000"/>
                <w:sz w:val="24"/>
              </w:rPr>
            </w:pPr>
          </w:p>
        </w:tc>
        <w:tc>
          <w:tcPr>
            <w:tcW w:w="11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r>
              <w:rPr>
                <w:rFonts w:hint="eastAsia" w:ascii="宋体" w:cs="宋体"/>
                <w:color w:val="000000"/>
                <w:sz w:val="24"/>
              </w:rPr>
              <w:t xml:space="preserve">          满意度指标</w:t>
            </w:r>
          </w:p>
        </w:tc>
        <w:tc>
          <w:tcPr>
            <w:tcW w:w="2587"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autoSpaceDE w:val="0"/>
              <w:autoSpaceDN w:val="0"/>
              <w:spacing w:line="560" w:lineRule="exact"/>
              <w:rPr>
                <w:rFonts w:ascii="宋体" w:cs="宋体"/>
                <w:color w:val="000000"/>
                <w:sz w:val="24"/>
              </w:rPr>
            </w:pPr>
          </w:p>
          <w:p>
            <w:pPr>
              <w:widowControl/>
              <w:autoSpaceDE w:val="0"/>
              <w:autoSpaceDN w:val="0"/>
              <w:spacing w:line="560" w:lineRule="exact"/>
              <w:rPr>
                <w:rFonts w:ascii="宋体" w:cs="宋体"/>
                <w:color w:val="000000"/>
                <w:sz w:val="24"/>
              </w:rPr>
            </w:pPr>
            <w:r>
              <w:rPr>
                <w:rFonts w:hint="eastAsia" w:ascii="宋体" w:cs="宋体"/>
                <w:color w:val="000000"/>
                <w:sz w:val="24"/>
              </w:rPr>
              <w:t>≥95%</w:t>
            </w:r>
          </w:p>
        </w:tc>
      </w:tr>
    </w:tbl>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0" w:type="auto"/>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spacing w:line="560" w:lineRule="exact"/>
              <w:jc w:val="center"/>
              <w:textAlignment w:val="center"/>
              <w:rPr>
                <w:rFonts w:ascii="宋体" w:cs="宋体"/>
                <w:color w:val="000000"/>
                <w:sz w:val="36"/>
                <w:szCs w:val="36"/>
              </w:rPr>
            </w:pPr>
            <w:r>
              <w:rPr>
                <w:rFonts w:hint="eastAsia" w:ascii="宋体" w:hAnsi="宋体" w:cs="宋体"/>
                <w:b/>
                <w:bCs/>
                <w:color w:val="000000"/>
                <w:kern w:val="0"/>
                <w:sz w:val="36"/>
                <w:szCs w:val="36"/>
              </w:rPr>
              <w:t>项目绩效目标完成情况表</w:t>
            </w:r>
            <w:r>
              <w:rPr>
                <w:rFonts w:ascii="宋体" w:cs="宋体"/>
                <w:b/>
                <w:bCs/>
                <w:color w:val="000000"/>
                <w:kern w:val="0"/>
                <w:sz w:val="36"/>
                <w:szCs w:val="36"/>
              </w:rPr>
              <w:br w:type="textWrapping"/>
            </w:r>
            <w:r>
              <w:rPr>
                <w:rFonts w:ascii="宋体" w:hAnsi="宋体" w:cs="宋体"/>
                <w:color w:val="000000"/>
                <w:kern w:val="0"/>
                <w:sz w:val="36"/>
                <w:szCs w:val="36"/>
              </w:rPr>
              <w:t>(2020</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康复救治中心专项经费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乐山市康复救治中心</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760万元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681.74万元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760万元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760万元</w:t>
            </w:r>
          </w:p>
        </w:tc>
      </w:tr>
      <w:tr>
        <w:tblPrEx>
          <w:tblCellMar>
            <w:top w:w="0" w:type="dxa"/>
            <w:left w:w="0" w:type="dxa"/>
            <w:bottom w:w="0" w:type="dxa"/>
            <w:right w:w="0" w:type="dxa"/>
          </w:tblCellMar>
        </w:tblPrEx>
        <w:trPr>
          <w:trHeight w:val="1107"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560" w:lineRule="exact"/>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一是通过康复救治工作取得较好的法律效果和社会效果，二是病残吸毒人员家庭和社会关系得到修复改善，三是打造规范化、人性化的教育管理队伍，最大限度发挥全市康复救治工作在社会治理中的作用，计划2020年度累计收治病残吸毒人员208人.</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 xml:space="preserve"> 2020年康复救治中心严格按照中心管理制度，工作效果凸显，有力地促进了全市社会治安持续好转，群众安全感满意度明显提升，病残吸毒人员与家庭关系得到较大提升。在资金使用上一直按照国家财经法规和市局财务管理制度及有关专项资金管理办法规定收支，2020年度康复救治中心累计收治病残吸毒人员208人，较好完成了年度工作目标。</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指标1：收治全市涉毒违法犯罪病残人员</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200人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208人</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指标1：帮助涉毒违法犯罪病残人员摆脱毒瘾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帮助涉毒违法犯罪病残人员摆脱毒瘾，确保社会治安安全稳定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帮助涉毒违法犯罪病残人员摆脱毒瘾，社会治安安全得到提高。</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指标1：完成时间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2020年1月1日至12月31日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2020年1月1日至12月31日</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指标1：收治人员收治费用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3.8万元/人.年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3.8万元/人.年</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预算执行率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textAlignment w:val="center"/>
              <w:rPr>
                <w:rFonts w:ascii="宋体" w:cs="宋体"/>
                <w:color w:val="000000"/>
                <w:sz w:val="24"/>
              </w:rPr>
            </w:pPr>
            <w:r>
              <w:rPr>
                <w:rFonts w:hint="eastAsia" w:ascii="宋体" w:cs="宋体"/>
                <w:color w:val="000000"/>
                <w:sz w:val="24"/>
              </w:rPr>
              <w:t>指标1：预算执行率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89.7%</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指标1：减少社会危害和涉毒违法犯罪，社会管理得到实效</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减少社会危害和涉毒违法犯罪，社会管理得到实效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全市刑事案件发案率、抢夺案同比有所下降%，并有效控制传染性疾病扩散</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指标1：使全市治安环境和人民生命财产不受侵害</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使乐山社会治理和人民群众满意度不断提高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减少违法犯罪行为和社会问题</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指标1：社会满意度不断上升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社会群众满意度≥60%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群众安全感、满意度达90%以上</w:t>
            </w:r>
          </w:p>
        </w:tc>
      </w:tr>
    </w:tbl>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tbl>
      <w:tblPr>
        <w:tblStyle w:val="12"/>
        <w:tblW w:w="0" w:type="auto"/>
        <w:tblInd w:w="-106" w:type="dxa"/>
        <w:tblLayout w:type="fixed"/>
        <w:tblCellMar>
          <w:top w:w="0" w:type="dxa"/>
          <w:left w:w="108" w:type="dxa"/>
          <w:bottom w:w="0" w:type="dxa"/>
          <w:right w:w="108" w:type="dxa"/>
        </w:tblCellMar>
      </w:tblPr>
      <w:tblGrid>
        <w:gridCol w:w="499"/>
        <w:gridCol w:w="915"/>
        <w:gridCol w:w="750"/>
        <w:gridCol w:w="1893"/>
        <w:gridCol w:w="2569"/>
        <w:gridCol w:w="2648"/>
      </w:tblGrid>
      <w:tr>
        <w:tblPrEx>
          <w:tblCellMar>
            <w:top w:w="0" w:type="dxa"/>
            <w:left w:w="108" w:type="dxa"/>
            <w:bottom w:w="0" w:type="dxa"/>
            <w:right w:w="108" w:type="dxa"/>
          </w:tblCellMar>
        </w:tblPrEx>
        <w:trPr>
          <w:trHeight w:val="675" w:hRule="atLeast"/>
        </w:trPr>
        <w:tc>
          <w:tcPr>
            <w:tcW w:w="9274" w:type="dxa"/>
            <w:gridSpan w:val="6"/>
            <w:vAlign w:val="center"/>
          </w:tcPr>
          <w:p>
            <w:pPr>
              <w:widowControl/>
              <w:spacing w:line="560" w:lineRule="exact"/>
              <w:jc w:val="center"/>
              <w:textAlignment w:val="center"/>
              <w:rPr>
                <w:rFonts w:ascii="宋体" w:hAnsi="宋体" w:cs="宋体"/>
                <w:b/>
                <w:bCs/>
                <w:color w:val="000000"/>
                <w:kern w:val="0"/>
                <w:sz w:val="36"/>
                <w:szCs w:val="36"/>
              </w:rPr>
            </w:pPr>
            <w:r>
              <w:rPr>
                <w:rFonts w:hint="eastAsia" w:ascii="宋体" w:hAnsi="宋体" w:cs="宋体"/>
                <w:b/>
                <w:bCs/>
                <w:color w:val="000000"/>
                <w:kern w:val="0"/>
                <w:sz w:val="36"/>
                <w:szCs w:val="36"/>
              </w:rPr>
              <w:t>项目绩效目标完成情况表</w:t>
            </w:r>
          </w:p>
        </w:tc>
      </w:tr>
      <w:tr>
        <w:tblPrEx>
          <w:tblCellMar>
            <w:top w:w="0" w:type="dxa"/>
            <w:left w:w="108" w:type="dxa"/>
            <w:bottom w:w="0" w:type="dxa"/>
            <w:right w:w="108" w:type="dxa"/>
          </w:tblCellMar>
        </w:tblPrEx>
        <w:trPr>
          <w:trHeight w:val="330" w:hRule="atLeast"/>
        </w:trPr>
        <w:tc>
          <w:tcPr>
            <w:tcW w:w="9274" w:type="dxa"/>
            <w:gridSpan w:val="6"/>
            <w:vAlign w:val="center"/>
          </w:tcPr>
          <w:p>
            <w:pPr>
              <w:widowControl/>
              <w:spacing w:line="560" w:lineRule="exact"/>
              <w:jc w:val="center"/>
              <w:textAlignment w:val="center"/>
              <w:rPr>
                <w:rFonts w:ascii="宋体" w:hAnsi="宋体" w:cs="宋体"/>
                <w:bCs/>
                <w:color w:val="000000"/>
                <w:kern w:val="0"/>
                <w:sz w:val="36"/>
                <w:szCs w:val="36"/>
              </w:rPr>
            </w:pPr>
            <w:r>
              <w:rPr>
                <w:rFonts w:hint="eastAsia" w:ascii="宋体" w:hAnsi="宋体" w:cs="宋体"/>
                <w:bCs/>
                <w:color w:val="000000"/>
                <w:kern w:val="0"/>
                <w:sz w:val="36"/>
                <w:szCs w:val="36"/>
              </w:rPr>
              <w:t>（</w:t>
            </w:r>
            <w:r>
              <w:rPr>
                <w:rFonts w:ascii="宋体" w:hAnsi="宋体" w:cs="宋体"/>
                <w:bCs/>
                <w:color w:val="000000"/>
                <w:kern w:val="0"/>
                <w:sz w:val="36"/>
                <w:szCs w:val="36"/>
              </w:rPr>
              <w:t>20</w:t>
            </w:r>
            <w:r>
              <w:rPr>
                <w:rFonts w:hint="eastAsia" w:ascii="宋体" w:hAnsi="宋体" w:cs="宋体"/>
                <w:bCs/>
                <w:color w:val="000000"/>
                <w:kern w:val="0"/>
                <w:sz w:val="36"/>
                <w:szCs w:val="36"/>
              </w:rPr>
              <w:t>20年度）</w:t>
            </w:r>
          </w:p>
        </w:tc>
      </w:tr>
      <w:tr>
        <w:tblPrEx>
          <w:tblCellMar>
            <w:top w:w="0" w:type="dxa"/>
            <w:left w:w="108" w:type="dxa"/>
            <w:bottom w:w="0" w:type="dxa"/>
            <w:right w:w="108" w:type="dxa"/>
          </w:tblCellMar>
        </w:tblPrEx>
        <w:trPr>
          <w:trHeight w:val="330" w:hRule="atLeast"/>
        </w:trPr>
        <w:tc>
          <w:tcPr>
            <w:tcW w:w="499" w:type="dxa"/>
            <w:vAlign w:val="center"/>
          </w:tcPr>
          <w:p>
            <w:pPr>
              <w:widowControl/>
              <w:spacing w:line="560" w:lineRule="exact"/>
              <w:jc w:val="left"/>
              <w:rPr>
                <w:rFonts w:ascii="宋体"/>
                <w:color w:val="000000"/>
                <w:kern w:val="0"/>
                <w:sz w:val="24"/>
              </w:rPr>
            </w:pPr>
          </w:p>
        </w:tc>
        <w:tc>
          <w:tcPr>
            <w:tcW w:w="915" w:type="dxa"/>
            <w:vAlign w:val="center"/>
          </w:tcPr>
          <w:p>
            <w:pPr>
              <w:widowControl/>
              <w:spacing w:line="560" w:lineRule="exact"/>
              <w:jc w:val="left"/>
              <w:rPr>
                <w:rFonts w:ascii="宋体"/>
                <w:color w:val="000000"/>
                <w:kern w:val="0"/>
                <w:sz w:val="24"/>
              </w:rPr>
            </w:pPr>
          </w:p>
        </w:tc>
        <w:tc>
          <w:tcPr>
            <w:tcW w:w="750" w:type="dxa"/>
            <w:vAlign w:val="center"/>
          </w:tcPr>
          <w:p>
            <w:pPr>
              <w:widowControl/>
              <w:spacing w:line="560" w:lineRule="exact"/>
              <w:jc w:val="left"/>
              <w:rPr>
                <w:rFonts w:ascii="宋体"/>
                <w:color w:val="000000"/>
                <w:kern w:val="0"/>
                <w:sz w:val="24"/>
              </w:rPr>
            </w:pPr>
          </w:p>
        </w:tc>
        <w:tc>
          <w:tcPr>
            <w:tcW w:w="1893" w:type="dxa"/>
            <w:vAlign w:val="center"/>
          </w:tcPr>
          <w:p>
            <w:pPr>
              <w:widowControl/>
              <w:spacing w:line="560" w:lineRule="exact"/>
              <w:jc w:val="left"/>
              <w:rPr>
                <w:rFonts w:ascii="宋体"/>
                <w:color w:val="000000"/>
                <w:kern w:val="0"/>
                <w:sz w:val="24"/>
              </w:rPr>
            </w:pPr>
          </w:p>
        </w:tc>
        <w:tc>
          <w:tcPr>
            <w:tcW w:w="2569" w:type="dxa"/>
            <w:vAlign w:val="center"/>
          </w:tcPr>
          <w:p>
            <w:pPr>
              <w:widowControl/>
              <w:spacing w:line="560" w:lineRule="exact"/>
              <w:jc w:val="left"/>
              <w:rPr>
                <w:rFonts w:ascii="宋体"/>
                <w:color w:val="000000"/>
                <w:kern w:val="0"/>
                <w:sz w:val="24"/>
              </w:rPr>
            </w:pPr>
          </w:p>
        </w:tc>
        <w:tc>
          <w:tcPr>
            <w:tcW w:w="2648" w:type="dxa"/>
            <w:vAlign w:val="center"/>
          </w:tcPr>
          <w:p>
            <w:pPr>
              <w:widowControl/>
              <w:spacing w:line="560" w:lineRule="exact"/>
              <w:jc w:val="left"/>
              <w:rPr>
                <w:rFonts w:ascii="宋体"/>
                <w:color w:val="000000"/>
                <w:kern w:val="0"/>
                <w:sz w:val="24"/>
              </w:rPr>
            </w:pPr>
          </w:p>
        </w:tc>
      </w:tr>
      <w:tr>
        <w:tblPrEx>
          <w:tblCellMar>
            <w:top w:w="0" w:type="dxa"/>
            <w:left w:w="108" w:type="dxa"/>
            <w:bottom w:w="0" w:type="dxa"/>
            <w:right w:w="108" w:type="dxa"/>
          </w:tblCellMar>
        </w:tblPrEx>
        <w:trPr>
          <w:trHeight w:val="705" w:hRule="atLeast"/>
        </w:trPr>
        <w:tc>
          <w:tcPr>
            <w:tcW w:w="2164" w:type="dxa"/>
            <w:gridSpan w:val="3"/>
            <w:tcBorders>
              <w:top w:val="single" w:color="000000" w:sz="8"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项目名称</w:t>
            </w:r>
          </w:p>
        </w:tc>
        <w:tc>
          <w:tcPr>
            <w:tcW w:w="7110" w:type="dxa"/>
            <w:gridSpan w:val="3"/>
            <w:tcBorders>
              <w:top w:val="single" w:color="000000" w:sz="8"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高清天网项目与绿心环线视频监控项目</w:t>
            </w:r>
          </w:p>
        </w:tc>
      </w:tr>
      <w:tr>
        <w:tblPrEx>
          <w:tblCellMar>
            <w:top w:w="0" w:type="dxa"/>
            <w:left w:w="108" w:type="dxa"/>
            <w:bottom w:w="0" w:type="dxa"/>
            <w:right w:w="108" w:type="dxa"/>
          </w:tblCellMar>
        </w:tblPrEx>
        <w:trPr>
          <w:trHeight w:val="439" w:hRule="atLeast"/>
        </w:trPr>
        <w:tc>
          <w:tcPr>
            <w:tcW w:w="2164" w:type="dxa"/>
            <w:gridSpan w:val="3"/>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预算单位</w:t>
            </w:r>
          </w:p>
        </w:tc>
        <w:tc>
          <w:tcPr>
            <w:tcW w:w="711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乐山市公安局</w:t>
            </w:r>
          </w:p>
        </w:tc>
      </w:tr>
      <w:tr>
        <w:tblPrEx>
          <w:tblCellMar>
            <w:top w:w="0" w:type="dxa"/>
            <w:left w:w="108" w:type="dxa"/>
            <w:bottom w:w="0" w:type="dxa"/>
            <w:right w:w="108" w:type="dxa"/>
          </w:tblCellMar>
        </w:tblPrEx>
        <w:trPr>
          <w:trHeight w:val="765" w:hRule="atLeast"/>
        </w:trPr>
        <w:tc>
          <w:tcPr>
            <w:tcW w:w="499" w:type="dxa"/>
            <w:vMerge w:val="restart"/>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预</w:t>
            </w:r>
            <w:r>
              <w:rPr>
                <w:rFonts w:ascii="宋体" w:cs="宋体"/>
                <w:color w:val="000000"/>
                <w:sz w:val="24"/>
              </w:rPr>
              <w:t xml:space="preserve">  </w:t>
            </w:r>
            <w:r>
              <w:rPr>
                <w:rFonts w:hint="eastAsia" w:ascii="宋体" w:cs="宋体"/>
                <w:color w:val="000000"/>
                <w:sz w:val="24"/>
              </w:rPr>
              <w:t>算</w:t>
            </w:r>
            <w:r>
              <w:rPr>
                <w:rFonts w:ascii="宋体" w:cs="宋体"/>
                <w:color w:val="000000"/>
                <w:sz w:val="24"/>
              </w:rPr>
              <w:t xml:space="preserve">  </w:t>
            </w:r>
            <w:r>
              <w:rPr>
                <w:rFonts w:hint="eastAsia" w:ascii="宋体" w:cs="宋体"/>
                <w:color w:val="000000"/>
                <w:sz w:val="24"/>
              </w:rPr>
              <w:t>执</w:t>
            </w:r>
            <w:r>
              <w:rPr>
                <w:rFonts w:ascii="宋体" w:cs="宋体"/>
                <w:color w:val="000000"/>
                <w:sz w:val="24"/>
              </w:rPr>
              <w:t xml:space="preserve">  </w:t>
            </w:r>
            <w:r>
              <w:rPr>
                <w:rFonts w:hint="eastAsia" w:ascii="宋体" w:cs="宋体"/>
                <w:color w:val="000000"/>
                <w:sz w:val="24"/>
              </w:rPr>
              <w:t>行</w:t>
            </w:r>
            <w:r>
              <w:rPr>
                <w:rFonts w:ascii="宋体" w:cs="宋体"/>
                <w:color w:val="000000"/>
                <w:sz w:val="24"/>
              </w:rPr>
              <w:t xml:space="preserve">  </w:t>
            </w:r>
            <w:r>
              <w:rPr>
                <w:rFonts w:hint="eastAsia" w:ascii="宋体" w:cs="宋体"/>
                <w:color w:val="000000"/>
                <w:sz w:val="24"/>
              </w:rPr>
              <w:t>情</w:t>
            </w:r>
            <w:r>
              <w:rPr>
                <w:rFonts w:ascii="宋体" w:cs="宋体"/>
                <w:color w:val="000000"/>
                <w:sz w:val="24"/>
              </w:rPr>
              <w:t xml:space="preserve">  </w:t>
            </w:r>
            <w:r>
              <w:rPr>
                <w:rFonts w:hint="eastAsia" w:ascii="宋体" w:cs="宋体"/>
                <w:color w:val="000000"/>
                <w:sz w:val="24"/>
              </w:rPr>
              <w:t>况（万元）</w:t>
            </w:r>
          </w:p>
        </w:tc>
        <w:tc>
          <w:tcPr>
            <w:tcW w:w="166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预算数：</w:t>
            </w: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1202.22万元</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执行数：</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813.27万元</w:t>
            </w:r>
          </w:p>
        </w:tc>
      </w:tr>
      <w:tr>
        <w:tblPrEx>
          <w:tblCellMar>
            <w:top w:w="0" w:type="dxa"/>
            <w:left w:w="108" w:type="dxa"/>
            <w:bottom w:w="0" w:type="dxa"/>
            <w:right w:w="108" w:type="dxa"/>
          </w:tblCellMar>
        </w:tblPrEx>
        <w:trPr>
          <w:trHeight w:val="780"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66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其中财政拨款：</w:t>
            </w: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1202.22万元</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其中财政拨款：</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813.27万元</w:t>
            </w:r>
          </w:p>
        </w:tc>
      </w:tr>
      <w:tr>
        <w:tblPrEx>
          <w:tblCellMar>
            <w:top w:w="0" w:type="dxa"/>
            <w:left w:w="108" w:type="dxa"/>
            <w:bottom w:w="0" w:type="dxa"/>
            <w:right w:w="108" w:type="dxa"/>
          </w:tblCellMar>
        </w:tblPrEx>
        <w:trPr>
          <w:trHeight w:val="1380"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66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其它资金：</w:t>
            </w: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ascii="宋体" w:cs="宋体"/>
                <w:color w:val="000000"/>
                <w:sz w:val="24"/>
              </w:rPr>
              <w:t>0</w:t>
            </w:r>
            <w:r>
              <w:rPr>
                <w:rFonts w:hint="eastAsia" w:ascii="宋体" w:cs="宋体"/>
                <w:color w:val="000000"/>
                <w:sz w:val="24"/>
              </w:rPr>
              <w:t>万元</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其它资金：</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center"/>
              <w:textAlignment w:val="center"/>
              <w:rPr>
                <w:rFonts w:ascii="宋体" w:cs="宋体"/>
                <w:color w:val="000000"/>
                <w:sz w:val="24"/>
              </w:rPr>
            </w:pPr>
            <w:r>
              <w:rPr>
                <w:rFonts w:ascii="宋体" w:cs="宋体"/>
                <w:color w:val="000000"/>
                <w:sz w:val="24"/>
              </w:rPr>
              <w:t>0</w:t>
            </w:r>
            <w:r>
              <w:rPr>
                <w:rFonts w:hint="eastAsia" w:ascii="宋体" w:cs="宋体"/>
                <w:color w:val="000000"/>
                <w:sz w:val="24"/>
              </w:rPr>
              <w:t>万元</w:t>
            </w:r>
          </w:p>
        </w:tc>
      </w:tr>
      <w:tr>
        <w:tblPrEx>
          <w:tblCellMar>
            <w:top w:w="0" w:type="dxa"/>
            <w:left w:w="108" w:type="dxa"/>
            <w:bottom w:w="0" w:type="dxa"/>
            <w:right w:w="108" w:type="dxa"/>
          </w:tblCellMar>
        </w:tblPrEx>
        <w:trPr>
          <w:trHeight w:val="480" w:hRule="atLeast"/>
        </w:trPr>
        <w:tc>
          <w:tcPr>
            <w:tcW w:w="499" w:type="dxa"/>
            <w:vMerge w:val="restart"/>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年</w:t>
            </w:r>
            <w:r>
              <w:rPr>
                <w:rFonts w:ascii="宋体" w:cs="宋体"/>
                <w:color w:val="000000"/>
                <w:sz w:val="24"/>
              </w:rPr>
              <w:t xml:space="preserve">  </w:t>
            </w:r>
            <w:r>
              <w:rPr>
                <w:rFonts w:hint="eastAsia" w:ascii="宋体" w:cs="宋体"/>
                <w:color w:val="000000"/>
                <w:sz w:val="24"/>
              </w:rPr>
              <w:t>度</w:t>
            </w:r>
            <w:r>
              <w:rPr>
                <w:rFonts w:ascii="宋体" w:cs="宋体"/>
                <w:color w:val="000000"/>
                <w:sz w:val="24"/>
              </w:rPr>
              <w:t xml:space="preserve">  </w:t>
            </w:r>
            <w:r>
              <w:rPr>
                <w:rFonts w:hint="eastAsia" w:ascii="宋体" w:cs="宋体"/>
                <w:color w:val="000000"/>
                <w:sz w:val="24"/>
              </w:rPr>
              <w:t>目</w:t>
            </w:r>
            <w:r>
              <w:rPr>
                <w:rFonts w:ascii="宋体" w:cs="宋体"/>
                <w:color w:val="000000"/>
                <w:sz w:val="24"/>
              </w:rPr>
              <w:t xml:space="preserve">  </w:t>
            </w:r>
            <w:r>
              <w:rPr>
                <w:rFonts w:hint="eastAsia" w:ascii="宋体" w:cs="宋体"/>
                <w:color w:val="000000"/>
                <w:sz w:val="24"/>
              </w:rPr>
              <w:t>标</w:t>
            </w:r>
            <w:r>
              <w:rPr>
                <w:rFonts w:ascii="宋体" w:cs="宋体"/>
                <w:color w:val="000000"/>
                <w:sz w:val="24"/>
              </w:rPr>
              <w:t xml:space="preserve">  </w:t>
            </w:r>
            <w:r>
              <w:rPr>
                <w:rFonts w:hint="eastAsia" w:ascii="宋体" w:cs="宋体"/>
                <w:color w:val="000000"/>
                <w:sz w:val="24"/>
              </w:rPr>
              <w:t>完</w:t>
            </w:r>
            <w:r>
              <w:rPr>
                <w:rFonts w:ascii="宋体" w:cs="宋体"/>
                <w:color w:val="000000"/>
                <w:sz w:val="24"/>
              </w:rPr>
              <w:t xml:space="preserve">  </w:t>
            </w:r>
            <w:r>
              <w:rPr>
                <w:rFonts w:hint="eastAsia" w:ascii="宋体" w:cs="宋体"/>
                <w:color w:val="000000"/>
                <w:sz w:val="24"/>
              </w:rPr>
              <w:t>成</w:t>
            </w:r>
            <w:r>
              <w:rPr>
                <w:rFonts w:ascii="宋体" w:cs="宋体"/>
                <w:color w:val="000000"/>
                <w:sz w:val="24"/>
              </w:rPr>
              <w:t xml:space="preserve">  </w:t>
            </w:r>
            <w:r>
              <w:rPr>
                <w:rFonts w:hint="eastAsia" w:ascii="宋体" w:cs="宋体"/>
                <w:color w:val="000000"/>
                <w:sz w:val="24"/>
              </w:rPr>
              <w:t>情</w:t>
            </w:r>
            <w:r>
              <w:rPr>
                <w:rFonts w:ascii="宋体" w:cs="宋体"/>
                <w:color w:val="000000"/>
                <w:sz w:val="24"/>
              </w:rPr>
              <w:t xml:space="preserve">  </w:t>
            </w:r>
            <w:r>
              <w:rPr>
                <w:rFonts w:hint="eastAsia" w:ascii="宋体" w:cs="宋体"/>
                <w:color w:val="000000"/>
                <w:sz w:val="24"/>
              </w:rPr>
              <w:t>况</w:t>
            </w:r>
            <w:r>
              <w:rPr>
                <w:rFonts w:ascii="宋体" w:cs="宋体"/>
                <w:color w:val="000000"/>
                <w:sz w:val="24"/>
              </w:rPr>
              <w:br w:type="textWrapping"/>
            </w:r>
            <w:r>
              <w:rPr>
                <w:rFonts w:hint="eastAsia" w:ascii="宋体" w:cs="宋体"/>
                <w:color w:val="000000"/>
                <w:sz w:val="24"/>
              </w:rPr>
              <w:t>标</w:t>
            </w:r>
          </w:p>
        </w:tc>
        <w:tc>
          <w:tcPr>
            <w:tcW w:w="3558"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预期目标</w:t>
            </w:r>
          </w:p>
        </w:tc>
        <w:tc>
          <w:tcPr>
            <w:tcW w:w="521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实际完成目标</w:t>
            </w:r>
          </w:p>
        </w:tc>
      </w:tr>
      <w:tr>
        <w:tblPrEx>
          <w:tblCellMar>
            <w:top w:w="0" w:type="dxa"/>
            <w:left w:w="108" w:type="dxa"/>
            <w:bottom w:w="0" w:type="dxa"/>
            <w:right w:w="108" w:type="dxa"/>
          </w:tblCellMar>
        </w:tblPrEx>
        <w:trPr>
          <w:trHeight w:val="2430"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3558"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 xml:space="preserve">   </w:t>
            </w:r>
            <w:r>
              <w:rPr>
                <w:rFonts w:hint="eastAsia" w:ascii="宋体" w:cs="宋体"/>
                <w:color w:val="000000"/>
                <w:sz w:val="24"/>
              </w:rPr>
              <w:t>天网一期：天网“一期”完成了</w:t>
            </w:r>
            <w:r>
              <w:rPr>
                <w:rFonts w:ascii="宋体" w:cs="宋体"/>
                <w:color w:val="000000"/>
                <w:sz w:val="24"/>
              </w:rPr>
              <w:t>300</w:t>
            </w:r>
            <w:r>
              <w:rPr>
                <w:rFonts w:hint="eastAsia" w:ascii="宋体" w:cs="宋体"/>
                <w:color w:val="000000"/>
                <w:sz w:val="24"/>
              </w:rPr>
              <w:t>个点位，共计</w:t>
            </w:r>
            <w:r>
              <w:rPr>
                <w:rFonts w:ascii="宋体" w:cs="宋体"/>
                <w:color w:val="000000"/>
                <w:sz w:val="24"/>
              </w:rPr>
              <w:t>600</w:t>
            </w:r>
            <w:r>
              <w:rPr>
                <w:rFonts w:hint="eastAsia" w:ascii="宋体" w:cs="宋体"/>
                <w:color w:val="000000"/>
                <w:sz w:val="24"/>
              </w:rPr>
              <w:t>路高清视频监控建设。在城市新建高速路和城区主要出入口等位置建设</w:t>
            </w:r>
            <w:r>
              <w:rPr>
                <w:rFonts w:ascii="宋体" w:cs="宋体"/>
                <w:color w:val="000000"/>
                <w:sz w:val="24"/>
              </w:rPr>
              <w:t>18</w:t>
            </w:r>
            <w:r>
              <w:rPr>
                <w:rFonts w:hint="eastAsia" w:ascii="宋体" w:cs="宋体"/>
                <w:color w:val="000000"/>
                <w:sz w:val="24"/>
              </w:rPr>
              <w:t>个点位</w:t>
            </w:r>
            <w:r>
              <w:rPr>
                <w:rFonts w:ascii="宋体" w:cs="宋体"/>
                <w:color w:val="000000"/>
                <w:sz w:val="24"/>
              </w:rPr>
              <w:t>72</w:t>
            </w:r>
            <w:r>
              <w:rPr>
                <w:rFonts w:hint="eastAsia" w:ascii="宋体" w:cs="宋体"/>
                <w:color w:val="000000"/>
                <w:sz w:val="24"/>
              </w:rPr>
              <w:t>个车道高清治安卡口；对之前的</w:t>
            </w:r>
            <w:r>
              <w:rPr>
                <w:rFonts w:ascii="宋体" w:cs="宋体"/>
                <w:color w:val="000000"/>
                <w:sz w:val="24"/>
              </w:rPr>
              <w:t>9</w:t>
            </w:r>
            <w:r>
              <w:rPr>
                <w:rFonts w:hint="eastAsia" w:ascii="宋体" w:cs="宋体"/>
                <w:color w:val="000000"/>
                <w:sz w:val="24"/>
              </w:rPr>
              <w:t>个点位</w:t>
            </w:r>
            <w:r>
              <w:rPr>
                <w:rFonts w:ascii="宋体" w:cs="宋体"/>
                <w:color w:val="000000"/>
                <w:sz w:val="24"/>
              </w:rPr>
              <w:t>36</w:t>
            </w:r>
            <w:r>
              <w:rPr>
                <w:rFonts w:hint="eastAsia" w:ascii="宋体" w:cs="宋体"/>
                <w:color w:val="000000"/>
                <w:sz w:val="24"/>
              </w:rPr>
              <w:t>个车道的卡口进行升级改造并接入全省统一的缉查布控平台；部署中心机房和软硬件平台，接入新建点位并接入</w:t>
            </w:r>
            <w:r>
              <w:rPr>
                <w:rFonts w:ascii="宋体" w:cs="宋体"/>
                <w:color w:val="000000"/>
                <w:sz w:val="24"/>
              </w:rPr>
              <w:t>11</w:t>
            </w:r>
            <w:r>
              <w:rPr>
                <w:rFonts w:hint="eastAsia" w:ascii="宋体" w:cs="宋体"/>
                <w:color w:val="000000"/>
                <w:sz w:val="24"/>
              </w:rPr>
              <w:t>个区县视频资源，建设分控中心和开通视频专网。</w:t>
            </w:r>
            <w:r>
              <w:rPr>
                <w:rFonts w:ascii="宋体" w:cs="宋体"/>
                <w:color w:val="000000"/>
                <w:sz w:val="24"/>
              </w:rPr>
              <w:t xml:space="preserve">   </w:t>
            </w:r>
            <w:r>
              <w:rPr>
                <w:rFonts w:ascii="宋体" w:cs="宋体"/>
                <w:color w:val="000000"/>
                <w:sz w:val="24"/>
              </w:rPr>
              <w:br w:type="textWrapping"/>
            </w:r>
            <w:r>
              <w:rPr>
                <w:rFonts w:ascii="宋体" w:cs="宋体"/>
                <w:color w:val="000000"/>
                <w:sz w:val="24"/>
              </w:rPr>
              <w:t xml:space="preserve">   </w:t>
            </w:r>
            <w:r>
              <w:rPr>
                <w:rFonts w:hint="eastAsia" w:ascii="宋体" w:cs="宋体"/>
                <w:color w:val="000000"/>
                <w:sz w:val="24"/>
              </w:rPr>
              <w:t>天网“二期”：主要完成了主城区</w:t>
            </w:r>
            <w:r>
              <w:rPr>
                <w:rFonts w:ascii="宋体" w:cs="宋体"/>
                <w:color w:val="000000"/>
                <w:sz w:val="24"/>
              </w:rPr>
              <w:t>420</w:t>
            </w:r>
            <w:r>
              <w:rPr>
                <w:rFonts w:hint="eastAsia" w:ascii="宋体" w:cs="宋体"/>
                <w:color w:val="000000"/>
                <w:sz w:val="24"/>
              </w:rPr>
              <w:t>个标清点位的高清改造和市委、市政府、市人大、市政协高清视频监控的建设任务，共计建设高清视频监控点位</w:t>
            </w:r>
            <w:r>
              <w:rPr>
                <w:rFonts w:ascii="宋体" w:cs="宋体"/>
                <w:color w:val="000000"/>
                <w:sz w:val="24"/>
              </w:rPr>
              <w:t>752</w:t>
            </w:r>
            <w:r>
              <w:rPr>
                <w:rFonts w:hint="eastAsia" w:ascii="宋体" w:cs="宋体"/>
                <w:color w:val="000000"/>
                <w:sz w:val="24"/>
              </w:rPr>
              <w:t>路，改造升级</w:t>
            </w:r>
            <w:r>
              <w:rPr>
                <w:rFonts w:ascii="宋体" w:cs="宋体"/>
                <w:color w:val="000000"/>
                <w:sz w:val="24"/>
              </w:rPr>
              <w:t>17</w:t>
            </w:r>
            <w:r>
              <w:rPr>
                <w:rFonts w:hint="eastAsia" w:ascii="宋体" w:cs="宋体"/>
                <w:color w:val="000000"/>
                <w:sz w:val="24"/>
              </w:rPr>
              <w:t>个治安卡口和及存储扩容等。</w:t>
            </w:r>
          </w:p>
          <w:p>
            <w:pPr>
              <w:widowControl/>
              <w:spacing w:line="560" w:lineRule="exact"/>
              <w:jc w:val="left"/>
              <w:textAlignment w:val="center"/>
              <w:rPr>
                <w:rFonts w:ascii="宋体" w:cs="宋体"/>
                <w:color w:val="000000"/>
                <w:sz w:val="24"/>
              </w:rPr>
            </w:pPr>
            <w:r>
              <w:rPr>
                <w:rFonts w:hint="eastAsia" w:ascii="宋体" w:cs="宋体"/>
                <w:color w:val="000000"/>
                <w:sz w:val="24"/>
              </w:rPr>
              <w:t xml:space="preserve">    绿心环线视频监控：45路高清视频监控，7套高清治安卡口建设以及存储等。</w:t>
            </w:r>
          </w:p>
        </w:tc>
        <w:tc>
          <w:tcPr>
            <w:tcW w:w="521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 xml:space="preserve">   </w:t>
            </w:r>
            <w:r>
              <w:rPr>
                <w:rFonts w:hint="eastAsia" w:ascii="宋体" w:cs="宋体"/>
                <w:color w:val="000000"/>
                <w:sz w:val="24"/>
              </w:rPr>
              <w:t>天网一期：天网“一期”完成了</w:t>
            </w:r>
            <w:r>
              <w:rPr>
                <w:rFonts w:ascii="宋体" w:cs="宋体"/>
                <w:color w:val="000000"/>
                <w:sz w:val="24"/>
              </w:rPr>
              <w:t>300</w:t>
            </w:r>
            <w:r>
              <w:rPr>
                <w:rFonts w:hint="eastAsia" w:ascii="宋体" w:cs="宋体"/>
                <w:color w:val="000000"/>
                <w:sz w:val="24"/>
              </w:rPr>
              <w:t>个点位，共计</w:t>
            </w:r>
            <w:r>
              <w:rPr>
                <w:rFonts w:ascii="宋体" w:cs="宋体"/>
                <w:color w:val="000000"/>
                <w:sz w:val="24"/>
              </w:rPr>
              <w:t>600</w:t>
            </w:r>
            <w:r>
              <w:rPr>
                <w:rFonts w:hint="eastAsia" w:ascii="宋体" w:cs="宋体"/>
                <w:color w:val="000000"/>
                <w:sz w:val="24"/>
              </w:rPr>
              <w:t>路高清视频监控建设。在城市新建高速路和城区主要出入口等位置建设</w:t>
            </w:r>
            <w:r>
              <w:rPr>
                <w:rFonts w:ascii="宋体" w:cs="宋体"/>
                <w:color w:val="000000"/>
                <w:sz w:val="24"/>
              </w:rPr>
              <w:t>18</w:t>
            </w:r>
            <w:r>
              <w:rPr>
                <w:rFonts w:hint="eastAsia" w:ascii="宋体" w:cs="宋体"/>
                <w:color w:val="000000"/>
                <w:sz w:val="24"/>
              </w:rPr>
              <w:t>个点位</w:t>
            </w:r>
            <w:r>
              <w:rPr>
                <w:rFonts w:ascii="宋体" w:cs="宋体"/>
                <w:color w:val="000000"/>
                <w:sz w:val="24"/>
              </w:rPr>
              <w:t>72</w:t>
            </w:r>
            <w:r>
              <w:rPr>
                <w:rFonts w:hint="eastAsia" w:ascii="宋体" w:cs="宋体"/>
                <w:color w:val="000000"/>
                <w:sz w:val="24"/>
              </w:rPr>
              <w:t>个车道高清治安卡口；对之前的</w:t>
            </w:r>
            <w:r>
              <w:rPr>
                <w:rFonts w:ascii="宋体" w:cs="宋体"/>
                <w:color w:val="000000"/>
                <w:sz w:val="24"/>
              </w:rPr>
              <w:t>9</w:t>
            </w:r>
            <w:r>
              <w:rPr>
                <w:rFonts w:hint="eastAsia" w:ascii="宋体" w:cs="宋体"/>
                <w:color w:val="000000"/>
                <w:sz w:val="24"/>
              </w:rPr>
              <w:t>个点位</w:t>
            </w:r>
            <w:r>
              <w:rPr>
                <w:rFonts w:ascii="宋体" w:cs="宋体"/>
                <w:color w:val="000000"/>
                <w:sz w:val="24"/>
              </w:rPr>
              <w:t>36</w:t>
            </w:r>
            <w:r>
              <w:rPr>
                <w:rFonts w:hint="eastAsia" w:ascii="宋体" w:cs="宋体"/>
                <w:color w:val="000000"/>
                <w:sz w:val="24"/>
              </w:rPr>
              <w:t>个车道的卡口进行升级改造并接入全省统一的缉查布控平台；部署中心机房和软硬件平台，接入新建点位并接入</w:t>
            </w:r>
            <w:r>
              <w:rPr>
                <w:rFonts w:ascii="宋体" w:cs="宋体"/>
                <w:color w:val="000000"/>
                <w:sz w:val="24"/>
              </w:rPr>
              <w:t>11</w:t>
            </w:r>
            <w:r>
              <w:rPr>
                <w:rFonts w:hint="eastAsia" w:ascii="宋体" w:cs="宋体"/>
                <w:color w:val="000000"/>
                <w:sz w:val="24"/>
              </w:rPr>
              <w:t>个区县视频资源，建设分控中心和开通视频专网。</w:t>
            </w:r>
            <w:r>
              <w:rPr>
                <w:rFonts w:ascii="宋体" w:cs="宋体"/>
                <w:color w:val="000000"/>
                <w:sz w:val="24"/>
              </w:rPr>
              <w:t xml:space="preserve">   </w:t>
            </w:r>
            <w:r>
              <w:rPr>
                <w:rFonts w:ascii="宋体" w:cs="宋体"/>
                <w:color w:val="000000"/>
                <w:sz w:val="24"/>
              </w:rPr>
              <w:br w:type="textWrapping"/>
            </w:r>
            <w:r>
              <w:rPr>
                <w:rFonts w:ascii="宋体" w:cs="宋体"/>
                <w:color w:val="000000"/>
                <w:sz w:val="24"/>
              </w:rPr>
              <w:t xml:space="preserve">   </w:t>
            </w:r>
            <w:r>
              <w:rPr>
                <w:rFonts w:hint="eastAsia" w:ascii="宋体" w:cs="宋体"/>
                <w:color w:val="000000"/>
                <w:sz w:val="24"/>
              </w:rPr>
              <w:t>天网“二期”：主要完成了主城区</w:t>
            </w:r>
            <w:r>
              <w:rPr>
                <w:rFonts w:ascii="宋体" w:cs="宋体"/>
                <w:color w:val="000000"/>
                <w:sz w:val="24"/>
              </w:rPr>
              <w:t>420</w:t>
            </w:r>
            <w:r>
              <w:rPr>
                <w:rFonts w:hint="eastAsia" w:ascii="宋体" w:cs="宋体"/>
                <w:color w:val="000000"/>
                <w:sz w:val="24"/>
              </w:rPr>
              <w:t>个标清点位的高清改造和市委、市政府、市人大、市政协高清视频监控的建设任务，共计建设高清视频监控点位</w:t>
            </w:r>
            <w:r>
              <w:rPr>
                <w:rFonts w:ascii="宋体" w:cs="宋体"/>
                <w:color w:val="000000"/>
                <w:sz w:val="24"/>
              </w:rPr>
              <w:t>752</w:t>
            </w:r>
            <w:r>
              <w:rPr>
                <w:rFonts w:hint="eastAsia" w:ascii="宋体" w:cs="宋体"/>
                <w:color w:val="000000"/>
                <w:sz w:val="24"/>
              </w:rPr>
              <w:t>路，改造升级</w:t>
            </w:r>
            <w:r>
              <w:rPr>
                <w:rFonts w:ascii="宋体" w:cs="宋体"/>
                <w:color w:val="000000"/>
                <w:sz w:val="24"/>
              </w:rPr>
              <w:t>17</w:t>
            </w:r>
            <w:r>
              <w:rPr>
                <w:rFonts w:hint="eastAsia" w:ascii="宋体" w:cs="宋体"/>
                <w:color w:val="000000"/>
                <w:sz w:val="24"/>
              </w:rPr>
              <w:t>个治安卡口和及存储扩容等。</w:t>
            </w:r>
          </w:p>
          <w:p>
            <w:pPr>
              <w:widowControl/>
              <w:spacing w:line="560" w:lineRule="exact"/>
              <w:jc w:val="left"/>
              <w:textAlignment w:val="center"/>
              <w:rPr>
                <w:rFonts w:ascii="宋体" w:cs="宋体"/>
                <w:color w:val="000000"/>
                <w:sz w:val="24"/>
              </w:rPr>
            </w:pPr>
            <w:r>
              <w:rPr>
                <w:rFonts w:hint="eastAsia" w:ascii="宋体" w:cs="宋体"/>
                <w:color w:val="000000"/>
                <w:sz w:val="24"/>
              </w:rPr>
              <w:t xml:space="preserve">    绿心环线视频监控：45路高清视频监控，7套高清治安卡口建设以及存储等。</w:t>
            </w:r>
          </w:p>
        </w:tc>
      </w:tr>
      <w:tr>
        <w:tblPrEx>
          <w:tblCellMar>
            <w:top w:w="0" w:type="dxa"/>
            <w:left w:w="108" w:type="dxa"/>
            <w:bottom w:w="0" w:type="dxa"/>
            <w:right w:w="108" w:type="dxa"/>
          </w:tblCellMar>
        </w:tblPrEx>
        <w:trPr>
          <w:trHeight w:val="855" w:hRule="atLeast"/>
        </w:trPr>
        <w:tc>
          <w:tcPr>
            <w:tcW w:w="499" w:type="dxa"/>
            <w:vMerge w:val="restart"/>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绩</w:t>
            </w:r>
            <w:r>
              <w:rPr>
                <w:rFonts w:ascii="宋体" w:cs="宋体"/>
                <w:color w:val="000000"/>
                <w:sz w:val="24"/>
              </w:rPr>
              <w:br w:type="textWrapping"/>
            </w:r>
            <w:r>
              <w:rPr>
                <w:rFonts w:hint="eastAsia" w:ascii="宋体" w:cs="宋体"/>
                <w:color w:val="000000"/>
                <w:sz w:val="24"/>
              </w:rPr>
              <w:t>效</w:t>
            </w:r>
            <w:r>
              <w:rPr>
                <w:rFonts w:ascii="宋体" w:cs="宋体"/>
                <w:color w:val="000000"/>
                <w:sz w:val="24"/>
              </w:rPr>
              <w:br w:type="textWrapping"/>
            </w:r>
            <w:r>
              <w:rPr>
                <w:rFonts w:hint="eastAsia" w:ascii="宋体" w:cs="宋体"/>
                <w:color w:val="000000"/>
                <w:sz w:val="24"/>
              </w:rPr>
              <w:t>指</w:t>
            </w:r>
            <w:r>
              <w:rPr>
                <w:rFonts w:ascii="宋体" w:cs="宋体"/>
                <w:color w:val="000000"/>
                <w:sz w:val="24"/>
              </w:rPr>
              <w:br w:type="textWrapping"/>
            </w:r>
            <w:r>
              <w:rPr>
                <w:rFonts w:hint="eastAsia" w:ascii="宋体" w:cs="宋体"/>
                <w:color w:val="000000"/>
                <w:sz w:val="24"/>
              </w:rPr>
              <w:t>标</w:t>
            </w:r>
            <w:r>
              <w:rPr>
                <w:rFonts w:ascii="宋体" w:cs="宋体"/>
                <w:color w:val="000000"/>
                <w:sz w:val="24"/>
              </w:rPr>
              <w:t xml:space="preserve">   </w:t>
            </w:r>
            <w:r>
              <w:rPr>
                <w:rFonts w:hint="eastAsia" w:ascii="宋体" w:cs="宋体"/>
                <w:color w:val="000000"/>
                <w:sz w:val="24"/>
              </w:rPr>
              <w:t>完</w:t>
            </w:r>
            <w:r>
              <w:rPr>
                <w:rFonts w:ascii="宋体" w:cs="宋体"/>
                <w:color w:val="000000"/>
                <w:sz w:val="24"/>
              </w:rPr>
              <w:t xml:space="preserve">   </w:t>
            </w:r>
            <w:r>
              <w:rPr>
                <w:rFonts w:hint="eastAsia" w:ascii="宋体" w:cs="宋体"/>
                <w:color w:val="000000"/>
                <w:sz w:val="24"/>
              </w:rPr>
              <w:t>成</w:t>
            </w:r>
            <w:r>
              <w:rPr>
                <w:rFonts w:ascii="宋体" w:cs="宋体"/>
                <w:color w:val="000000"/>
                <w:sz w:val="24"/>
              </w:rPr>
              <w:t xml:space="preserve">   </w:t>
            </w:r>
            <w:r>
              <w:rPr>
                <w:rFonts w:hint="eastAsia" w:ascii="宋体" w:cs="宋体"/>
                <w:color w:val="000000"/>
                <w:sz w:val="24"/>
              </w:rPr>
              <w:t>情</w:t>
            </w:r>
            <w:r>
              <w:rPr>
                <w:rFonts w:ascii="宋体" w:cs="宋体"/>
                <w:color w:val="000000"/>
                <w:sz w:val="24"/>
              </w:rPr>
              <w:t xml:space="preserve">  </w:t>
            </w:r>
            <w:r>
              <w:rPr>
                <w:rFonts w:hint="eastAsia" w:ascii="宋体" w:cs="宋体"/>
                <w:color w:val="000000"/>
                <w:sz w:val="24"/>
              </w:rPr>
              <w:t>况</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一级</w:t>
            </w:r>
            <w:r>
              <w:rPr>
                <w:rFonts w:ascii="宋体" w:cs="宋体"/>
                <w:color w:val="000000"/>
                <w:sz w:val="24"/>
              </w:rPr>
              <w:br w:type="textWrapping"/>
            </w:r>
            <w:r>
              <w:rPr>
                <w:rFonts w:hint="eastAsia" w:ascii="宋体" w:cs="宋体"/>
                <w:color w:val="000000"/>
                <w:sz w:val="24"/>
              </w:rPr>
              <w:t>指标</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二级指标</w:t>
            </w: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三级指标</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预期指标值（包含数字及文字描述）</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textAlignment w:val="center"/>
              <w:rPr>
                <w:rFonts w:ascii="宋体" w:cs="宋体"/>
                <w:color w:val="000000"/>
                <w:sz w:val="24"/>
              </w:rPr>
            </w:pPr>
            <w:r>
              <w:rPr>
                <w:rFonts w:hint="eastAsia" w:ascii="宋体" w:cs="宋体"/>
                <w:color w:val="000000"/>
                <w:sz w:val="24"/>
              </w:rPr>
              <w:t>实际完成指标值（包含数字及文字描述）</w:t>
            </w:r>
          </w:p>
        </w:tc>
      </w:tr>
      <w:tr>
        <w:tblPrEx>
          <w:tblCellMar>
            <w:top w:w="0" w:type="dxa"/>
            <w:left w:w="108" w:type="dxa"/>
            <w:bottom w:w="0" w:type="dxa"/>
            <w:right w:w="108" w:type="dxa"/>
          </w:tblCellMar>
        </w:tblPrEx>
        <w:trPr>
          <w:trHeight w:val="620"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项目完成指标</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数量指标</w:t>
            </w: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指标</w:t>
            </w:r>
            <w:r>
              <w:rPr>
                <w:rFonts w:ascii="宋体" w:cs="宋体"/>
                <w:color w:val="000000"/>
                <w:sz w:val="24"/>
              </w:rPr>
              <w:t>1</w:t>
            </w:r>
            <w:r>
              <w:rPr>
                <w:rFonts w:hint="eastAsia" w:ascii="宋体" w:cs="宋体"/>
                <w:color w:val="000000"/>
                <w:sz w:val="24"/>
              </w:rPr>
              <w:t>：存储时间</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30</w:t>
            </w:r>
            <w:r>
              <w:rPr>
                <w:rFonts w:hint="eastAsia" w:ascii="宋体" w:cs="宋体"/>
                <w:color w:val="000000"/>
                <w:sz w:val="24"/>
              </w:rPr>
              <w:t>天</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w:t>
            </w:r>
            <w:r>
              <w:rPr>
                <w:rFonts w:ascii="宋体" w:cs="宋体"/>
                <w:color w:val="000000"/>
                <w:sz w:val="24"/>
              </w:rPr>
              <w:t>100%</w:t>
            </w:r>
          </w:p>
        </w:tc>
      </w:tr>
      <w:tr>
        <w:tblPrEx>
          <w:tblCellMar>
            <w:top w:w="0" w:type="dxa"/>
            <w:left w:w="108" w:type="dxa"/>
            <w:bottom w:w="0" w:type="dxa"/>
            <w:right w:w="108" w:type="dxa"/>
          </w:tblCellMar>
        </w:tblPrEx>
        <w:trPr>
          <w:trHeight w:val="590"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指标</w:t>
            </w:r>
            <w:r>
              <w:rPr>
                <w:rFonts w:ascii="宋体" w:cs="宋体"/>
                <w:color w:val="000000"/>
                <w:sz w:val="24"/>
              </w:rPr>
              <w:t>2</w:t>
            </w:r>
            <w:r>
              <w:rPr>
                <w:rFonts w:hint="eastAsia" w:ascii="宋体" w:cs="宋体"/>
                <w:color w:val="000000"/>
                <w:sz w:val="24"/>
              </w:rPr>
              <w:t>：监控运行</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7*365</w:t>
            </w:r>
            <w:r>
              <w:rPr>
                <w:rFonts w:hint="eastAsia" w:ascii="宋体" w:cs="宋体"/>
                <w:color w:val="000000"/>
                <w:sz w:val="24"/>
              </w:rPr>
              <w:t>（天）</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7*365</w:t>
            </w:r>
            <w:r>
              <w:rPr>
                <w:rFonts w:hint="eastAsia" w:ascii="宋体" w:cs="宋体"/>
                <w:color w:val="000000"/>
                <w:sz w:val="24"/>
              </w:rPr>
              <w:t>（天）</w:t>
            </w:r>
          </w:p>
        </w:tc>
      </w:tr>
      <w:tr>
        <w:tblPrEx>
          <w:tblCellMar>
            <w:top w:w="0" w:type="dxa"/>
            <w:left w:w="108" w:type="dxa"/>
            <w:bottom w:w="0" w:type="dxa"/>
            <w:right w:w="108" w:type="dxa"/>
          </w:tblCellMar>
        </w:tblPrEx>
        <w:trPr>
          <w:trHeight w:val="545"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指标</w:t>
            </w:r>
            <w:r>
              <w:rPr>
                <w:rFonts w:ascii="宋体" w:cs="宋体"/>
                <w:color w:val="000000"/>
                <w:sz w:val="24"/>
              </w:rPr>
              <w:t>3</w:t>
            </w:r>
            <w:r>
              <w:rPr>
                <w:rFonts w:hint="eastAsia" w:ascii="宋体" w:cs="宋体"/>
                <w:color w:val="000000"/>
                <w:sz w:val="24"/>
              </w:rPr>
              <w:t>：监控点位</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1404（路）</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1404（路）</w:t>
            </w:r>
          </w:p>
        </w:tc>
      </w:tr>
      <w:tr>
        <w:tblPrEx>
          <w:tblCellMar>
            <w:top w:w="0" w:type="dxa"/>
            <w:left w:w="108" w:type="dxa"/>
            <w:bottom w:w="0" w:type="dxa"/>
            <w:right w:w="108" w:type="dxa"/>
          </w:tblCellMar>
        </w:tblPrEx>
        <w:trPr>
          <w:trHeight w:val="675"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指标</w:t>
            </w:r>
            <w:r>
              <w:rPr>
                <w:rFonts w:ascii="宋体" w:cs="宋体"/>
                <w:color w:val="000000"/>
                <w:sz w:val="24"/>
              </w:rPr>
              <w:t>4</w:t>
            </w:r>
            <w:r>
              <w:rPr>
                <w:rFonts w:hint="eastAsia" w:ascii="宋体" w:cs="宋体"/>
                <w:color w:val="000000"/>
                <w:sz w:val="24"/>
              </w:rPr>
              <w:t>：新建卡口点位</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18</w:t>
            </w:r>
            <w:r>
              <w:rPr>
                <w:rFonts w:hint="eastAsia" w:ascii="宋体" w:cs="宋体"/>
                <w:color w:val="000000"/>
                <w:sz w:val="24"/>
              </w:rPr>
              <w:t>个点位</w:t>
            </w:r>
            <w:r>
              <w:rPr>
                <w:rFonts w:ascii="宋体" w:cs="宋体"/>
                <w:color w:val="000000"/>
                <w:sz w:val="24"/>
              </w:rPr>
              <w:t>72</w:t>
            </w:r>
            <w:r>
              <w:rPr>
                <w:rFonts w:hint="eastAsia" w:ascii="宋体" w:cs="宋体"/>
                <w:color w:val="000000"/>
                <w:sz w:val="24"/>
              </w:rPr>
              <w:t>个车道高清治安卡口</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18</w:t>
            </w:r>
            <w:r>
              <w:rPr>
                <w:rFonts w:hint="eastAsia" w:ascii="宋体" w:cs="宋体"/>
                <w:color w:val="000000"/>
                <w:sz w:val="24"/>
              </w:rPr>
              <w:t>个点位</w:t>
            </w:r>
            <w:r>
              <w:rPr>
                <w:rFonts w:ascii="宋体" w:cs="宋体"/>
                <w:color w:val="000000"/>
                <w:sz w:val="24"/>
              </w:rPr>
              <w:t>72</w:t>
            </w:r>
            <w:r>
              <w:rPr>
                <w:rFonts w:hint="eastAsia" w:ascii="宋体" w:cs="宋体"/>
                <w:color w:val="000000"/>
                <w:sz w:val="24"/>
              </w:rPr>
              <w:t>个车道高清治安卡口</w:t>
            </w:r>
          </w:p>
        </w:tc>
      </w:tr>
      <w:tr>
        <w:tblPrEx>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指标</w:t>
            </w:r>
            <w:r>
              <w:rPr>
                <w:rFonts w:ascii="宋体" w:cs="宋体"/>
                <w:color w:val="000000"/>
                <w:sz w:val="24"/>
              </w:rPr>
              <w:t>5</w:t>
            </w:r>
            <w:r>
              <w:rPr>
                <w:rFonts w:hint="eastAsia" w:ascii="宋体" w:cs="宋体"/>
                <w:color w:val="000000"/>
                <w:sz w:val="24"/>
              </w:rPr>
              <w:t>：改造升级卡口点位</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26</w:t>
            </w:r>
            <w:r>
              <w:rPr>
                <w:rFonts w:hint="eastAsia" w:ascii="宋体" w:cs="宋体"/>
                <w:color w:val="000000"/>
                <w:sz w:val="24"/>
              </w:rPr>
              <w:t>（个）</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26</w:t>
            </w:r>
            <w:r>
              <w:rPr>
                <w:rFonts w:hint="eastAsia" w:ascii="宋体" w:cs="宋体"/>
                <w:color w:val="000000"/>
                <w:sz w:val="24"/>
              </w:rPr>
              <w:t>（个）</w:t>
            </w:r>
          </w:p>
        </w:tc>
      </w:tr>
      <w:tr>
        <w:tblPrEx>
          <w:tblCellMar>
            <w:top w:w="0" w:type="dxa"/>
            <w:left w:w="108" w:type="dxa"/>
            <w:bottom w:w="0" w:type="dxa"/>
            <w:right w:w="108" w:type="dxa"/>
          </w:tblCellMar>
        </w:tblPrEx>
        <w:trPr>
          <w:trHeight w:val="522"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p>
        </w:tc>
      </w:tr>
      <w:tr>
        <w:tblPrEx>
          <w:tblCellMar>
            <w:top w:w="0" w:type="dxa"/>
            <w:left w:w="108" w:type="dxa"/>
            <w:bottom w:w="0" w:type="dxa"/>
            <w:right w:w="108" w:type="dxa"/>
          </w:tblCellMar>
        </w:tblPrEx>
        <w:trPr>
          <w:trHeight w:val="645"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质量指标</w:t>
            </w: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 xml:space="preserve"> </w:t>
            </w:r>
            <w:r>
              <w:rPr>
                <w:rFonts w:hint="eastAsia" w:ascii="宋体" w:cs="宋体"/>
                <w:color w:val="000000"/>
                <w:sz w:val="24"/>
              </w:rPr>
              <w:t>指标</w:t>
            </w:r>
            <w:r>
              <w:rPr>
                <w:rFonts w:ascii="宋体" w:cs="宋体"/>
                <w:color w:val="000000"/>
                <w:sz w:val="24"/>
              </w:rPr>
              <w:t>1</w:t>
            </w:r>
            <w:r>
              <w:rPr>
                <w:rFonts w:hint="eastAsia" w:ascii="宋体" w:cs="宋体"/>
                <w:color w:val="000000"/>
                <w:sz w:val="24"/>
              </w:rPr>
              <w:t>：运行维护</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平台全年在线率</w:t>
            </w:r>
            <w:r>
              <w:rPr>
                <w:rFonts w:ascii="宋体" w:cs="宋体"/>
                <w:color w:val="000000"/>
                <w:sz w:val="24"/>
              </w:rPr>
              <w:t>100%</w:t>
            </w:r>
            <w:r>
              <w:rPr>
                <w:rFonts w:hint="eastAsia" w:ascii="宋体" w:cs="宋体"/>
                <w:color w:val="000000"/>
                <w:sz w:val="24"/>
              </w:rPr>
              <w:t>，前端点位每月平均在线率</w:t>
            </w:r>
            <w:r>
              <w:rPr>
                <w:rFonts w:ascii="宋体" w:cs="宋体"/>
                <w:color w:val="000000"/>
                <w:sz w:val="24"/>
              </w:rPr>
              <w:t>90%</w:t>
            </w:r>
            <w:r>
              <w:rPr>
                <w:rFonts w:hint="eastAsia" w:ascii="宋体" w:cs="宋体"/>
                <w:color w:val="000000"/>
                <w:sz w:val="24"/>
              </w:rPr>
              <w:t>以上</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全年平均在线率≥</w:t>
            </w:r>
            <w:r>
              <w:rPr>
                <w:rFonts w:ascii="宋体" w:cs="宋体"/>
                <w:color w:val="000000"/>
                <w:sz w:val="24"/>
              </w:rPr>
              <w:t>95%</w:t>
            </w:r>
          </w:p>
        </w:tc>
      </w:tr>
      <w:tr>
        <w:tblPrEx>
          <w:tblCellMar>
            <w:top w:w="0" w:type="dxa"/>
            <w:left w:w="108" w:type="dxa"/>
            <w:bottom w:w="0" w:type="dxa"/>
            <w:right w:w="108" w:type="dxa"/>
          </w:tblCellMar>
        </w:tblPrEx>
        <w:trPr>
          <w:trHeight w:val="435"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p>
        </w:tc>
      </w:tr>
      <w:tr>
        <w:tblPrEx>
          <w:tblCellMar>
            <w:top w:w="0" w:type="dxa"/>
            <w:left w:w="108" w:type="dxa"/>
            <w:bottom w:w="0" w:type="dxa"/>
            <w:right w:w="108" w:type="dxa"/>
          </w:tblCellMar>
        </w:tblPrEx>
        <w:trPr>
          <w:trHeight w:val="750"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时效指标</w:t>
            </w: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完成时间</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每天按时完成前端点位和中心机房、平台巡检任务</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每日完成</w:t>
            </w:r>
          </w:p>
        </w:tc>
      </w:tr>
      <w:tr>
        <w:tblPrEx>
          <w:tblCellMar>
            <w:top w:w="0" w:type="dxa"/>
            <w:left w:w="108" w:type="dxa"/>
            <w:bottom w:w="0" w:type="dxa"/>
            <w:right w:w="108" w:type="dxa"/>
          </w:tblCellMar>
        </w:tblPrEx>
        <w:trPr>
          <w:trHeight w:val="942"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成本指标</w:t>
            </w: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指标</w:t>
            </w:r>
            <w:r>
              <w:rPr>
                <w:rFonts w:ascii="宋体" w:cs="宋体"/>
                <w:color w:val="000000"/>
                <w:sz w:val="24"/>
              </w:rPr>
              <w:t>1</w:t>
            </w:r>
            <w:r>
              <w:rPr>
                <w:rFonts w:hint="eastAsia" w:ascii="宋体" w:cs="宋体"/>
                <w:color w:val="000000"/>
                <w:sz w:val="24"/>
              </w:rPr>
              <w:t>：无</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购买服务方式建设（已包含硬件费用、软件费用、维护费用、线路租用费等）</w:t>
            </w: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购买服务方式建设（已包含硬件费用、软件费用、维护费用、线路租用费等）</w:t>
            </w:r>
          </w:p>
        </w:tc>
      </w:tr>
      <w:tr>
        <w:tblPrEx>
          <w:tblCellMar>
            <w:top w:w="0" w:type="dxa"/>
            <w:left w:w="108" w:type="dxa"/>
            <w:bottom w:w="0" w:type="dxa"/>
            <w:right w:w="108" w:type="dxa"/>
          </w:tblCellMar>
        </w:tblPrEx>
        <w:trPr>
          <w:trHeight w:val="435" w:hRule="atLeast"/>
        </w:trPr>
        <w:tc>
          <w:tcPr>
            <w:tcW w:w="499"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r>
              <w:rPr>
                <w:rFonts w:ascii="宋体" w:cs="宋体"/>
                <w:color w:val="000000"/>
                <w:sz w:val="24"/>
              </w:rPr>
              <w:t xml:space="preserve"> </w:t>
            </w:r>
            <w:r>
              <w:rPr>
                <w:rFonts w:hint="eastAsia" w:ascii="宋体" w:cs="宋体"/>
                <w:color w:val="000000"/>
                <w:sz w:val="24"/>
              </w:rPr>
              <w:t>……</w:t>
            </w:r>
          </w:p>
        </w:tc>
        <w:tc>
          <w:tcPr>
            <w:tcW w:w="2569" w:type="dxa"/>
            <w:tcBorders>
              <w:top w:val="single" w:color="000000" w:sz="4" w:space="0"/>
              <w:left w:val="single" w:color="000000" w:sz="4" w:space="0"/>
              <w:bottom w:val="single" w:color="000000" w:sz="4" w:space="0"/>
              <w:right w:val="single" w:color="000000" w:sz="4" w:space="0"/>
            </w:tcBorders>
            <w:vAlign w:val="center"/>
          </w:tcPr>
          <w:p>
            <w:pPr>
              <w:widowControl/>
              <w:spacing w:line="560" w:lineRule="exact"/>
              <w:jc w:val="left"/>
              <w:textAlignment w:val="center"/>
              <w:rPr>
                <w:rFonts w:ascii="宋体" w:cs="宋体"/>
                <w:color w:val="000000"/>
                <w:sz w:val="24"/>
              </w:rPr>
            </w:pPr>
          </w:p>
        </w:tc>
        <w:tc>
          <w:tcPr>
            <w:tcW w:w="2648" w:type="dxa"/>
            <w:tcBorders>
              <w:top w:val="single" w:color="000000" w:sz="4" w:space="0"/>
              <w:left w:val="single" w:color="000000" w:sz="4" w:space="0"/>
              <w:bottom w:val="single" w:color="000000" w:sz="4" w:space="0"/>
              <w:right w:val="single" w:color="000000" w:sz="8" w:space="0"/>
            </w:tcBorders>
            <w:vAlign w:val="center"/>
          </w:tcPr>
          <w:p>
            <w:pPr>
              <w:widowControl/>
              <w:spacing w:line="560" w:lineRule="exact"/>
              <w:jc w:val="left"/>
              <w:textAlignment w:val="center"/>
              <w:rPr>
                <w:rFonts w:ascii="宋体" w:cs="宋体"/>
                <w:color w:val="000000"/>
                <w:sz w:val="24"/>
              </w:rPr>
            </w:pPr>
          </w:p>
        </w:tc>
      </w:tr>
      <w:tr>
        <w:tblPrEx>
          <w:tblCellMar>
            <w:top w:w="0" w:type="dxa"/>
            <w:left w:w="108" w:type="dxa"/>
            <w:bottom w:w="0" w:type="dxa"/>
            <w:right w:w="108" w:type="dxa"/>
          </w:tblCellMar>
        </w:tblPrEx>
        <w:trPr>
          <w:trHeight w:val="885" w:hRule="atLeast"/>
        </w:trPr>
        <w:tc>
          <w:tcPr>
            <w:tcW w:w="49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915" w:type="dxa"/>
            <w:vMerge w:val="restart"/>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项目效益</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社会效益</w:t>
            </w:r>
            <w:r>
              <w:rPr>
                <w:rFonts w:ascii="宋体" w:cs="宋体"/>
                <w:color w:val="000000"/>
                <w:sz w:val="24"/>
              </w:rPr>
              <w:br w:type="textWrapping"/>
            </w:r>
            <w:r>
              <w:rPr>
                <w:rFonts w:hint="eastAsia" w:ascii="宋体" w:cs="宋体"/>
                <w:color w:val="000000"/>
                <w:sz w:val="24"/>
              </w:rPr>
              <w:t>指标</w:t>
            </w: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指标</w:t>
            </w:r>
            <w:r>
              <w:rPr>
                <w:rFonts w:ascii="宋体" w:cs="宋体"/>
                <w:color w:val="000000"/>
                <w:sz w:val="24"/>
              </w:rPr>
              <w:t>1</w:t>
            </w:r>
            <w:r>
              <w:rPr>
                <w:rFonts w:hint="eastAsia" w:ascii="宋体" w:cs="宋体"/>
                <w:color w:val="000000"/>
                <w:sz w:val="24"/>
              </w:rPr>
              <w:t>：人民群众安全感</w:t>
            </w:r>
          </w:p>
        </w:tc>
        <w:tc>
          <w:tcPr>
            <w:tcW w:w="25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安全感提升</w:t>
            </w:r>
          </w:p>
        </w:tc>
        <w:tc>
          <w:tcPr>
            <w:tcW w:w="2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安全感提升</w:t>
            </w:r>
          </w:p>
        </w:tc>
      </w:tr>
      <w:tr>
        <w:tblPrEx>
          <w:tblCellMar>
            <w:top w:w="0" w:type="dxa"/>
            <w:left w:w="108" w:type="dxa"/>
            <w:bottom w:w="0" w:type="dxa"/>
            <w:right w:w="108" w:type="dxa"/>
          </w:tblCellMar>
        </w:tblPrEx>
        <w:trPr>
          <w:trHeight w:val="885" w:hRule="atLeast"/>
        </w:trPr>
        <w:tc>
          <w:tcPr>
            <w:tcW w:w="49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指标</w:t>
            </w:r>
            <w:r>
              <w:rPr>
                <w:rFonts w:ascii="宋体" w:cs="宋体"/>
                <w:color w:val="000000"/>
                <w:sz w:val="24"/>
              </w:rPr>
              <w:t>2</w:t>
            </w:r>
            <w:r>
              <w:rPr>
                <w:rFonts w:hint="eastAsia" w:ascii="宋体" w:cs="宋体"/>
                <w:color w:val="000000"/>
                <w:sz w:val="24"/>
              </w:rPr>
              <w:t>：人民遵法守法意</w:t>
            </w:r>
          </w:p>
        </w:tc>
        <w:tc>
          <w:tcPr>
            <w:tcW w:w="25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意识增强</w:t>
            </w:r>
          </w:p>
        </w:tc>
        <w:tc>
          <w:tcPr>
            <w:tcW w:w="2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意识增强</w:t>
            </w:r>
          </w:p>
        </w:tc>
      </w:tr>
      <w:tr>
        <w:tblPrEx>
          <w:tblCellMar>
            <w:top w:w="0" w:type="dxa"/>
            <w:left w:w="108" w:type="dxa"/>
            <w:bottom w:w="0" w:type="dxa"/>
            <w:right w:w="108" w:type="dxa"/>
          </w:tblCellMar>
        </w:tblPrEx>
        <w:trPr>
          <w:trHeight w:val="929" w:hRule="atLeast"/>
        </w:trPr>
        <w:tc>
          <w:tcPr>
            <w:tcW w:w="49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可持续影响</w:t>
            </w:r>
            <w:r>
              <w:rPr>
                <w:rFonts w:ascii="宋体" w:cs="宋体"/>
                <w:color w:val="000000"/>
                <w:sz w:val="24"/>
              </w:rPr>
              <w:br w:type="textWrapping"/>
            </w:r>
            <w:r>
              <w:rPr>
                <w:rFonts w:hint="eastAsia" w:ascii="宋体" w:cs="宋体"/>
                <w:color w:val="000000"/>
                <w:sz w:val="24"/>
              </w:rPr>
              <w:t>指标</w:t>
            </w:r>
          </w:p>
        </w:tc>
        <w:tc>
          <w:tcPr>
            <w:tcW w:w="1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犯罪率</w:t>
            </w:r>
          </w:p>
        </w:tc>
        <w:tc>
          <w:tcPr>
            <w:tcW w:w="25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犯罪率下降</w:t>
            </w:r>
          </w:p>
        </w:tc>
        <w:tc>
          <w:tcPr>
            <w:tcW w:w="2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犯罪率下降</w:t>
            </w:r>
          </w:p>
        </w:tc>
      </w:tr>
      <w:tr>
        <w:tblPrEx>
          <w:tblCellMar>
            <w:top w:w="0" w:type="dxa"/>
            <w:left w:w="108" w:type="dxa"/>
            <w:bottom w:w="0" w:type="dxa"/>
            <w:right w:w="108" w:type="dxa"/>
          </w:tblCellMar>
        </w:tblPrEx>
        <w:trPr>
          <w:trHeight w:val="830" w:hRule="atLeast"/>
        </w:trPr>
        <w:tc>
          <w:tcPr>
            <w:tcW w:w="49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普法教育</w:t>
            </w:r>
          </w:p>
        </w:tc>
        <w:tc>
          <w:tcPr>
            <w:tcW w:w="25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普法率增高</w:t>
            </w:r>
          </w:p>
        </w:tc>
        <w:tc>
          <w:tcPr>
            <w:tcW w:w="2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普法率增高</w:t>
            </w:r>
          </w:p>
        </w:tc>
      </w:tr>
      <w:tr>
        <w:tblPrEx>
          <w:tblCellMar>
            <w:top w:w="0" w:type="dxa"/>
            <w:left w:w="108" w:type="dxa"/>
            <w:bottom w:w="0" w:type="dxa"/>
            <w:right w:w="108" w:type="dxa"/>
          </w:tblCellMar>
        </w:tblPrEx>
        <w:trPr>
          <w:trHeight w:val="778" w:hRule="atLeast"/>
        </w:trPr>
        <w:tc>
          <w:tcPr>
            <w:tcW w:w="49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750" w:type="dxa"/>
            <w:vMerge w:val="restart"/>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560" w:lineRule="exact"/>
              <w:jc w:val="center"/>
              <w:textAlignment w:val="center"/>
              <w:rPr>
                <w:rFonts w:ascii="宋体" w:cs="宋体"/>
                <w:color w:val="000000"/>
                <w:sz w:val="24"/>
              </w:rPr>
            </w:pPr>
            <w:r>
              <w:rPr>
                <w:rFonts w:hint="eastAsia" w:ascii="宋体" w:cs="宋体"/>
                <w:color w:val="000000"/>
                <w:sz w:val="24"/>
              </w:rPr>
              <w:t>满意度</w:t>
            </w:r>
          </w:p>
        </w:tc>
        <w:tc>
          <w:tcPr>
            <w:tcW w:w="1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主管部门满意度</w:t>
            </w:r>
          </w:p>
        </w:tc>
        <w:tc>
          <w:tcPr>
            <w:tcW w:w="25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w:t>
            </w:r>
            <w:r>
              <w:rPr>
                <w:rFonts w:ascii="宋体" w:cs="宋体"/>
                <w:color w:val="000000"/>
                <w:sz w:val="24"/>
              </w:rPr>
              <w:t>80%</w:t>
            </w:r>
          </w:p>
        </w:tc>
        <w:tc>
          <w:tcPr>
            <w:tcW w:w="2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w:t>
            </w:r>
            <w:r>
              <w:rPr>
                <w:rFonts w:ascii="宋体" w:cs="宋体"/>
                <w:color w:val="000000"/>
                <w:sz w:val="24"/>
              </w:rPr>
              <w:t>80%</w:t>
            </w:r>
          </w:p>
        </w:tc>
      </w:tr>
      <w:tr>
        <w:tblPrEx>
          <w:tblCellMar>
            <w:top w:w="0" w:type="dxa"/>
            <w:left w:w="108" w:type="dxa"/>
            <w:bottom w:w="0" w:type="dxa"/>
            <w:right w:w="108" w:type="dxa"/>
          </w:tblCellMar>
        </w:tblPrEx>
        <w:trPr>
          <w:trHeight w:val="720" w:hRule="atLeast"/>
        </w:trPr>
        <w:tc>
          <w:tcPr>
            <w:tcW w:w="49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915"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750" w:type="dxa"/>
            <w:vMerge w:val="continue"/>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560" w:lineRule="exact"/>
              <w:textAlignment w:val="center"/>
              <w:rPr>
                <w:rFonts w:ascii="宋体" w:cs="宋体"/>
                <w:color w:val="000000"/>
                <w:sz w:val="24"/>
              </w:rPr>
            </w:pPr>
          </w:p>
        </w:tc>
        <w:tc>
          <w:tcPr>
            <w:tcW w:w="1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服务对象满意度</w:t>
            </w:r>
          </w:p>
        </w:tc>
        <w:tc>
          <w:tcPr>
            <w:tcW w:w="25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w:t>
            </w:r>
            <w:r>
              <w:rPr>
                <w:rFonts w:ascii="宋体" w:cs="宋体"/>
                <w:color w:val="000000"/>
                <w:sz w:val="24"/>
              </w:rPr>
              <w:t>80%</w:t>
            </w:r>
          </w:p>
        </w:tc>
        <w:tc>
          <w:tcPr>
            <w:tcW w:w="2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560" w:lineRule="exact"/>
              <w:jc w:val="left"/>
              <w:textAlignment w:val="center"/>
              <w:rPr>
                <w:rFonts w:ascii="宋体" w:cs="宋体"/>
                <w:color w:val="000000"/>
                <w:sz w:val="24"/>
              </w:rPr>
            </w:pPr>
            <w:r>
              <w:rPr>
                <w:rFonts w:hint="eastAsia" w:ascii="宋体" w:cs="宋体"/>
                <w:color w:val="000000"/>
                <w:sz w:val="24"/>
              </w:rPr>
              <w:t>≥</w:t>
            </w:r>
            <w:r>
              <w:rPr>
                <w:rFonts w:ascii="宋体" w:cs="宋体"/>
                <w:color w:val="000000"/>
                <w:sz w:val="24"/>
              </w:rPr>
              <w:t>80%</w:t>
            </w:r>
          </w:p>
        </w:tc>
      </w:tr>
    </w:tbl>
    <w:p>
      <w:pPr>
        <w:spacing w:line="560" w:lineRule="exact"/>
        <w:ind w:left="630"/>
        <w:rPr>
          <w:rFonts w:ascii="仿宋_GB2312" w:hAnsi="仿宋_GB2312" w:eastAsia="仿宋_GB2312" w:cs="仿宋_GB2312"/>
          <w:sz w:val="32"/>
          <w:szCs w:val="32"/>
        </w:rPr>
      </w:pPr>
      <w:r>
        <w:rPr>
          <w:rFonts w:ascii="楷体_GB2312" w:hAnsi="楷体_GB2312" w:eastAsia="楷体_GB2312" w:cs="楷体_GB2312"/>
          <w:sz w:val="32"/>
          <w:szCs w:val="32"/>
        </w:rPr>
        <w:t>2.</w:t>
      </w:r>
      <w:r>
        <w:rPr>
          <w:rFonts w:hint="eastAsia" w:ascii="楷体_GB2312" w:hAnsi="楷体_GB2312" w:eastAsia="楷体_GB2312" w:cs="楷体_GB2312"/>
          <w:sz w:val="32"/>
          <w:szCs w:val="32"/>
        </w:rPr>
        <w:t>部门绩效评价结果。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本单位按要求对</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年部门整体支出绩效评价情况开展自评，《乐山市公安局机关</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年部门整体支出绩效评价报告》见附件（附件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spacing w:line="560" w:lineRule="exact"/>
        <w:ind w:firstLine="640" w:firstLineChars="200"/>
        <w:rPr>
          <w:rFonts w:ascii="仿宋_GB2312" w:eastAsia="仿宋_GB2312"/>
          <w:b/>
          <w:color w:val="000000"/>
          <w:sz w:val="32"/>
          <w:szCs w:val="32"/>
        </w:rPr>
      </w:pPr>
      <w:r>
        <w:rPr>
          <w:rFonts w:hint="eastAsia" w:ascii="仿宋_GB2312" w:hAnsi="仿宋_GB2312" w:eastAsia="仿宋_GB2312" w:cs="仿宋_GB2312"/>
          <w:sz w:val="32"/>
          <w:szCs w:val="32"/>
        </w:rPr>
        <w:t>本单位自行组织对</w:t>
      </w:r>
      <w:r>
        <w:rPr>
          <w:rFonts w:hint="eastAsia" w:ascii="仿宋_GB2312" w:hAnsi="仿宋_GB2312" w:eastAsia="仿宋_GB2312" w:cs="仿宋_GB2312"/>
          <w:color w:val="000000"/>
          <w:sz w:val="32"/>
          <w:szCs w:val="32"/>
        </w:rPr>
        <w:t>“看守所专项经费</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强制隔离戒毒所专项经费</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、“拘留所专项经费”、“康复救治中心专项经费”、“高清天网”项目</w:t>
      </w:r>
      <w:r>
        <w:rPr>
          <w:rFonts w:hint="eastAsia" w:ascii="仿宋_GB2312" w:hAnsi="仿宋_GB2312" w:eastAsia="仿宋_GB2312" w:cs="仿宋_GB2312"/>
          <w:sz w:val="32"/>
          <w:szCs w:val="32"/>
        </w:rPr>
        <w:t>开展了绩效评价，《项目</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年绩效评价报告》见附件（附件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widowControl/>
        <w:spacing w:line="560" w:lineRule="exact"/>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3"/>
        </w:numPr>
        <w:spacing w:line="560" w:lineRule="exact"/>
        <w:ind w:firstLine="660" w:firstLineChars="150"/>
        <w:jc w:val="center"/>
        <w:outlineLvl w:val="0"/>
        <w:rPr>
          <w:rStyle w:val="25"/>
          <w:rFonts w:ascii="黑体" w:hAnsi="黑体" w:eastAsia="黑体"/>
          <w:b w:val="0"/>
        </w:rPr>
      </w:pPr>
      <w:bookmarkStart w:id="65" w:name="_Toc15396613"/>
      <w:bookmarkStart w:id="66" w:name="_Toc5994"/>
      <w:bookmarkStart w:id="67" w:name="_Toc15377225"/>
      <w:r>
        <w:rPr>
          <w:rFonts w:hint="eastAsia" w:ascii="黑体" w:hAnsi="黑体" w:eastAsia="黑体"/>
          <w:color w:val="000000"/>
          <w:sz w:val="44"/>
          <w:szCs w:val="44"/>
        </w:rPr>
        <w:t>名</w:t>
      </w:r>
      <w:r>
        <w:rPr>
          <w:rStyle w:val="25"/>
          <w:rFonts w:hint="eastAsia" w:ascii="黑体" w:hAnsi="黑体" w:eastAsia="黑体"/>
          <w:b w:val="0"/>
        </w:rPr>
        <w:t>词解释</w:t>
      </w:r>
      <w:bookmarkEnd w:id="65"/>
      <w:bookmarkEnd w:id="66"/>
      <w:bookmarkEnd w:id="67"/>
    </w:p>
    <w:p>
      <w:pPr>
        <w:spacing w:line="560" w:lineRule="exact"/>
        <w:jc w:val="left"/>
        <w:rPr>
          <w:rFonts w:ascii="宋体"/>
          <w:b/>
          <w:color w:val="000000"/>
          <w:sz w:val="44"/>
          <w:szCs w:val="44"/>
        </w:rPr>
      </w:pPr>
    </w:p>
    <w:p>
      <w:pPr>
        <w:spacing w:line="560" w:lineRule="exact"/>
        <w:ind w:firstLine="640" w:firstLineChars="200"/>
        <w:rPr>
          <w:rFonts w:ascii="仿宋_GB2312" w:eastAsia="仿宋_GB2312"/>
          <w:color w:val="000000"/>
          <w:kern w:val="0"/>
          <w:sz w:val="32"/>
          <w:szCs w:val="32"/>
        </w:rPr>
      </w:pPr>
      <w:bookmarkStart w:id="68" w:name="_Toc15377226"/>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财政拨款收入：指单位从同级财政部门取得的财政预算资金。</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w:t>
      </w:r>
      <w:r>
        <w:rPr>
          <w:rFonts w:ascii="仿宋_GB2312" w:eastAsia="仿宋_GB2312" w:cs="仿宋_GB2312"/>
          <w:color w:val="000000"/>
          <w:kern w:val="0"/>
          <w:sz w:val="32"/>
          <w:szCs w:val="32"/>
        </w:rPr>
        <w:t>2.</w:t>
      </w:r>
      <w:r>
        <w:rPr>
          <w:rFonts w:hint="eastAsia" w:ascii="仿宋_GB2312" w:eastAsia="仿宋_GB2312" w:cs="仿宋_GB2312"/>
          <w:color w:val="000000"/>
          <w:kern w:val="0"/>
          <w:sz w:val="32"/>
          <w:szCs w:val="32"/>
        </w:rPr>
        <w:t>事业收入：指事业单位开展专业业务活动及辅助活动取得的收入。</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w:t>
      </w:r>
      <w:r>
        <w:rPr>
          <w:rFonts w:ascii="仿宋_GB2312" w:eastAsia="仿宋_GB2312" w:cs="仿宋_GB2312"/>
          <w:color w:val="000000"/>
          <w:kern w:val="0"/>
          <w:sz w:val="32"/>
          <w:szCs w:val="32"/>
        </w:rPr>
        <w:t>3.</w:t>
      </w:r>
      <w:r>
        <w:rPr>
          <w:rFonts w:hint="eastAsia" w:ascii="仿宋_GB2312" w:eastAsia="仿宋_GB2312" w:cs="仿宋_GB2312"/>
          <w:color w:val="000000"/>
          <w:kern w:val="0"/>
          <w:sz w:val="32"/>
          <w:szCs w:val="32"/>
        </w:rPr>
        <w:t>经营收入：指事业单位在专业业务活动及其辅助活动之外开展非独立核算经营活动取得的收入。</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w:t>
      </w:r>
      <w:r>
        <w:rPr>
          <w:rFonts w:ascii="仿宋_GB2312" w:eastAsia="仿宋_GB2312" w:cs="仿宋_GB2312"/>
          <w:color w:val="000000"/>
          <w:kern w:val="0"/>
          <w:sz w:val="32"/>
          <w:szCs w:val="32"/>
        </w:rPr>
        <w:t>4.</w:t>
      </w:r>
      <w:r>
        <w:rPr>
          <w:rFonts w:hint="eastAsia" w:ascii="仿宋_GB2312" w:eastAsia="仿宋_GB2312" w:cs="仿宋_GB2312"/>
          <w:color w:val="000000"/>
          <w:kern w:val="0"/>
          <w:sz w:val="32"/>
          <w:szCs w:val="32"/>
        </w:rPr>
        <w:t>其他收入：指单位取得的除上述收入以外的各项收入。</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w:t>
      </w:r>
      <w:r>
        <w:rPr>
          <w:rFonts w:ascii="仿宋_GB2312" w:eastAsia="仿宋_GB2312" w:cs="仿宋_GB2312"/>
          <w:color w:val="000000"/>
          <w:kern w:val="0"/>
          <w:sz w:val="32"/>
          <w:szCs w:val="32"/>
        </w:rPr>
        <w:t>5.</w:t>
      </w:r>
      <w:r>
        <w:rPr>
          <w:rFonts w:hint="eastAsia" w:ascii="仿宋_GB2312" w:eastAsia="仿宋_GB2312" w:cs="仿宋_GB2312"/>
          <w:color w:val="000000"/>
          <w:kern w:val="0"/>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w:t>
      </w:r>
      <w:r>
        <w:rPr>
          <w:rFonts w:ascii="仿宋_GB2312" w:eastAsia="仿宋_GB2312" w:cs="仿宋_GB2312"/>
          <w:color w:val="000000"/>
          <w:kern w:val="0"/>
          <w:sz w:val="32"/>
          <w:szCs w:val="32"/>
        </w:rPr>
        <w:t>6.</w:t>
      </w:r>
      <w:r>
        <w:rPr>
          <w:rFonts w:hint="eastAsia" w:ascii="仿宋_GB2312" w:eastAsia="仿宋_GB2312" w:cs="仿宋_GB2312"/>
          <w:color w:val="000000"/>
          <w:kern w:val="0"/>
          <w:sz w:val="32"/>
          <w:szCs w:val="32"/>
        </w:rPr>
        <w:t>年初结转和结余：指以前年度尚未完成、结转到本年按有关规定继续使用的资金。</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w:t>
      </w:r>
      <w:r>
        <w:rPr>
          <w:rFonts w:ascii="仿宋_GB2312" w:eastAsia="仿宋_GB2312" w:cs="仿宋_GB2312"/>
          <w:color w:val="000000"/>
          <w:kern w:val="0"/>
          <w:sz w:val="32"/>
          <w:szCs w:val="32"/>
        </w:rPr>
        <w:t>7.</w:t>
      </w:r>
      <w:r>
        <w:rPr>
          <w:rFonts w:hint="eastAsia" w:ascii="仿宋_GB2312" w:eastAsia="仿宋_GB2312" w:cs="仿宋_GB2312"/>
          <w:color w:val="000000"/>
          <w:kern w:val="0"/>
          <w:sz w:val="32"/>
          <w:szCs w:val="32"/>
        </w:rPr>
        <w:t>结余分配：指事业单位按照事业单位会计制度的规定从非财政补助结余中分配的事业基金和职工福利基金等。</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w:t>
      </w:r>
      <w:r>
        <w:rPr>
          <w:rFonts w:ascii="仿宋_GB2312" w:eastAsia="仿宋_GB2312" w:cs="仿宋_GB2312"/>
          <w:color w:val="000000"/>
          <w:kern w:val="0"/>
          <w:sz w:val="32"/>
          <w:szCs w:val="32"/>
        </w:rPr>
        <w:t>8.</w:t>
      </w:r>
      <w:r>
        <w:rPr>
          <w:rFonts w:hint="eastAsia" w:ascii="仿宋_GB2312" w:eastAsia="仿宋_GB2312" w:cs="仿宋_GB2312"/>
          <w:color w:val="000000"/>
          <w:kern w:val="0"/>
          <w:sz w:val="32"/>
          <w:szCs w:val="32"/>
        </w:rPr>
        <w:t>年末结转和结余：指单位按有关规定结转到下年或以后年度继续使用的资金。</w:t>
      </w:r>
    </w:p>
    <w:p>
      <w:pPr>
        <w:spacing w:line="560" w:lineRule="exact"/>
        <w:ind w:firstLine="640" w:firstLineChars="200"/>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9.一般公共服务（类）发展与改革事务（款）战略规划与实施（项）</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反映拟定并组织实施国民经济和社会发展战略、中长期规划和年度计划，实施宏观管理与调控等方面的支出。</w:t>
      </w:r>
    </w:p>
    <w:p>
      <w:pPr>
        <w:spacing w:line="560" w:lineRule="exact"/>
        <w:ind w:firstLine="640" w:firstLineChars="200"/>
        <w:rPr>
          <w:rFonts w:ascii="仿宋_GB2312" w:eastAsia="仿宋_GB2312"/>
          <w:color w:val="000000"/>
          <w:kern w:val="0"/>
          <w:sz w:val="32"/>
          <w:szCs w:val="32"/>
        </w:rPr>
      </w:pPr>
      <w:r>
        <w:rPr>
          <w:rFonts w:hint="eastAsia" w:ascii="仿宋_GB2312" w:eastAsia="仿宋_GB2312" w:cs="仿宋_GB2312"/>
          <w:color w:val="000000"/>
          <w:kern w:val="0"/>
          <w:sz w:val="32"/>
          <w:szCs w:val="32"/>
        </w:rPr>
        <w:t>10.一般公共服务（类）其他共产党事务支出（款）一般行政管理事务（项）</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 xml:space="preserve"> 反映行政单位（包括实行公务员管理的事业单位）未单独设置项级科目的其他项目支出。</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1</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公共安全支出（类）公安（款）行政运行（项）</w:t>
      </w:r>
      <w:r>
        <w:rPr>
          <w:rFonts w:ascii="仿宋_GB2312" w:eastAsia="仿宋_GB2312" w:cs="仿宋_GB2312"/>
          <w:color w:val="000000"/>
          <w:kern w:val="0"/>
          <w:sz w:val="32"/>
          <w:szCs w:val="32"/>
        </w:rPr>
        <w:t xml:space="preserve">: </w:t>
      </w:r>
      <w:r>
        <w:rPr>
          <w:rFonts w:hint="eastAsia" w:ascii="仿宋_GB2312" w:eastAsia="仿宋_GB2312" w:cs="仿宋_GB2312"/>
          <w:color w:val="000000"/>
          <w:kern w:val="0"/>
          <w:sz w:val="32"/>
          <w:szCs w:val="32"/>
        </w:rPr>
        <w:t>反映行政单位的基本支出。</w:t>
      </w:r>
    </w:p>
    <w:p>
      <w:pPr>
        <w:spacing w:line="560" w:lineRule="exact"/>
        <w:ind w:firstLine="640" w:firstLineChars="200"/>
        <w:rPr>
          <w:rFonts w:ascii="仿宋_GB2312" w:eastAsia="仿宋_GB2312"/>
          <w:color w:val="000000"/>
          <w:kern w:val="0"/>
          <w:sz w:val="32"/>
          <w:szCs w:val="32"/>
        </w:rPr>
      </w:pP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2</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公共安全支出（类）公安（款）一般行政管理事务（项）</w:t>
      </w:r>
      <w:r>
        <w:rPr>
          <w:rFonts w:ascii="仿宋_GB2312" w:eastAsia="仿宋_GB2312" w:cs="仿宋_GB2312"/>
          <w:color w:val="000000"/>
          <w:kern w:val="0"/>
          <w:sz w:val="32"/>
          <w:szCs w:val="32"/>
        </w:rPr>
        <w:t xml:space="preserve">: </w:t>
      </w:r>
      <w:r>
        <w:rPr>
          <w:rFonts w:hint="eastAsia" w:ascii="仿宋_GB2312" w:eastAsia="仿宋_GB2312" w:cs="仿宋_GB2312"/>
          <w:color w:val="000000"/>
          <w:kern w:val="0"/>
          <w:sz w:val="32"/>
          <w:szCs w:val="32"/>
        </w:rPr>
        <w:t>反映行政单位未单独设置项级科目的其他项目支出。</w:t>
      </w:r>
    </w:p>
    <w:p>
      <w:pPr>
        <w:spacing w:line="560" w:lineRule="exact"/>
        <w:ind w:firstLine="640" w:firstLineChars="200"/>
        <w:rPr>
          <w:rFonts w:ascii="仿宋_GB2312" w:eastAsia="仿宋_GB2312" w:cs="仿宋_GB2312"/>
          <w:color w:val="000000"/>
          <w:kern w:val="0"/>
          <w:sz w:val="32"/>
          <w:szCs w:val="32"/>
        </w:rPr>
      </w:pP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3</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公共安全支出（类）公安（款）执法办案（项）</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反映公安机关从事行政执法、刑事司法及侦查办案等相关活动的支出。</w:t>
      </w:r>
    </w:p>
    <w:p>
      <w:pPr>
        <w:spacing w:line="560" w:lineRule="exact"/>
        <w:ind w:firstLine="640" w:firstLineChars="200"/>
        <w:rPr>
          <w:rFonts w:ascii="仿宋_GB2312" w:eastAsia="仿宋_GB2312"/>
          <w:color w:val="000000"/>
          <w:kern w:val="0"/>
          <w:sz w:val="32"/>
          <w:szCs w:val="32"/>
        </w:rPr>
      </w:pP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4</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公共安全支出（类）公安（款）其他公安支出（项）</w:t>
      </w:r>
      <w:r>
        <w:rPr>
          <w:rFonts w:ascii="仿宋_GB2312" w:eastAsia="仿宋_GB2312" w:cs="仿宋_GB2312"/>
          <w:color w:val="000000"/>
          <w:kern w:val="0"/>
          <w:sz w:val="32"/>
          <w:szCs w:val="32"/>
        </w:rPr>
        <w:t xml:space="preserve">: </w:t>
      </w:r>
      <w:r>
        <w:rPr>
          <w:rFonts w:hint="eastAsia" w:ascii="仿宋_GB2312" w:eastAsia="仿宋_GB2312" w:cs="仿宋_GB2312"/>
          <w:color w:val="000000"/>
          <w:kern w:val="0"/>
          <w:sz w:val="32"/>
          <w:szCs w:val="32"/>
        </w:rPr>
        <w:t>反映公安部门其他业务支出。</w:t>
      </w:r>
      <w:r>
        <w:rPr>
          <w:rFonts w:ascii="仿宋_GB2312" w:eastAsia="仿宋_GB2312"/>
          <w:color w:val="000000"/>
          <w:kern w:val="0"/>
          <w:sz w:val="32"/>
          <w:szCs w:val="32"/>
        </w:rPr>
        <w:t xml:space="preserve"> </w:t>
      </w:r>
    </w:p>
    <w:p>
      <w:pPr>
        <w:spacing w:line="560" w:lineRule="exact"/>
        <w:ind w:firstLine="640" w:firstLineChars="200"/>
        <w:rPr>
          <w:rFonts w:ascii="仿宋_GB2312" w:eastAsia="仿宋_GB2312"/>
          <w:color w:val="000000"/>
          <w:kern w:val="0"/>
          <w:sz w:val="32"/>
          <w:szCs w:val="32"/>
        </w:rPr>
      </w:pP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5</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社会保障和就业（类）行政事业单位养老支出（款）行政单位离退休（项）</w:t>
      </w:r>
      <w:r>
        <w:rPr>
          <w:rFonts w:ascii="仿宋_GB2312" w:eastAsia="仿宋_GB2312" w:cs="仿宋_GB2312"/>
          <w:color w:val="000000"/>
          <w:kern w:val="0"/>
          <w:sz w:val="32"/>
          <w:szCs w:val="32"/>
        </w:rPr>
        <w:t xml:space="preserve">: </w:t>
      </w:r>
      <w:r>
        <w:rPr>
          <w:rFonts w:hint="eastAsia" w:ascii="仿宋_GB2312" w:eastAsia="仿宋_GB2312" w:cs="仿宋_GB2312"/>
          <w:color w:val="000000"/>
          <w:kern w:val="0"/>
          <w:sz w:val="32"/>
          <w:szCs w:val="32"/>
        </w:rPr>
        <w:t>反映行政单位开支的离退休费。</w:t>
      </w:r>
    </w:p>
    <w:p>
      <w:pPr>
        <w:spacing w:line="560" w:lineRule="exact"/>
        <w:ind w:firstLine="640" w:firstLineChars="200"/>
        <w:rPr>
          <w:rFonts w:ascii="仿宋_GB2312" w:eastAsia="仿宋_GB2312"/>
          <w:color w:val="000000"/>
          <w:kern w:val="0"/>
          <w:sz w:val="32"/>
          <w:szCs w:val="32"/>
        </w:rPr>
      </w:pPr>
      <w:r>
        <w:rPr>
          <w:rFonts w:hint="eastAsia" w:ascii="仿宋_GB2312" w:eastAsia="仿宋_GB2312" w:cs="仿宋_GB2312"/>
          <w:color w:val="000000"/>
          <w:kern w:val="0"/>
          <w:sz w:val="32"/>
          <w:szCs w:val="32"/>
        </w:rPr>
        <w:t>16</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社会保障和就业（类）行政事业单位养老支出（款）机关事业单位基本养老保险缴费支出（项）</w:t>
      </w:r>
      <w:r>
        <w:rPr>
          <w:rFonts w:ascii="仿宋_GB2312" w:eastAsia="仿宋_GB2312" w:cs="仿宋_GB2312"/>
          <w:color w:val="000000"/>
          <w:kern w:val="0"/>
          <w:sz w:val="32"/>
          <w:szCs w:val="32"/>
        </w:rPr>
        <w:t xml:space="preserve">: </w:t>
      </w:r>
      <w:r>
        <w:rPr>
          <w:rFonts w:hint="eastAsia" w:ascii="仿宋_GB2312" w:eastAsia="仿宋_GB2312" w:cs="仿宋_GB2312"/>
          <w:color w:val="000000"/>
          <w:kern w:val="0"/>
          <w:sz w:val="32"/>
          <w:szCs w:val="32"/>
        </w:rPr>
        <w:t>反映机关事业单位实施养老保险制度由单位缴纳的基本养老保险费支出。</w:t>
      </w:r>
    </w:p>
    <w:p>
      <w:pPr>
        <w:spacing w:line="560" w:lineRule="exact"/>
        <w:ind w:firstLine="640" w:firstLineChars="200"/>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17</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社会保障和就业（类）行政事业单位养老支出（款）机关事业单位职业年金缴费支出（项）</w:t>
      </w:r>
      <w:r>
        <w:rPr>
          <w:rFonts w:ascii="仿宋_GB2312" w:eastAsia="仿宋_GB2312" w:cs="仿宋_GB2312"/>
          <w:color w:val="000000"/>
          <w:kern w:val="0"/>
          <w:sz w:val="32"/>
          <w:szCs w:val="32"/>
        </w:rPr>
        <w:t xml:space="preserve">: </w:t>
      </w:r>
      <w:r>
        <w:rPr>
          <w:rFonts w:hint="eastAsia" w:ascii="仿宋_GB2312" w:eastAsia="仿宋_GB2312" w:cs="仿宋_GB2312"/>
          <w:color w:val="000000"/>
          <w:kern w:val="0"/>
          <w:sz w:val="32"/>
          <w:szCs w:val="32"/>
        </w:rPr>
        <w:t>反映机关事业单位实施养老保险制度由单位实际缴纳的职业年金支出。</w:t>
      </w:r>
    </w:p>
    <w:p>
      <w:pPr>
        <w:spacing w:line="560" w:lineRule="exact"/>
        <w:ind w:firstLine="640" w:firstLineChars="200"/>
        <w:rPr>
          <w:rFonts w:ascii="仿宋_GB2312" w:eastAsia="仿宋_GB2312"/>
          <w:color w:val="000000"/>
          <w:kern w:val="0"/>
          <w:sz w:val="32"/>
          <w:szCs w:val="32"/>
        </w:rPr>
      </w:pPr>
      <w:r>
        <w:rPr>
          <w:rFonts w:hint="eastAsia" w:ascii="仿宋_GB2312" w:eastAsia="仿宋_GB2312" w:cs="仿宋_GB2312"/>
          <w:color w:val="000000"/>
          <w:kern w:val="0"/>
          <w:sz w:val="32"/>
          <w:szCs w:val="32"/>
        </w:rPr>
        <w:t>18.社会保障和就业（类）行政事业单位养老支出（款）其他行政事业单位养老支出（项）</w:t>
      </w:r>
      <w:r>
        <w:rPr>
          <w:rFonts w:ascii="仿宋_GB2312" w:eastAsia="仿宋_GB2312" w:cs="仿宋_GB2312"/>
          <w:color w:val="000000"/>
          <w:kern w:val="0"/>
          <w:sz w:val="32"/>
          <w:szCs w:val="32"/>
        </w:rPr>
        <w:t xml:space="preserve">: </w:t>
      </w:r>
      <w:r>
        <w:rPr>
          <w:rFonts w:hint="eastAsia" w:ascii="仿宋_GB2312" w:eastAsia="仿宋_GB2312" w:cs="仿宋_GB2312"/>
          <w:color w:val="000000"/>
          <w:kern w:val="0"/>
          <w:sz w:val="32"/>
          <w:szCs w:val="32"/>
        </w:rPr>
        <w:t>反映除上述项目以外其他用于行政事业单位养老方面的支出。</w:t>
      </w:r>
    </w:p>
    <w:p>
      <w:pPr>
        <w:spacing w:line="560" w:lineRule="exact"/>
        <w:ind w:firstLine="640" w:firstLineChars="200"/>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19</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社会保障和就业（类）抚恤（款）死亡抚恤（项）</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反映按规定用于烈士和牺牲、病故人员家属的一次性和定期抚恤金以及丧葬补助费。</w:t>
      </w:r>
    </w:p>
    <w:p>
      <w:pPr>
        <w:spacing w:line="560" w:lineRule="exact"/>
        <w:ind w:firstLine="640" w:firstLineChars="200"/>
        <w:rPr>
          <w:rFonts w:ascii="仿宋_GB2312" w:eastAsia="仿宋_GB2312" w:cs="仿宋_GB2312"/>
          <w:color w:val="000000"/>
          <w:kern w:val="0"/>
          <w:sz w:val="32"/>
          <w:szCs w:val="32"/>
        </w:rPr>
      </w:pPr>
      <w:r>
        <w:rPr>
          <w:rFonts w:ascii="仿宋_GB2312" w:eastAsia="仿宋_GB2312" w:cs="仿宋_GB2312"/>
          <w:color w:val="000000"/>
          <w:kern w:val="0"/>
          <w:sz w:val="32"/>
          <w:szCs w:val="32"/>
        </w:rPr>
        <w:t>2</w:t>
      </w:r>
      <w:r>
        <w:rPr>
          <w:rFonts w:hint="eastAsia" w:ascii="仿宋_GB2312" w:eastAsia="仿宋_GB2312" w:cs="仿宋_GB2312"/>
          <w:color w:val="000000"/>
          <w:kern w:val="0"/>
          <w:sz w:val="32"/>
          <w:szCs w:val="32"/>
        </w:rPr>
        <w:t>0</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卫生健康（类）行政事业单位医疗（款）行政单位医疗（项）</w:t>
      </w:r>
      <w:r>
        <w:rPr>
          <w:rFonts w:ascii="仿宋_GB2312" w:eastAsia="仿宋_GB2312" w:cs="仿宋_GB2312"/>
          <w:color w:val="000000"/>
          <w:kern w:val="0"/>
          <w:sz w:val="32"/>
          <w:szCs w:val="32"/>
        </w:rPr>
        <w:t xml:space="preserve">: </w:t>
      </w:r>
      <w:r>
        <w:rPr>
          <w:rFonts w:hint="eastAsia" w:ascii="仿宋_GB2312" w:eastAsia="仿宋_GB2312" w:cs="仿宋_GB2312"/>
          <w:color w:val="000000"/>
          <w:kern w:val="0"/>
          <w:sz w:val="32"/>
          <w:szCs w:val="32"/>
        </w:rPr>
        <w:t>反映财政部门安排的行政单位基本医疗保险缴费经费，未参加医疗保险的行政单位的公费医疗经费，按国家规定享受离休人员，红军老战士待遇人员的医疗经费。</w:t>
      </w:r>
    </w:p>
    <w:p>
      <w:pPr>
        <w:spacing w:line="560" w:lineRule="exact"/>
        <w:ind w:firstLine="640" w:firstLineChars="200"/>
        <w:rPr>
          <w:rFonts w:ascii="仿宋_GB2312" w:eastAsia="仿宋_GB2312"/>
          <w:color w:val="000000"/>
          <w:kern w:val="0"/>
          <w:sz w:val="32"/>
          <w:szCs w:val="32"/>
        </w:rPr>
      </w:pPr>
      <w:r>
        <w:rPr>
          <w:rFonts w:ascii="仿宋_GB2312" w:eastAsia="仿宋_GB2312" w:cs="仿宋_GB2312"/>
          <w:color w:val="000000"/>
          <w:kern w:val="0"/>
          <w:sz w:val="32"/>
          <w:szCs w:val="32"/>
        </w:rPr>
        <w:t>2</w:t>
      </w:r>
      <w:r>
        <w:rPr>
          <w:rFonts w:hint="eastAsia" w:ascii="仿宋_GB2312" w:eastAsia="仿宋_GB2312" w:cs="仿宋_GB2312"/>
          <w:color w:val="000000"/>
          <w:kern w:val="0"/>
          <w:sz w:val="32"/>
          <w:szCs w:val="32"/>
        </w:rPr>
        <w:t>1</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住房保障支出（类）住房改革支出（款）住房公积金（项）：用于机关及下属事业单位按照规定标准为职工缴纳住房公积金等支出。</w:t>
      </w:r>
    </w:p>
    <w:p>
      <w:pPr>
        <w:spacing w:line="560" w:lineRule="exact"/>
        <w:ind w:firstLine="640" w:firstLineChars="200"/>
        <w:rPr>
          <w:rFonts w:ascii="仿宋_GB2312" w:eastAsia="仿宋_GB2312"/>
          <w:color w:val="000000"/>
          <w:kern w:val="0"/>
          <w:sz w:val="32"/>
          <w:szCs w:val="32"/>
        </w:rPr>
      </w:pPr>
      <w:r>
        <w:rPr>
          <w:rFonts w:ascii="仿宋_GB2312" w:eastAsia="仿宋_GB2312" w:cs="仿宋_GB2312"/>
          <w:color w:val="000000"/>
          <w:kern w:val="0"/>
          <w:sz w:val="32"/>
          <w:szCs w:val="32"/>
        </w:rPr>
        <w:t>2</w:t>
      </w:r>
      <w:r>
        <w:rPr>
          <w:rFonts w:hint="eastAsia" w:ascii="仿宋_GB2312" w:eastAsia="仿宋_GB2312" w:cs="仿宋_GB2312"/>
          <w:color w:val="000000"/>
          <w:kern w:val="0"/>
          <w:sz w:val="32"/>
          <w:szCs w:val="32"/>
        </w:rPr>
        <w:t>2</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基本支出：指为保障机构正常运转、完成日常工作任务而发生的人员支出和公用支出。</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23</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项目支出：指在基本支出之外为完成特定行政任务和事业发展目标所发生的支出。</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24</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经营支出：指事业单位在专业业务活动及其辅助活动之外开展非独立核算经营活动发生的支出。</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25</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r>
        <w:rPr>
          <w:rFonts w:ascii="仿宋_GB2312" w:eastAsia="仿宋_GB2312"/>
          <w:color w:val="000000"/>
          <w:kern w:val="0"/>
          <w:sz w:val="32"/>
          <w:szCs w:val="32"/>
        </w:rPr>
        <w:br w:type="textWrapping"/>
      </w:r>
      <w:r>
        <w:rPr>
          <w:rFonts w:hint="eastAsia" w:ascii="仿宋_GB2312" w:eastAsia="仿宋_GB2312" w:cs="仿宋_GB2312"/>
          <w:color w:val="000000"/>
          <w:kern w:val="0"/>
          <w:sz w:val="32"/>
          <w:szCs w:val="32"/>
        </w:rPr>
        <w:t>　　26</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60" w:lineRule="exact"/>
        <w:jc w:val="center"/>
        <w:outlineLvl w:val="0"/>
        <w:rPr>
          <w:rFonts w:ascii="宋体"/>
          <w:b/>
          <w:color w:val="000000"/>
          <w:sz w:val="44"/>
          <w:szCs w:val="44"/>
        </w:rPr>
      </w:pPr>
      <w:r>
        <w:rPr>
          <w:rFonts w:ascii="宋体"/>
          <w:b/>
          <w:color w:val="000000"/>
          <w:sz w:val="44"/>
          <w:szCs w:val="44"/>
        </w:rPr>
        <w:br w:type="page"/>
      </w:r>
      <w:bookmarkStart w:id="69" w:name="_Toc15396614"/>
    </w:p>
    <w:p>
      <w:pPr>
        <w:spacing w:line="560" w:lineRule="exact"/>
        <w:jc w:val="center"/>
        <w:outlineLvl w:val="0"/>
        <w:rPr>
          <w:rStyle w:val="25"/>
          <w:rFonts w:ascii="黑体" w:hAnsi="黑体" w:eastAsia="黑体"/>
          <w:b w:val="0"/>
        </w:rPr>
      </w:pPr>
      <w:bookmarkStart w:id="70" w:name="_Toc8485"/>
      <w:r>
        <w:rPr>
          <w:rFonts w:hint="eastAsia" w:ascii="黑体" w:hAnsi="黑体" w:eastAsia="黑体"/>
          <w:color w:val="000000"/>
          <w:sz w:val="44"/>
          <w:szCs w:val="44"/>
        </w:rPr>
        <w:t>第</w:t>
      </w:r>
      <w:r>
        <w:rPr>
          <w:rStyle w:val="25"/>
          <w:rFonts w:hint="eastAsia" w:ascii="黑体" w:hAnsi="黑体" w:eastAsia="黑体"/>
          <w:b w:val="0"/>
        </w:rPr>
        <w:t>四部分</w:t>
      </w:r>
      <w:r>
        <w:rPr>
          <w:rStyle w:val="25"/>
          <w:rFonts w:ascii="黑体" w:hAnsi="黑体" w:eastAsia="黑体"/>
          <w:b w:val="0"/>
        </w:rPr>
        <w:t xml:space="preserve"> </w:t>
      </w:r>
      <w:r>
        <w:rPr>
          <w:rStyle w:val="25"/>
          <w:rFonts w:hint="eastAsia" w:ascii="黑体" w:hAnsi="黑体" w:eastAsia="黑体"/>
          <w:b w:val="0"/>
        </w:rPr>
        <w:t>附件</w:t>
      </w:r>
      <w:bookmarkEnd w:id="69"/>
      <w:bookmarkEnd w:id="70"/>
    </w:p>
    <w:p>
      <w:pPr>
        <w:spacing w:line="560" w:lineRule="exact"/>
        <w:jc w:val="left"/>
        <w:outlineLvl w:val="0"/>
        <w:rPr>
          <w:rFonts w:ascii="方正小标宋简体" w:hAnsi="方正小标宋简体" w:eastAsia="方正小标宋简体" w:cs="方正小标宋简体"/>
          <w:sz w:val="32"/>
          <w:szCs w:val="32"/>
        </w:rPr>
      </w:pPr>
      <w:bookmarkStart w:id="71" w:name="_Toc30099"/>
      <w:r>
        <w:rPr>
          <w:rFonts w:hint="eastAsia" w:ascii="黑体" w:hAnsi="黑体" w:eastAsia="黑体" w:cs="黑体"/>
          <w:sz w:val="32"/>
          <w:szCs w:val="32"/>
        </w:rPr>
        <w:t>附件</w:t>
      </w:r>
      <w:r>
        <w:rPr>
          <w:rFonts w:ascii="黑体" w:hAnsi="黑体" w:eastAsia="黑体" w:cs="黑体"/>
          <w:sz w:val="32"/>
          <w:szCs w:val="32"/>
        </w:rPr>
        <w:t>1</w:t>
      </w:r>
      <w:bookmarkEnd w:id="71"/>
    </w:p>
    <w:p>
      <w:pPr>
        <w:spacing w:line="560" w:lineRule="exact"/>
        <w:jc w:val="center"/>
        <w:rPr>
          <w:rFonts w:ascii="方正小标宋简体" w:hAnsi="宋体" w:eastAsia="方正小标宋简体"/>
          <w:color w:val="000000"/>
          <w:kern w:val="0"/>
          <w:sz w:val="40"/>
          <w:szCs w:val="44"/>
        </w:rPr>
      </w:pPr>
    </w:p>
    <w:p>
      <w:pPr>
        <w:spacing w:line="560" w:lineRule="exact"/>
        <w:jc w:val="center"/>
        <w:rPr>
          <w:rFonts w:ascii="方正小标宋简体" w:hAnsi="宋体" w:eastAsia="方正小标宋简体"/>
          <w:color w:val="000000"/>
          <w:kern w:val="0"/>
          <w:sz w:val="40"/>
          <w:szCs w:val="44"/>
        </w:rPr>
      </w:pPr>
      <w:r>
        <w:rPr>
          <w:rFonts w:hint="eastAsia" w:ascii="方正小标宋简体" w:hAnsi="宋体" w:eastAsia="方正小标宋简体"/>
          <w:color w:val="000000"/>
          <w:kern w:val="0"/>
          <w:sz w:val="40"/>
          <w:szCs w:val="44"/>
        </w:rPr>
        <w:t>乐山市公安局机关</w:t>
      </w:r>
      <w:r>
        <w:rPr>
          <w:rFonts w:ascii="方正小标宋简体" w:hAnsi="宋体" w:eastAsia="方正小标宋简体"/>
          <w:color w:val="000000"/>
          <w:kern w:val="0"/>
          <w:sz w:val="40"/>
          <w:szCs w:val="44"/>
        </w:rPr>
        <w:t>2020</w:t>
      </w:r>
      <w:r>
        <w:rPr>
          <w:rFonts w:hint="eastAsia" w:ascii="方正小标宋简体" w:hAnsi="宋体" w:eastAsia="方正小标宋简体"/>
          <w:color w:val="000000"/>
          <w:kern w:val="0"/>
          <w:sz w:val="40"/>
          <w:szCs w:val="44"/>
        </w:rPr>
        <w:t>年</w:t>
      </w:r>
    </w:p>
    <w:p>
      <w:pPr>
        <w:spacing w:line="560" w:lineRule="exact"/>
        <w:jc w:val="center"/>
        <w:rPr>
          <w:rFonts w:ascii="方正小标宋简体" w:hAnsi="宋体" w:eastAsia="方正小标宋简体"/>
          <w:color w:val="000000"/>
          <w:kern w:val="0"/>
          <w:sz w:val="40"/>
          <w:szCs w:val="44"/>
          <w:lang w:val="zh-CN"/>
        </w:rPr>
      </w:pPr>
      <w:r>
        <w:rPr>
          <w:rFonts w:hint="eastAsia" w:ascii="方正小标宋简体" w:hAnsi="宋体" w:eastAsia="方正小标宋简体"/>
          <w:color w:val="000000"/>
          <w:kern w:val="0"/>
          <w:sz w:val="40"/>
          <w:szCs w:val="44"/>
        </w:rPr>
        <w:t>部门</w:t>
      </w:r>
      <w:r>
        <w:rPr>
          <w:rFonts w:hint="eastAsia" w:ascii="方正小标宋简体" w:hAnsi="宋体" w:eastAsia="方正小标宋简体"/>
          <w:color w:val="000000"/>
          <w:kern w:val="0"/>
          <w:sz w:val="40"/>
          <w:szCs w:val="44"/>
          <w:lang w:val="zh-CN"/>
        </w:rPr>
        <w:t>整体支出绩效评价报告</w:t>
      </w:r>
    </w:p>
    <w:p>
      <w:pPr>
        <w:widowControl/>
        <w:adjustRightInd w:val="0"/>
        <w:snapToGrid w:val="0"/>
        <w:spacing w:line="560" w:lineRule="exact"/>
        <w:ind w:firstLine="480" w:firstLineChars="200"/>
        <w:contextualSpacing/>
        <w:jc w:val="left"/>
        <w:rPr>
          <w:rFonts w:ascii="黑体" w:hAnsi="宋体" w:eastAsia="黑体" w:cs="宋体"/>
          <w:color w:val="000000"/>
          <w:kern w:val="0"/>
          <w:sz w:val="24"/>
          <w:szCs w:val="32"/>
          <w:shd w:val="clear" w:color="auto" w:fill="FFFFFF"/>
        </w:rPr>
      </w:pPr>
    </w:p>
    <w:p>
      <w:pPr>
        <w:widowControl/>
        <w:adjustRightInd w:val="0"/>
        <w:snapToGrid w:val="0"/>
        <w:spacing w:line="560" w:lineRule="exact"/>
        <w:ind w:firstLine="640" w:firstLineChars="200"/>
        <w:contextualSpacing/>
        <w:jc w:val="left"/>
        <w:rPr>
          <w:rFonts w:ascii="黑体" w:hAnsi="宋体" w:eastAsia="黑体" w:cs="宋体"/>
          <w:color w:val="000000"/>
          <w:kern w:val="0"/>
          <w:sz w:val="32"/>
          <w:szCs w:val="32"/>
          <w:shd w:val="clear" w:color="auto" w:fill="FFFFFF"/>
          <w:lang w:val="zh-CN"/>
        </w:rPr>
      </w:pPr>
      <w:r>
        <w:rPr>
          <w:rFonts w:hint="eastAsia" w:ascii="黑体" w:hAnsi="宋体" w:eastAsia="黑体" w:cs="宋体"/>
          <w:color w:val="000000"/>
          <w:kern w:val="0"/>
          <w:sz w:val="32"/>
          <w:szCs w:val="32"/>
          <w:shd w:val="clear" w:color="auto" w:fill="FFFFFF"/>
        </w:rPr>
        <w:t>一、</w:t>
      </w:r>
      <w:r>
        <w:rPr>
          <w:rFonts w:hint="eastAsia" w:ascii="黑体" w:hAnsi="宋体" w:eastAsia="黑体" w:cs="宋体"/>
          <w:color w:val="000000"/>
          <w:kern w:val="0"/>
          <w:sz w:val="32"/>
          <w:szCs w:val="32"/>
          <w:shd w:val="clear" w:color="auto" w:fill="FFFFFF"/>
          <w:lang w:val="zh-CN"/>
        </w:rPr>
        <w:t>部门（单位）概况</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（一）机构组成。</w:t>
      </w:r>
    </w:p>
    <w:p>
      <w:pPr>
        <w:widowControl/>
        <w:adjustRightInd w:val="0"/>
        <w:snapToGrid w:val="0"/>
        <w:spacing w:line="560" w:lineRule="exact"/>
        <w:ind w:firstLine="640" w:firstLineChars="200"/>
        <w:contextualSpacing/>
        <w:jc w:val="left"/>
        <w:rPr>
          <w:rFonts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乐山市公安局机关下属二级单位</w:t>
      </w:r>
      <w:r>
        <w:rPr>
          <w:rFonts w:ascii="仿宋_GB2312" w:hAnsi="宋体" w:eastAsia="仿宋_GB2312" w:cs="仿宋_GB2312"/>
          <w:kern w:val="0"/>
          <w:sz w:val="32"/>
          <w:szCs w:val="32"/>
          <w:shd w:val="clear" w:color="auto" w:fill="FFFFFF"/>
        </w:rPr>
        <w:t>0</w:t>
      </w:r>
      <w:r>
        <w:rPr>
          <w:rFonts w:hint="eastAsia" w:ascii="仿宋_GB2312" w:hAnsi="宋体" w:eastAsia="仿宋_GB2312" w:cs="仿宋_GB2312"/>
          <w:kern w:val="0"/>
          <w:sz w:val="32"/>
          <w:szCs w:val="32"/>
          <w:shd w:val="clear" w:color="auto" w:fill="FFFFFF"/>
        </w:rPr>
        <w:t>个，其中行政单位</w:t>
      </w:r>
      <w:r>
        <w:rPr>
          <w:rFonts w:ascii="仿宋_GB2312" w:hAnsi="宋体" w:eastAsia="仿宋_GB2312" w:cs="仿宋_GB2312"/>
          <w:kern w:val="0"/>
          <w:sz w:val="32"/>
          <w:szCs w:val="32"/>
          <w:shd w:val="clear" w:color="auto" w:fill="FFFFFF"/>
        </w:rPr>
        <w:t>0</w:t>
      </w:r>
      <w:r>
        <w:rPr>
          <w:rFonts w:hint="eastAsia" w:ascii="仿宋_GB2312" w:hAnsi="宋体" w:eastAsia="仿宋_GB2312" w:cs="仿宋_GB2312"/>
          <w:kern w:val="0"/>
          <w:sz w:val="32"/>
          <w:szCs w:val="32"/>
          <w:shd w:val="clear" w:color="auto" w:fill="FFFFFF"/>
        </w:rPr>
        <w:t>个，参照公务员法管理的事业单位</w:t>
      </w:r>
      <w:r>
        <w:rPr>
          <w:rFonts w:ascii="仿宋_GB2312" w:hAnsi="宋体" w:eastAsia="仿宋_GB2312" w:cs="仿宋_GB2312"/>
          <w:kern w:val="0"/>
          <w:sz w:val="32"/>
          <w:szCs w:val="32"/>
          <w:shd w:val="clear" w:color="auto" w:fill="FFFFFF"/>
        </w:rPr>
        <w:t>0</w:t>
      </w:r>
      <w:r>
        <w:rPr>
          <w:rFonts w:hint="eastAsia" w:ascii="仿宋_GB2312" w:hAnsi="宋体" w:eastAsia="仿宋_GB2312" w:cs="仿宋_GB2312"/>
          <w:kern w:val="0"/>
          <w:sz w:val="32"/>
          <w:szCs w:val="32"/>
          <w:shd w:val="clear" w:color="auto" w:fill="FFFFFF"/>
        </w:rPr>
        <w:t>个，其他事业单位</w:t>
      </w:r>
      <w:r>
        <w:rPr>
          <w:rFonts w:ascii="仿宋_GB2312" w:hAnsi="宋体" w:eastAsia="仿宋_GB2312" w:cs="仿宋_GB2312"/>
          <w:kern w:val="0"/>
          <w:sz w:val="32"/>
          <w:szCs w:val="32"/>
          <w:shd w:val="clear" w:color="auto" w:fill="FFFFFF"/>
        </w:rPr>
        <w:t>0</w:t>
      </w:r>
      <w:r>
        <w:rPr>
          <w:rFonts w:hint="eastAsia" w:ascii="仿宋_GB2312" w:hAnsi="宋体" w:eastAsia="仿宋_GB2312" w:cs="仿宋_GB2312"/>
          <w:kern w:val="0"/>
          <w:sz w:val="32"/>
          <w:szCs w:val="32"/>
          <w:shd w:val="clear" w:color="auto" w:fill="FFFFFF"/>
        </w:rPr>
        <w:t xml:space="preserve">个。 </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（二）机构职能。</w:t>
      </w:r>
    </w:p>
    <w:p>
      <w:pPr>
        <w:pStyle w:val="5"/>
        <w:adjustRightInd w:val="0"/>
        <w:snapToGrid w:val="0"/>
        <w:spacing w:beforeLines="0" w:line="560" w:lineRule="exact"/>
        <w:ind w:firstLine="672" w:firstLineChars="210"/>
        <w:rPr>
          <w:rFonts w:hAnsi="宋体" w:cs="宋体"/>
          <w:color w:val="000000"/>
          <w:sz w:val="32"/>
          <w:szCs w:val="32"/>
          <w:shd w:val="clear" w:color="auto" w:fill="FFFFFF"/>
          <w:lang w:val="zh-CN"/>
        </w:rPr>
      </w:pPr>
      <w:r>
        <w:rPr>
          <w:rFonts w:hint="eastAsia" w:hAnsi="宋体" w:cs="仿宋_GB2312"/>
          <w:sz w:val="32"/>
          <w:szCs w:val="32"/>
          <w:shd w:val="clear" w:color="auto" w:fill="FFFFFF"/>
        </w:rPr>
        <w:t>乐山市公安局机关</w:t>
      </w:r>
      <w:r>
        <w:rPr>
          <w:rFonts w:hAnsi="宋体" w:cs="宋体"/>
          <w:color w:val="000000"/>
          <w:sz w:val="32"/>
          <w:szCs w:val="32"/>
          <w:shd w:val="clear" w:color="auto" w:fill="FFFFFF"/>
          <w:lang w:val="zh-CN"/>
        </w:rPr>
        <w:t>是主管全市治安行政管理和刑事执法的，不同于一般行政机关的，具有武装性质的市政府工作部门。</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（三）人员概况。</w:t>
      </w:r>
    </w:p>
    <w:p>
      <w:pPr>
        <w:spacing w:line="560" w:lineRule="exact"/>
        <w:ind w:firstLine="800" w:firstLineChars="250"/>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2020年底，</w:t>
      </w:r>
      <w:r>
        <w:rPr>
          <w:rFonts w:hint="eastAsia" w:ascii="仿宋_GB2312" w:hAnsi="宋体" w:eastAsia="仿宋_GB2312" w:cs="仿宋_GB2312"/>
          <w:kern w:val="0"/>
          <w:sz w:val="32"/>
          <w:szCs w:val="32"/>
          <w:shd w:val="clear" w:color="auto" w:fill="FFFFFF"/>
        </w:rPr>
        <w:t>乐山市公安局机关</w:t>
      </w:r>
      <w:r>
        <w:rPr>
          <w:rFonts w:hint="eastAsia" w:ascii="仿宋_GB2312" w:hAnsi="宋体" w:eastAsia="仿宋_GB2312" w:cs="宋体"/>
          <w:color w:val="000000"/>
          <w:kern w:val="0"/>
          <w:sz w:val="32"/>
          <w:szCs w:val="32"/>
          <w:shd w:val="clear" w:color="auto" w:fill="FFFFFF"/>
          <w:lang w:val="zh-CN"/>
        </w:rPr>
        <w:t>总编制1</w:t>
      </w:r>
      <w:r>
        <w:rPr>
          <w:rFonts w:hint="eastAsia" w:ascii="仿宋_GB2312" w:hAnsi="宋体" w:eastAsia="仿宋_GB2312" w:cs="宋体"/>
          <w:color w:val="000000"/>
          <w:kern w:val="0"/>
          <w:sz w:val="32"/>
          <w:szCs w:val="32"/>
          <w:shd w:val="clear" w:color="auto" w:fill="FFFFFF"/>
        </w:rPr>
        <w:t>121</w:t>
      </w:r>
      <w:r>
        <w:rPr>
          <w:rFonts w:hint="eastAsia" w:ascii="仿宋_GB2312" w:hAnsi="宋体" w:eastAsia="仿宋_GB2312" w:cs="宋体"/>
          <w:color w:val="000000"/>
          <w:kern w:val="0"/>
          <w:sz w:val="32"/>
          <w:szCs w:val="32"/>
          <w:shd w:val="clear" w:color="auto" w:fill="FFFFFF"/>
          <w:lang w:val="zh-CN"/>
        </w:rPr>
        <w:t>个，其中：行政编制</w:t>
      </w:r>
      <w:r>
        <w:rPr>
          <w:rFonts w:hint="eastAsia" w:ascii="仿宋_GB2312" w:hAnsi="宋体" w:eastAsia="仿宋_GB2312" w:cs="宋体"/>
          <w:color w:val="000000"/>
          <w:kern w:val="0"/>
          <w:sz w:val="32"/>
          <w:szCs w:val="32"/>
          <w:shd w:val="clear" w:color="auto" w:fill="FFFFFF"/>
        </w:rPr>
        <w:t>1106</w:t>
      </w:r>
      <w:r>
        <w:rPr>
          <w:rFonts w:hint="eastAsia" w:ascii="仿宋_GB2312" w:hAnsi="宋体" w:eastAsia="仿宋_GB2312" w:cs="宋体"/>
          <w:color w:val="000000"/>
          <w:kern w:val="0"/>
          <w:sz w:val="32"/>
          <w:szCs w:val="32"/>
          <w:shd w:val="clear" w:color="auto" w:fill="FFFFFF"/>
          <w:lang w:val="zh-CN"/>
        </w:rPr>
        <w:t>个，工勤编制</w:t>
      </w:r>
      <w:r>
        <w:rPr>
          <w:rFonts w:hint="eastAsia" w:ascii="仿宋_GB2312" w:hAnsi="宋体" w:eastAsia="仿宋_GB2312" w:cs="宋体"/>
          <w:color w:val="000000"/>
          <w:kern w:val="0"/>
          <w:sz w:val="32"/>
          <w:szCs w:val="32"/>
          <w:shd w:val="clear" w:color="auto" w:fill="FFFFFF"/>
        </w:rPr>
        <w:t>15</w:t>
      </w:r>
      <w:r>
        <w:rPr>
          <w:rFonts w:hint="eastAsia" w:ascii="仿宋_GB2312" w:hAnsi="宋体" w:eastAsia="仿宋_GB2312" w:cs="宋体"/>
          <w:color w:val="000000"/>
          <w:kern w:val="0"/>
          <w:sz w:val="32"/>
          <w:szCs w:val="32"/>
          <w:shd w:val="clear" w:color="auto" w:fill="FFFFFF"/>
          <w:lang w:val="zh-CN"/>
        </w:rPr>
        <w:t>个，事业编制（</w:t>
      </w:r>
      <w:r>
        <w:rPr>
          <w:rFonts w:ascii="仿宋_GB2312" w:hAnsi="宋体" w:eastAsia="仿宋_GB2312" w:cs="宋体"/>
          <w:color w:val="000000"/>
          <w:kern w:val="0"/>
          <w:sz w:val="32"/>
          <w:szCs w:val="32"/>
          <w:shd w:val="clear" w:color="auto" w:fill="FFFFFF"/>
          <w:lang w:val="zh-CN"/>
        </w:rPr>
        <w:t>含</w:t>
      </w:r>
      <w:r>
        <w:rPr>
          <w:rFonts w:hint="eastAsia" w:ascii="仿宋_GB2312" w:hAnsi="宋体" w:eastAsia="仿宋_GB2312" w:cs="宋体"/>
          <w:color w:val="000000"/>
          <w:kern w:val="0"/>
          <w:sz w:val="32"/>
          <w:szCs w:val="32"/>
          <w:shd w:val="clear" w:color="auto" w:fill="FFFFFF"/>
          <w:lang w:val="zh-CN"/>
        </w:rPr>
        <w:t>参公管理事业编制）</w:t>
      </w:r>
      <w:r>
        <w:rPr>
          <w:rFonts w:hint="eastAsia" w:ascii="仿宋_GB2312" w:hAnsi="宋体" w:eastAsia="仿宋_GB2312" w:cs="宋体"/>
          <w:color w:val="000000"/>
          <w:kern w:val="0"/>
          <w:sz w:val="32"/>
          <w:szCs w:val="32"/>
          <w:shd w:val="clear" w:color="auto" w:fill="FFFFFF"/>
        </w:rPr>
        <w:t>0</w:t>
      </w:r>
      <w:r>
        <w:rPr>
          <w:rFonts w:hint="eastAsia" w:ascii="仿宋_GB2312" w:hAnsi="宋体" w:eastAsia="仿宋_GB2312" w:cs="宋体"/>
          <w:color w:val="000000"/>
          <w:kern w:val="0"/>
          <w:sz w:val="32"/>
          <w:szCs w:val="32"/>
          <w:shd w:val="clear" w:color="auto" w:fill="FFFFFF"/>
          <w:lang w:val="zh-CN"/>
        </w:rPr>
        <w:t>个。在职人员总数</w:t>
      </w:r>
      <w:r>
        <w:rPr>
          <w:rFonts w:hint="eastAsia" w:ascii="仿宋_GB2312" w:hAnsi="宋体" w:eastAsia="仿宋_GB2312" w:cs="宋体"/>
          <w:color w:val="000000"/>
          <w:kern w:val="0"/>
          <w:sz w:val="32"/>
          <w:szCs w:val="32"/>
          <w:shd w:val="clear" w:color="auto" w:fill="FFFFFF"/>
        </w:rPr>
        <w:t>636</w:t>
      </w:r>
      <w:r>
        <w:rPr>
          <w:rFonts w:hint="eastAsia" w:ascii="仿宋_GB2312" w:hAnsi="宋体" w:eastAsia="仿宋_GB2312" w:cs="宋体"/>
          <w:color w:val="000000"/>
          <w:kern w:val="0"/>
          <w:sz w:val="32"/>
          <w:szCs w:val="32"/>
          <w:shd w:val="clear" w:color="auto" w:fill="FFFFFF"/>
          <w:lang w:val="zh-CN"/>
        </w:rPr>
        <w:t>人，其中：行政</w:t>
      </w:r>
      <w:r>
        <w:rPr>
          <w:rFonts w:hint="eastAsia" w:ascii="仿宋_GB2312" w:hAnsi="宋体" w:eastAsia="仿宋_GB2312" w:cs="宋体"/>
          <w:color w:val="000000"/>
          <w:kern w:val="0"/>
          <w:sz w:val="32"/>
          <w:szCs w:val="32"/>
          <w:shd w:val="clear" w:color="auto" w:fill="FFFFFF"/>
        </w:rPr>
        <w:t>621</w:t>
      </w:r>
      <w:r>
        <w:rPr>
          <w:rFonts w:hint="eastAsia" w:ascii="仿宋_GB2312" w:hAnsi="宋体" w:eastAsia="仿宋_GB2312" w:cs="宋体"/>
          <w:color w:val="000000"/>
          <w:kern w:val="0"/>
          <w:sz w:val="32"/>
          <w:szCs w:val="32"/>
          <w:shd w:val="clear" w:color="auto" w:fill="FFFFFF"/>
          <w:lang w:val="zh-CN"/>
        </w:rPr>
        <w:t>人，工勤</w:t>
      </w:r>
      <w:r>
        <w:rPr>
          <w:rFonts w:hint="eastAsia" w:ascii="仿宋_GB2312" w:hAnsi="宋体" w:eastAsia="仿宋_GB2312" w:cs="宋体"/>
          <w:color w:val="000000"/>
          <w:kern w:val="0"/>
          <w:sz w:val="32"/>
          <w:szCs w:val="32"/>
          <w:shd w:val="clear" w:color="auto" w:fill="FFFFFF"/>
        </w:rPr>
        <w:t>15</w:t>
      </w:r>
      <w:r>
        <w:rPr>
          <w:rFonts w:hint="eastAsia" w:ascii="仿宋_GB2312" w:hAnsi="宋体" w:eastAsia="仿宋_GB2312" w:cs="宋体"/>
          <w:color w:val="000000"/>
          <w:kern w:val="0"/>
          <w:sz w:val="32"/>
          <w:szCs w:val="32"/>
          <w:shd w:val="clear" w:color="auto" w:fill="FFFFFF"/>
          <w:lang w:val="zh-CN"/>
        </w:rPr>
        <w:t>人，事业（</w:t>
      </w:r>
      <w:r>
        <w:rPr>
          <w:rFonts w:ascii="仿宋_GB2312" w:hAnsi="宋体" w:eastAsia="仿宋_GB2312" w:cs="宋体"/>
          <w:color w:val="000000"/>
          <w:kern w:val="0"/>
          <w:sz w:val="32"/>
          <w:szCs w:val="32"/>
          <w:shd w:val="clear" w:color="auto" w:fill="FFFFFF"/>
          <w:lang w:val="zh-CN"/>
        </w:rPr>
        <w:t>含</w:t>
      </w:r>
      <w:r>
        <w:rPr>
          <w:rFonts w:hint="eastAsia" w:ascii="仿宋_GB2312" w:hAnsi="宋体" w:eastAsia="仿宋_GB2312" w:cs="宋体"/>
          <w:color w:val="000000"/>
          <w:kern w:val="0"/>
          <w:sz w:val="32"/>
          <w:szCs w:val="32"/>
          <w:shd w:val="clear" w:color="auto" w:fill="FFFFFF"/>
          <w:lang w:val="zh-CN"/>
        </w:rPr>
        <w:t>参公管理事业人员）</w:t>
      </w:r>
      <w:r>
        <w:rPr>
          <w:rFonts w:hint="eastAsia" w:ascii="仿宋_GB2312" w:hAnsi="宋体" w:eastAsia="仿宋_GB2312" w:cs="宋体"/>
          <w:color w:val="000000"/>
          <w:kern w:val="0"/>
          <w:sz w:val="32"/>
          <w:szCs w:val="32"/>
          <w:shd w:val="clear" w:color="auto" w:fill="FFFFFF"/>
        </w:rPr>
        <w:t>0</w:t>
      </w:r>
      <w:r>
        <w:rPr>
          <w:rFonts w:hint="eastAsia" w:ascii="仿宋_GB2312" w:hAnsi="宋体" w:eastAsia="仿宋_GB2312" w:cs="宋体"/>
          <w:color w:val="000000"/>
          <w:kern w:val="0"/>
          <w:sz w:val="32"/>
          <w:szCs w:val="32"/>
          <w:shd w:val="clear" w:color="auto" w:fill="FFFFFF"/>
          <w:lang w:val="zh-CN"/>
        </w:rPr>
        <w:t>人。</w:t>
      </w:r>
    </w:p>
    <w:p>
      <w:pPr>
        <w:widowControl/>
        <w:adjustRightInd w:val="0"/>
        <w:snapToGrid w:val="0"/>
        <w:spacing w:line="56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二、部门财政资金收支情况</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（一）部门财政资金收入情况。</w:t>
      </w:r>
    </w:p>
    <w:p>
      <w:pPr>
        <w:widowControl/>
        <w:adjustRightInd w:val="0"/>
        <w:snapToGrid w:val="0"/>
        <w:spacing w:line="560" w:lineRule="exact"/>
        <w:ind w:firstLine="640" w:firstLineChars="200"/>
        <w:contextualSpacing/>
        <w:jc w:val="left"/>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年本年收入合计26026.09万元，其中：一般公共预算财政拨款收入26023.07万元，占99.99</w:t>
      </w:r>
      <w:r>
        <w:rPr>
          <w:rFonts w:ascii="仿宋" w:hAnsi="仿宋" w:eastAsia="仿宋"/>
          <w:color w:val="000000"/>
          <w:sz w:val="32"/>
          <w:szCs w:val="32"/>
        </w:rPr>
        <w:t>%</w:t>
      </w:r>
      <w:r>
        <w:rPr>
          <w:rFonts w:hint="eastAsia" w:ascii="仿宋" w:hAnsi="仿宋" w:eastAsia="仿宋"/>
          <w:color w:val="000000"/>
          <w:sz w:val="32"/>
          <w:szCs w:val="32"/>
        </w:rPr>
        <w:t>；政府性基金预算财政拨款收入0万元，占0</w:t>
      </w:r>
      <w:r>
        <w:rPr>
          <w:rFonts w:ascii="仿宋" w:hAnsi="仿宋" w:eastAsia="仿宋"/>
          <w:color w:val="000000"/>
          <w:sz w:val="32"/>
          <w:szCs w:val="32"/>
        </w:rPr>
        <w:t>%</w:t>
      </w:r>
      <w:r>
        <w:rPr>
          <w:rFonts w:hint="eastAsia" w:ascii="仿宋" w:hAnsi="仿宋" w:eastAsia="仿宋"/>
          <w:color w:val="000000"/>
          <w:sz w:val="32"/>
          <w:szCs w:val="32"/>
        </w:rPr>
        <w:t>；上级补助收入0万元，占0</w:t>
      </w:r>
      <w:r>
        <w:rPr>
          <w:rFonts w:ascii="仿宋" w:hAnsi="仿宋" w:eastAsia="仿宋"/>
          <w:color w:val="000000"/>
          <w:sz w:val="32"/>
          <w:szCs w:val="32"/>
        </w:rPr>
        <w:t>%</w:t>
      </w:r>
      <w:r>
        <w:rPr>
          <w:rFonts w:hint="eastAsia" w:ascii="仿宋" w:hAnsi="仿宋" w:eastAsia="仿宋"/>
          <w:color w:val="000000"/>
          <w:sz w:val="32"/>
          <w:szCs w:val="32"/>
        </w:rPr>
        <w:t>；事业收入0万元，占0</w:t>
      </w:r>
      <w:r>
        <w:rPr>
          <w:rFonts w:ascii="仿宋" w:hAnsi="仿宋" w:eastAsia="仿宋"/>
          <w:color w:val="000000"/>
          <w:sz w:val="32"/>
          <w:szCs w:val="32"/>
        </w:rPr>
        <w:t>%</w:t>
      </w:r>
      <w:r>
        <w:rPr>
          <w:rFonts w:hint="eastAsia" w:ascii="仿宋" w:hAnsi="仿宋" w:eastAsia="仿宋"/>
          <w:color w:val="000000"/>
          <w:sz w:val="32"/>
          <w:szCs w:val="32"/>
        </w:rPr>
        <w:t>；经营收入0万元，占0</w:t>
      </w:r>
      <w:r>
        <w:rPr>
          <w:rFonts w:ascii="仿宋" w:hAnsi="仿宋" w:eastAsia="仿宋"/>
          <w:color w:val="000000"/>
          <w:sz w:val="32"/>
          <w:szCs w:val="32"/>
        </w:rPr>
        <w:t>%</w:t>
      </w:r>
      <w:r>
        <w:rPr>
          <w:rFonts w:hint="eastAsia" w:ascii="仿宋" w:hAnsi="仿宋" w:eastAsia="仿宋"/>
          <w:color w:val="000000"/>
          <w:sz w:val="32"/>
          <w:szCs w:val="32"/>
        </w:rPr>
        <w:t>；附属单位上缴收入0万元，占0</w:t>
      </w:r>
      <w:r>
        <w:rPr>
          <w:rFonts w:ascii="仿宋" w:hAnsi="仿宋" w:eastAsia="仿宋"/>
          <w:color w:val="000000"/>
          <w:sz w:val="32"/>
          <w:szCs w:val="32"/>
        </w:rPr>
        <w:t>%</w:t>
      </w:r>
      <w:r>
        <w:rPr>
          <w:rFonts w:hint="eastAsia" w:ascii="仿宋" w:hAnsi="仿宋" w:eastAsia="仿宋"/>
          <w:color w:val="000000"/>
          <w:sz w:val="32"/>
          <w:szCs w:val="32"/>
        </w:rPr>
        <w:t>；其他收入3.02万元，占0.01</w:t>
      </w:r>
      <w:r>
        <w:rPr>
          <w:rFonts w:ascii="仿宋" w:hAnsi="仿宋" w:eastAsia="仿宋"/>
          <w:color w:val="000000"/>
          <w:sz w:val="32"/>
          <w:szCs w:val="32"/>
        </w:rPr>
        <w:t>%</w:t>
      </w:r>
      <w:r>
        <w:rPr>
          <w:rFonts w:hint="eastAsia" w:ascii="仿宋" w:hAnsi="仿宋" w:eastAsia="仿宋"/>
          <w:color w:val="000000"/>
          <w:sz w:val="32"/>
          <w:szCs w:val="32"/>
        </w:rPr>
        <w:t xml:space="preserve">。 </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（二）部门财政资金支出情况。</w:t>
      </w:r>
    </w:p>
    <w:p>
      <w:pPr>
        <w:spacing w:line="56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年本年支出合计27019.84万元，其中：基本支出13901.09万元，占51.45</w:t>
      </w:r>
      <w:r>
        <w:rPr>
          <w:rFonts w:ascii="仿宋" w:hAnsi="仿宋" w:eastAsia="仿宋"/>
          <w:color w:val="000000"/>
          <w:sz w:val="32"/>
          <w:szCs w:val="32"/>
        </w:rPr>
        <w:t>%</w:t>
      </w:r>
      <w:r>
        <w:rPr>
          <w:rFonts w:hint="eastAsia" w:ascii="仿宋" w:hAnsi="仿宋" w:eastAsia="仿宋"/>
          <w:color w:val="000000"/>
          <w:sz w:val="32"/>
          <w:szCs w:val="32"/>
        </w:rPr>
        <w:t>；项目支出13118.75万元，占48.55</w:t>
      </w:r>
      <w:r>
        <w:rPr>
          <w:rFonts w:ascii="仿宋" w:hAnsi="仿宋" w:eastAsia="仿宋"/>
          <w:color w:val="000000"/>
          <w:sz w:val="32"/>
          <w:szCs w:val="32"/>
        </w:rPr>
        <w:t>%</w:t>
      </w:r>
      <w:r>
        <w:rPr>
          <w:rFonts w:hint="eastAsia" w:ascii="仿宋" w:hAnsi="仿宋" w:eastAsia="仿宋"/>
          <w:color w:val="000000"/>
          <w:sz w:val="32"/>
          <w:szCs w:val="32"/>
        </w:rPr>
        <w:t>；上缴上级支出0万元，占0</w:t>
      </w:r>
      <w:r>
        <w:rPr>
          <w:rFonts w:ascii="仿宋" w:hAnsi="仿宋" w:eastAsia="仿宋"/>
          <w:color w:val="000000"/>
          <w:sz w:val="32"/>
          <w:szCs w:val="32"/>
        </w:rPr>
        <w:t>%</w:t>
      </w:r>
      <w:r>
        <w:rPr>
          <w:rFonts w:hint="eastAsia" w:ascii="仿宋" w:hAnsi="仿宋" w:eastAsia="仿宋"/>
          <w:color w:val="000000"/>
          <w:sz w:val="32"/>
          <w:szCs w:val="32"/>
        </w:rPr>
        <w:t>；经营支出0万元，占0</w:t>
      </w:r>
      <w:r>
        <w:rPr>
          <w:rFonts w:ascii="仿宋" w:hAnsi="仿宋" w:eastAsia="仿宋"/>
          <w:color w:val="000000"/>
          <w:sz w:val="32"/>
          <w:szCs w:val="32"/>
        </w:rPr>
        <w:t>%</w:t>
      </w:r>
      <w:r>
        <w:rPr>
          <w:rFonts w:hint="eastAsia" w:ascii="仿宋" w:hAnsi="仿宋" w:eastAsia="仿宋"/>
          <w:color w:val="000000"/>
          <w:sz w:val="32"/>
          <w:szCs w:val="32"/>
        </w:rPr>
        <w:t>；对附属单位补助支出0万元，占0</w:t>
      </w:r>
      <w:r>
        <w:rPr>
          <w:rFonts w:ascii="仿宋" w:hAnsi="仿宋" w:eastAsia="仿宋"/>
          <w:color w:val="000000"/>
          <w:sz w:val="32"/>
          <w:szCs w:val="32"/>
        </w:rPr>
        <w:t>%</w:t>
      </w:r>
      <w:r>
        <w:rPr>
          <w:rFonts w:hint="eastAsia" w:ascii="仿宋" w:hAnsi="仿宋" w:eastAsia="仿宋"/>
          <w:color w:val="000000"/>
          <w:sz w:val="32"/>
          <w:szCs w:val="32"/>
        </w:rPr>
        <w:t>。</w:t>
      </w:r>
    </w:p>
    <w:p>
      <w:pPr>
        <w:widowControl/>
        <w:adjustRightInd w:val="0"/>
        <w:snapToGrid w:val="0"/>
        <w:spacing w:line="56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三、部门整体预算绩效管理情况</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（一）部门预算管理。</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年初预算编制时一并编写绩效申报表，决算时进行绩效自评，努力提高绩效编报能力，为下一年度预决算的绩效编报工作积累经验。一是明显增强预算编制能力，使预算更加合理；二是结合资金安排，促进年度工作计划更加科学；三是细化预算、严格执行，大幅提高资金使用效率。</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20</w:t>
      </w:r>
      <w:r>
        <w:rPr>
          <w:rFonts w:ascii="仿宋_GB2312" w:hAnsi="宋体" w:eastAsia="仿宋_GB2312" w:cs="宋体"/>
          <w:color w:val="000000"/>
          <w:kern w:val="0"/>
          <w:sz w:val="32"/>
          <w:szCs w:val="32"/>
          <w:shd w:val="clear" w:color="auto" w:fill="FFFFFF"/>
          <w:lang w:val="zh-CN"/>
        </w:rPr>
        <w:t>20</w:t>
      </w:r>
      <w:r>
        <w:rPr>
          <w:rFonts w:hint="eastAsia" w:ascii="仿宋_GB2312" w:hAnsi="宋体" w:eastAsia="仿宋_GB2312" w:cs="宋体"/>
          <w:color w:val="000000"/>
          <w:kern w:val="0"/>
          <w:sz w:val="32"/>
          <w:szCs w:val="32"/>
          <w:shd w:val="clear" w:color="auto" w:fill="FFFFFF"/>
          <w:lang w:val="zh-CN"/>
        </w:rPr>
        <w:t>年重点工作任务:全市公安机关坚持以习近平新时代中国特色社会主义思想为指导,深入落实全国、全省、全市公安工作会议精神，树牢“四个意识”，坚定 “四个自信” ，做到“两个维护”，紧扣省厅党委“1357”战略部署和市委市政府“文旅发展年”工作主题，以提升全市公安机关社会治理水平为目标，以推进“基础建设年”为重点，以打赢“奋进”专项行动为抓手，精准实施乐山公安“1234”发展思路，不忘初心、砥砺前行，坚决打赢扫黑除恶收官仗、社会治理提升仗、基础建设攻坚仗、改革强警主动仗、七型公安持久仗等“五大硬仗”，为我市全面建成小康社会、加快建成“世界重要旅游目的地”和“全省区域中心城市”创造安全稳定的社会治安环境。</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2020年重点公安工作完成情况：2020年公安工作各项工作取得新的重大成就。一是公安工作业绩迈上新台阶，公安工作考核先后3次荣获全省一等奖、2次获得二等奖，2020年夺得了全省第一名。二是平安乐山建设开创新局面，社会大局持续稳定，社会评价满意度指数再创新高，2020年夺得全省第二名。三是深化公安改革实现新突破，多次被评为全省公安机关改革试点工作先进单位。四是法治公安建设迈出新步伐，被评为“全省公安机关示范执法办案管理中心”，全市公安机关执法公信力显著提升。五是公安队伍建设取得新发展，多次荣获“全省加强公安队伍建设成效突出单位”“全省政治工作先进集体”称号。</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年初的预算编制基本符合年度工作任务保障需求，能严格按新会计制度执行，预算执行过程中，认真贯彻执行“乐市财政预</w:t>
      </w:r>
      <w:r>
        <w:rPr>
          <w:rFonts w:ascii="仿宋_GB2312" w:hAnsi="宋体" w:eastAsia="仿宋_GB2312" w:cs="宋体"/>
          <w:color w:val="000000"/>
          <w:kern w:val="0"/>
          <w:sz w:val="32"/>
          <w:szCs w:val="32"/>
          <w:shd w:val="clear" w:color="auto" w:fill="FFFFFF"/>
          <w:lang w:val="zh-CN"/>
        </w:rPr>
        <w:t>[20</w:t>
      </w:r>
      <w:r>
        <w:rPr>
          <w:rFonts w:hint="eastAsia" w:ascii="仿宋_GB2312" w:hAnsi="宋体" w:eastAsia="仿宋_GB2312" w:cs="宋体"/>
          <w:color w:val="000000"/>
          <w:kern w:val="0"/>
          <w:sz w:val="32"/>
          <w:szCs w:val="32"/>
          <w:shd w:val="clear" w:color="auto" w:fill="FFFFFF"/>
          <w:lang w:val="zh-CN"/>
        </w:rPr>
        <w:t>20</w:t>
      </w:r>
      <w:r>
        <w:rPr>
          <w:rFonts w:ascii="仿宋_GB2312" w:hAnsi="宋体" w:eastAsia="仿宋_GB2312" w:cs="宋体"/>
          <w:color w:val="000000"/>
          <w:kern w:val="0"/>
          <w:sz w:val="32"/>
          <w:szCs w:val="32"/>
          <w:shd w:val="clear" w:color="auto" w:fill="FFFFFF"/>
          <w:lang w:val="zh-CN"/>
        </w:rPr>
        <w:t>]1</w:t>
      </w:r>
      <w:r>
        <w:rPr>
          <w:rFonts w:hint="eastAsia" w:ascii="仿宋_GB2312" w:hAnsi="宋体" w:eastAsia="仿宋_GB2312" w:cs="宋体"/>
          <w:color w:val="000000"/>
          <w:kern w:val="0"/>
          <w:sz w:val="32"/>
          <w:szCs w:val="32"/>
          <w:shd w:val="clear" w:color="auto" w:fill="FFFFFF"/>
          <w:lang w:val="zh-CN"/>
        </w:rPr>
        <w:t>9号关于印发《</w:t>
      </w:r>
      <w:r>
        <w:rPr>
          <w:rFonts w:ascii="仿宋_GB2312" w:hAnsi="宋体" w:eastAsia="仿宋_GB2312" w:cs="宋体"/>
          <w:color w:val="000000"/>
          <w:kern w:val="0"/>
          <w:sz w:val="32"/>
          <w:szCs w:val="32"/>
          <w:shd w:val="clear" w:color="auto" w:fill="FFFFFF"/>
          <w:lang w:val="zh-CN"/>
        </w:rPr>
        <w:t>20</w:t>
      </w:r>
      <w:r>
        <w:rPr>
          <w:rFonts w:hint="eastAsia" w:ascii="仿宋_GB2312" w:hAnsi="宋体" w:eastAsia="仿宋_GB2312" w:cs="宋体"/>
          <w:color w:val="000000"/>
          <w:kern w:val="0"/>
          <w:sz w:val="32"/>
          <w:szCs w:val="32"/>
          <w:shd w:val="clear" w:color="auto" w:fill="FFFFFF"/>
          <w:lang w:val="zh-CN"/>
        </w:rPr>
        <w:t>20年市级部门预算编制及执行规则》的通知”相关要求，预算均按规定执行，部分项目建设周期长需要跨年度执行，续建项目也按规定纳入了新年度预算。</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（二）结果应用情况。</w:t>
      </w:r>
    </w:p>
    <w:p>
      <w:pPr>
        <w:widowControl/>
        <w:adjustRightInd w:val="0"/>
        <w:snapToGrid w:val="0"/>
        <w:spacing w:line="560" w:lineRule="exact"/>
        <w:ind w:firstLine="640" w:firstLineChars="200"/>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通过绩效管理促进资金管理，提高资金使用效率，提高工作效率，使目标单位常“看镜子”，比对自己的决策和执行力，随时纠正多余的或者效率低的事项，为下一个科学决策提供依据和积累经验。</w:t>
      </w:r>
    </w:p>
    <w:p>
      <w:pPr>
        <w:widowControl/>
        <w:adjustRightInd w:val="0"/>
        <w:snapToGrid w:val="0"/>
        <w:spacing w:line="56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四、评价结论及建议</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（一）评价结论。</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通过绩效管理，乐山市公安局</w:t>
      </w:r>
      <w:r>
        <w:rPr>
          <w:rFonts w:hint="eastAsia" w:ascii="仿宋_GB2312" w:hAnsi="宋体" w:eastAsia="仿宋_GB2312" w:cs="宋体"/>
          <w:color w:val="000000"/>
          <w:kern w:val="0"/>
          <w:sz w:val="32"/>
          <w:szCs w:val="32"/>
          <w:shd w:val="clear" w:color="auto" w:fill="FFFFFF"/>
        </w:rPr>
        <w:t>机关</w:t>
      </w:r>
      <w:r>
        <w:rPr>
          <w:rFonts w:hint="eastAsia" w:ascii="仿宋_GB2312" w:hAnsi="宋体" w:eastAsia="仿宋_GB2312" w:cs="宋体"/>
          <w:color w:val="000000"/>
          <w:kern w:val="0"/>
          <w:sz w:val="32"/>
          <w:szCs w:val="32"/>
          <w:shd w:val="clear" w:color="auto" w:fill="FFFFFF"/>
          <w:lang w:val="zh-CN"/>
        </w:rPr>
        <w:t>精细安排资金，区分急缓主次，有效提高资金使用效率，促进持家理念，强化节约意识，增加公安业务综合能力，确保职能区域内社会秩序平稳，政治环境稳定。</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（二）存在问题。</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是新会计制度实施后，预算要求精细化，对相应经济科目预测不够准确无误；二是内部制度细化不够，我局虽然有详细的各项管理制度，但未能每个项目都制定财务管理细则；三是经费预算不足，许多项目无法启动，导致基础建设落后，从而影响安保和案侦工作。</w:t>
      </w:r>
    </w:p>
    <w:p>
      <w:pPr>
        <w:widowControl/>
        <w:adjustRightInd w:val="0"/>
        <w:snapToGrid w:val="0"/>
        <w:spacing w:line="56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（三）改进建议。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加强新会计制度和新的财政政策学习，增强对政策变化的适应能力，提高预算编制质量。二是细化制度建设，完善所有项目的管理制度。三是争取更多预算资金，填补硬件建设空白，提高整体防控和治安维护能力，确保职责区域平安、稳定。</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黑体" w:hAnsi="黑体" w:eastAsia="黑体" w:cs="黑体"/>
          <w:sz w:val="32"/>
          <w:szCs w:val="32"/>
        </w:rPr>
        <w:t>附件</w:t>
      </w:r>
      <w:r>
        <w:rPr>
          <w:rFonts w:ascii="黑体" w:hAnsi="黑体" w:eastAsia="黑体" w:cs="黑体"/>
          <w:sz w:val="32"/>
          <w:szCs w:val="32"/>
        </w:rPr>
        <w:t>2</w:t>
      </w:r>
    </w:p>
    <w:p>
      <w:pPr>
        <w:spacing w:line="560" w:lineRule="exact"/>
        <w:ind w:firstLine="640" w:firstLineChars="200"/>
        <w:rPr>
          <w:rFonts w:ascii="仿宋_GB2312" w:hAnsi="仿宋_GB2312" w:eastAsia="仿宋_GB2312" w:cs="仿宋_GB2312"/>
          <w:sz w:val="32"/>
          <w:szCs w:val="32"/>
        </w:rPr>
      </w:pP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rPr>
        <w:t>看守所专项经费</w:t>
      </w:r>
      <w:r>
        <w:rPr>
          <w:rFonts w:hint="eastAsia" w:ascii="方正小标宋简体" w:hAnsi="宋体" w:eastAsia="方正小标宋简体"/>
          <w:color w:val="000000"/>
          <w:kern w:val="0"/>
          <w:sz w:val="44"/>
          <w:szCs w:val="44"/>
          <w:lang w:val="zh-CN"/>
        </w:rPr>
        <w:t>项目</w:t>
      </w:r>
    </w:p>
    <w:p>
      <w:pPr>
        <w:spacing w:line="560" w:lineRule="exact"/>
        <w:jc w:val="center"/>
        <w:rPr>
          <w:rFonts w:ascii="方正小标宋简体" w:hAnsi="宋体" w:eastAsia="方正小标宋简体"/>
          <w:color w:val="000000"/>
          <w:kern w:val="0"/>
          <w:sz w:val="44"/>
          <w:szCs w:val="44"/>
          <w:lang w:val="zh-CN"/>
        </w:rPr>
      </w:pPr>
      <w:r>
        <w:rPr>
          <w:rFonts w:ascii="方正小标宋简体" w:hAnsi="宋体" w:eastAsia="方正小标宋简体"/>
          <w:color w:val="000000"/>
          <w:kern w:val="0"/>
          <w:sz w:val="44"/>
          <w:szCs w:val="44"/>
        </w:rPr>
        <w:t>2020</w:t>
      </w:r>
      <w:r>
        <w:rPr>
          <w:rFonts w:hint="eastAsia" w:ascii="方正小标宋简体" w:hAnsi="宋体" w:eastAsia="方正小标宋简体"/>
          <w:color w:val="000000"/>
          <w:kern w:val="0"/>
          <w:sz w:val="44"/>
          <w:szCs w:val="44"/>
        </w:rPr>
        <w:t>年</w:t>
      </w:r>
      <w:r>
        <w:rPr>
          <w:rFonts w:hint="eastAsia" w:ascii="方正小标宋简体" w:hAnsi="宋体" w:eastAsia="方正小标宋简体"/>
          <w:color w:val="000000"/>
          <w:kern w:val="0"/>
          <w:sz w:val="44"/>
          <w:szCs w:val="44"/>
          <w:lang w:val="zh-CN"/>
        </w:rPr>
        <w:t>绩效评价报告</w:t>
      </w:r>
    </w:p>
    <w:p>
      <w:pPr>
        <w:spacing w:line="560" w:lineRule="exact"/>
        <w:rPr>
          <w:rFonts w:ascii="宋体"/>
          <w:sz w:val="32"/>
          <w:szCs w:val="32"/>
          <w:lang w:val="zh-CN"/>
        </w:rPr>
      </w:pPr>
    </w:p>
    <w:p>
      <w:pPr>
        <w:adjustRightInd w:val="0"/>
        <w:snapToGrid w:val="0"/>
        <w:spacing w:line="560" w:lineRule="exact"/>
        <w:rPr>
          <w:rFonts w:ascii="黑体" w:hAnsi="宋体" w:eastAsia="黑体"/>
          <w:sz w:val="32"/>
          <w:szCs w:val="32"/>
          <w:lang w:val="zh-CN"/>
        </w:rPr>
      </w:pPr>
      <w:r>
        <w:rPr>
          <w:rFonts w:hint="eastAsia" w:ascii="黑体" w:hAnsi="宋体" w:eastAsia="黑体"/>
          <w:sz w:val="32"/>
          <w:szCs w:val="32"/>
        </w:rPr>
        <w:t xml:space="preserve">    一、</w:t>
      </w:r>
      <w:r>
        <w:rPr>
          <w:rFonts w:hint="eastAsia" w:ascii="黑体" w:hAnsi="宋体" w:eastAsia="黑体"/>
          <w:sz w:val="32"/>
          <w:szCs w:val="32"/>
          <w:lang w:val="zh-CN"/>
        </w:rPr>
        <w:t>项目概况</w:t>
      </w:r>
    </w:p>
    <w:p>
      <w:pPr>
        <w:adjustRightInd w:val="0"/>
        <w:snapToGrid w:val="0"/>
        <w:spacing w:line="560" w:lineRule="exact"/>
        <w:ind w:firstLine="720"/>
        <w:rPr>
          <w:rFonts w:ascii="仿宋_GB2312" w:hAnsi="宋体" w:eastAsia="仿宋_GB2312"/>
          <w:b/>
          <w:sz w:val="32"/>
          <w:szCs w:val="32"/>
          <w:lang w:val="zh-CN"/>
        </w:rPr>
      </w:pPr>
      <w:r>
        <w:rPr>
          <w:rFonts w:hint="eastAsia" w:ascii="楷体_GB2312" w:hAnsi="宋体" w:eastAsia="楷体_GB2312"/>
          <w:b/>
          <w:sz w:val="32"/>
          <w:szCs w:val="32"/>
          <w:lang w:val="zh-CN"/>
        </w:rPr>
        <w:t>（一）项目基本情况。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乐山市看守所位于乐山市市中区全福镇裕民街936号，距离市中心4公里，全所占地</w:t>
      </w:r>
      <w:r>
        <w:rPr>
          <w:rFonts w:hint="eastAsia" w:ascii="仿宋_GB2312" w:hAnsi="宋体" w:eastAsia="仿宋_GB2312"/>
          <w:color w:val="000000"/>
          <w:sz w:val="32"/>
          <w:szCs w:val="32"/>
          <w:lang w:val="zh-CN"/>
        </w:rPr>
        <w:t>46</w:t>
      </w:r>
      <w:r>
        <w:rPr>
          <w:rFonts w:hint="eastAsia" w:ascii="仿宋_GB2312" w:hAnsi="宋体" w:eastAsia="仿宋_GB2312"/>
          <w:sz w:val="32"/>
          <w:szCs w:val="32"/>
          <w:lang w:val="zh-CN"/>
        </w:rPr>
        <w:t>亩，现有建筑面积</w:t>
      </w:r>
      <w:r>
        <w:rPr>
          <w:rFonts w:hint="eastAsia" w:ascii="仿宋_GB2312" w:hAnsi="宋体" w:eastAsia="仿宋_GB2312"/>
          <w:color w:val="000000"/>
          <w:sz w:val="32"/>
          <w:szCs w:val="32"/>
          <w:lang w:val="zh-CN"/>
        </w:rPr>
        <w:t>16181</w:t>
      </w:r>
      <w:r>
        <w:rPr>
          <w:rFonts w:hint="eastAsia" w:ascii="仿宋_GB2312" w:hAnsi="宋体" w:eastAsia="仿宋_GB2312"/>
          <w:sz w:val="32"/>
          <w:szCs w:val="32"/>
          <w:lang w:val="zh-CN"/>
        </w:rPr>
        <w:t>平方米。看守所为正科级行政单位，隶属乐山市公安局。</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看守所的主要任务是：依据国家法律对被羁押的人犯实行武装警戒看守，保障安全；对人犯进行教育；管理及保障人犯的生活和卫生；保障侦查、起诉和审判工作的顺利进行。</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当前看守所依法羁押的在押人员有：被乐山市公安局、乐山市公安局市中区分局、峨边彝族自治县公安局、金口河区公安局以及乐山市人民法院、乐山市市中区人民法院以及乐山市人民检察院、乐山市市中区人民检察院依法逮捕、刑事拘留的犯罪嫌疑人；被乐山市市中区人民法院依法判决拘役的罪犯；以及全市女性犯罪嫌疑人和艾滋病犯罪嫌疑人。</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该项目申请看守所部门业务经费财政预算拨款727.9万元，项目内容涉及在押人员的给养费、水、电气费、装备购置费、装备消耗费、修缮费和其他费用。</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b/>
          <w:sz w:val="32"/>
          <w:szCs w:val="32"/>
          <w:lang w:val="zh-CN"/>
        </w:rPr>
        <w:t>（二）项目绩效目标。</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看守所作为羁押犯罪嫌疑人的主要场所，担负着羁押犯罪嫌疑人、保障刑事诉讼活动顺利进行的重要任务。看守所经费主要用于保障在押人员的伙食、医疗，维护看守所各类物防、技防设施正常运行，保障提讯、会见等业务工作正常进行，确保刑事诉讼活动顺利进行。</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b/>
          <w:sz w:val="32"/>
          <w:szCs w:val="32"/>
          <w:lang w:val="zh-CN"/>
        </w:rPr>
        <w:t>（三）项目自评步骤及方法。</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我所成立了财务监督小组对专项资金的使用进行全程监督。确保项目申报内容与具体实施内容相符，申报目标合理可行。</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w:t>
      </w:r>
      <w:r>
        <w:rPr>
          <w:rFonts w:hint="eastAsia" w:ascii="仿宋_GB2312" w:hAnsi="宋体" w:eastAsia="仿宋_GB2312"/>
          <w:b/>
          <w:sz w:val="32"/>
          <w:szCs w:val="32"/>
          <w:lang w:val="zh-CN"/>
        </w:rPr>
        <w:t>二、</w:t>
      </w:r>
      <w:r>
        <w:rPr>
          <w:rFonts w:hint="eastAsia" w:ascii="仿宋_GB2312" w:hAnsi="宋体" w:eastAsia="仿宋_GB2312"/>
          <w:b/>
          <w:sz w:val="32"/>
          <w:szCs w:val="32"/>
        </w:rPr>
        <w:t>项目资金申报及使用情况</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w:t>
      </w:r>
      <w:r>
        <w:rPr>
          <w:rFonts w:hint="eastAsia" w:ascii="仿宋_GB2312" w:hAnsi="宋体" w:eastAsia="仿宋_GB2312"/>
          <w:b/>
          <w:sz w:val="32"/>
          <w:szCs w:val="32"/>
          <w:lang w:val="zh-CN"/>
        </w:rPr>
        <w:t xml:space="preserve">（一）项目资金申报及批复情况 </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2020年度看守所部门业务经费年度项目，看守所按750人日均关押量申报（项目内容涉及在押人员的给养费、公用经费、劳务费、专用材料费、修缮费、和其他费用）。该项目申请看守所部门业务经费财政预算拨款727.9万元。报财政审核通过该项目。</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b/>
          <w:sz w:val="32"/>
          <w:szCs w:val="32"/>
          <w:lang w:val="zh-CN"/>
        </w:rPr>
        <w:t>（二）资金计划、到位及使用情况。</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1.资金计划及到位。2020年度看守所部门业务经费年度项目已完成，符合监所管理制度和相关财务制度。看守所上年编制历年预算，经所领导同意后，报市局警保科。报帐采取月底汇集采购清单和正式发票，经所领导审批、警保处领导审批、分管副局长和分管财务副局长审批，最后再到市局警保科报账。看守所每月项目经立项、审批、报账等多个环节层层把关，严格执行会计制度，确保资金使用完整的审批手续，财务核算符合规范。</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2.资金使用。看守所部门经费总共727.9万元，全部资金都来自市级财政拨款，资金到位率100%。项目实际支出</w:t>
      </w:r>
      <w:r>
        <w:rPr>
          <w:rFonts w:hint="eastAsia" w:ascii="仿宋_GB2312" w:hAnsi="宋体" w:eastAsia="仿宋_GB2312"/>
          <w:color w:val="000000"/>
          <w:sz w:val="32"/>
          <w:szCs w:val="32"/>
          <w:lang w:val="zh-CN"/>
        </w:rPr>
        <w:t>516.9</w:t>
      </w:r>
      <w:r>
        <w:rPr>
          <w:rFonts w:hint="eastAsia" w:ascii="仿宋_GB2312" w:hAnsi="宋体" w:eastAsia="仿宋_GB2312"/>
          <w:sz w:val="32"/>
          <w:szCs w:val="32"/>
          <w:lang w:val="zh-CN"/>
        </w:rPr>
        <w:t>万元（其中在押人员给养费</w:t>
      </w:r>
      <w:r>
        <w:rPr>
          <w:rFonts w:hint="eastAsia" w:ascii="仿宋_GB2312" w:hAnsi="宋体" w:eastAsia="仿宋_GB2312"/>
          <w:color w:val="000000"/>
          <w:sz w:val="32"/>
          <w:szCs w:val="32"/>
          <w:lang w:val="zh-CN"/>
        </w:rPr>
        <w:t>267.86</w:t>
      </w:r>
      <w:r>
        <w:rPr>
          <w:rFonts w:hint="eastAsia" w:ascii="仿宋_GB2312" w:hAnsi="宋体" w:eastAsia="仿宋_GB2312"/>
          <w:sz w:val="32"/>
          <w:szCs w:val="32"/>
          <w:lang w:val="zh-CN"/>
        </w:rPr>
        <w:t>万元，水、电、气费等</w:t>
      </w:r>
      <w:r>
        <w:rPr>
          <w:rFonts w:hint="eastAsia" w:ascii="仿宋_GB2312" w:hAnsi="宋体" w:eastAsia="仿宋_GB2312"/>
          <w:color w:val="000000"/>
          <w:sz w:val="32"/>
          <w:szCs w:val="32"/>
          <w:lang w:val="zh-CN"/>
        </w:rPr>
        <w:t>85.49</w:t>
      </w:r>
      <w:r>
        <w:rPr>
          <w:rFonts w:hint="eastAsia" w:ascii="仿宋_GB2312" w:hAnsi="宋体" w:eastAsia="仿宋_GB2312"/>
          <w:sz w:val="32"/>
          <w:szCs w:val="32"/>
          <w:lang w:val="zh-CN"/>
        </w:rPr>
        <w:t>万元，</w:t>
      </w:r>
      <w:r>
        <w:rPr>
          <w:rFonts w:hint="eastAsia" w:ascii="仿宋_GB2312" w:eastAsia="仿宋_GB2312" w:cs="宋体"/>
          <w:color w:val="000000"/>
          <w:sz w:val="32"/>
          <w:szCs w:val="32"/>
        </w:rPr>
        <w:t>劳务费</w:t>
      </w:r>
      <w:r>
        <w:rPr>
          <w:rFonts w:hint="eastAsia" w:ascii="仿宋_GB2312" w:hAnsi="宋体" w:eastAsia="仿宋_GB2312"/>
          <w:sz w:val="32"/>
          <w:szCs w:val="32"/>
          <w:lang w:val="zh-CN"/>
        </w:rPr>
        <w:t>97.1万元，维修（护）</w:t>
      </w:r>
      <w:r>
        <w:rPr>
          <w:rFonts w:hint="eastAsia" w:ascii="仿宋_GB2312" w:hAnsi="宋体" w:eastAsia="仿宋_GB2312"/>
          <w:color w:val="000000"/>
          <w:sz w:val="32"/>
          <w:szCs w:val="32"/>
          <w:lang w:val="zh-CN"/>
        </w:rPr>
        <w:t>37.7</w:t>
      </w:r>
      <w:r>
        <w:rPr>
          <w:rFonts w:hint="eastAsia" w:ascii="仿宋_GB2312" w:hAnsi="宋体" w:eastAsia="仿宋_GB2312"/>
          <w:sz w:val="32"/>
          <w:szCs w:val="32"/>
          <w:lang w:val="zh-CN"/>
        </w:rPr>
        <w:t>万元、专用材料费16.93万元、专用设备购置费6.6万元，公用经费5.22万元等）。资金的使用严格按公安部、财政部关于《看守所经费开支范围和管理办法的规定》公通字[1996]11号执行,符合财经法规和财务管理制度以及有关专项资金管理办法的规定。资金的拨付有完整的审批程序和手续；项目资金符合项目预算批复或合同规定的用途。项目资金管理办法符合相关财务会计制度规定，严格按照资金开支范围、标准及支付进度和预算科目进行列支，支付依据合规合法，确保了资金使用的安全性和规范性。未完成财政预算的211万元，是因；2019年底上报2020年预算中，我所按日均750人关押量上报预算，因疫情原因，所有男性羁押都由指定的区县看守所集中收押。2020年我所实际日均关押量为600余人，全年收押量只有800余人次。</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（三）项目财务管理情况。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看守所在资金使用上一直按照国家财经法规和市局财务管理制度规定以及有关专项资金管理办法的规定收支，资金拨付有完整的审批程序和手续，按照财经制度的有关要求，做到专款专用，单位财务监督小组对专项资金的使用进行全程监督，保证资金使用的合法合规性。切实做到了财务管理制度健全，财务处理及时，会计核算规范、准确。</w:t>
      </w:r>
    </w:p>
    <w:p>
      <w:pPr>
        <w:adjustRightInd w:val="0"/>
        <w:snapToGrid w:val="0"/>
        <w:spacing w:line="560" w:lineRule="exact"/>
        <w:ind w:firstLine="629" w:firstLineChars="196"/>
        <w:rPr>
          <w:rFonts w:ascii="仿宋_GB2312" w:hAnsi="宋体" w:eastAsia="仿宋_GB2312"/>
          <w:b/>
          <w:sz w:val="32"/>
          <w:szCs w:val="32"/>
          <w:lang w:val="zh-CN"/>
        </w:rPr>
      </w:pPr>
      <w:r>
        <w:rPr>
          <w:rFonts w:hint="eastAsia" w:ascii="仿宋_GB2312" w:hAnsi="宋体" w:eastAsia="仿宋_GB2312"/>
          <w:b/>
          <w:sz w:val="32"/>
          <w:szCs w:val="32"/>
          <w:lang w:val="zh-CN"/>
        </w:rPr>
        <w:t>三、项目组织实施情况。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该项目在市局相关部门的领导下，由看守所具体实施，成立了后勤监督小组，</w:t>
      </w:r>
      <w:r>
        <w:rPr>
          <w:rFonts w:hint="eastAsia" w:ascii="仿宋_GB2312" w:hAnsi="宋体" w:eastAsia="仿宋_GB2312"/>
          <w:color w:val="000000"/>
          <w:sz w:val="32"/>
          <w:szCs w:val="32"/>
          <w:lang w:val="zh-CN"/>
        </w:rPr>
        <w:t>涂平</w:t>
      </w:r>
      <w:r>
        <w:rPr>
          <w:rFonts w:hint="eastAsia" w:ascii="仿宋_GB2312" w:hAnsi="宋体" w:eastAsia="仿宋_GB2312"/>
          <w:sz w:val="32"/>
          <w:szCs w:val="32"/>
          <w:lang w:val="zh-CN"/>
        </w:rPr>
        <w:t>任组长，成员有李万春、高忠斌。该项目实施前，严格按照财务管理制度管理要求对该项目的资金进行预算、评估、招投标，对服务申请了政府采购。项目实施过程中，由市局廉政监督员对资金使用进行监督，确保资金的使用严格执行财务管理制度规定。</w:t>
      </w:r>
    </w:p>
    <w:p>
      <w:pPr>
        <w:adjustRightInd w:val="0"/>
        <w:snapToGrid w:val="0"/>
        <w:spacing w:line="560" w:lineRule="exact"/>
        <w:rPr>
          <w:rFonts w:ascii="仿宋_GB2312" w:hAnsi="宋体" w:eastAsia="仿宋_GB2312"/>
          <w:b/>
          <w:sz w:val="32"/>
          <w:szCs w:val="32"/>
          <w:lang w:val="zh-CN"/>
        </w:rPr>
      </w:pPr>
      <w:r>
        <w:rPr>
          <w:rFonts w:hint="eastAsia" w:ascii="仿宋_GB2312" w:hAnsi="宋体" w:eastAsia="仿宋_GB2312"/>
          <w:b/>
          <w:sz w:val="32"/>
          <w:szCs w:val="32"/>
        </w:rPr>
        <w:t xml:space="preserve">    四、项目绩效情况</w:t>
      </w:r>
      <w:r>
        <w:rPr>
          <w:rFonts w:hint="eastAsia" w:ascii="仿宋_GB2312" w:hAnsi="宋体" w:eastAsia="仿宋_GB2312"/>
          <w:b/>
          <w:sz w:val="32"/>
          <w:szCs w:val="32"/>
          <w:lang w:val="zh-CN"/>
        </w:rPr>
        <w:tab/>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（一）项目完成情况。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2020年，看守所经费执行</w:t>
      </w:r>
      <w:r>
        <w:rPr>
          <w:rFonts w:hint="eastAsia" w:ascii="仿宋_GB2312" w:hAnsi="宋体" w:eastAsia="仿宋_GB2312"/>
          <w:color w:val="000000"/>
          <w:sz w:val="32"/>
          <w:szCs w:val="32"/>
          <w:lang w:val="zh-CN"/>
        </w:rPr>
        <w:t>516.9</w:t>
      </w:r>
      <w:r>
        <w:rPr>
          <w:rFonts w:hint="eastAsia" w:ascii="仿宋_GB2312" w:hAnsi="宋体" w:eastAsia="仿宋_GB2312"/>
          <w:sz w:val="32"/>
          <w:szCs w:val="32"/>
          <w:lang w:val="zh-CN"/>
        </w:rPr>
        <w:t>万元，预定目标完成71</w:t>
      </w:r>
      <w:r>
        <w:rPr>
          <w:rFonts w:ascii="仿宋_GB2312" w:hAnsi="仿宋_GB2312" w:eastAsia="仿宋_GB2312" w:cs="仿宋_GB2312"/>
          <w:sz w:val="32"/>
          <w:szCs w:val="32"/>
        </w:rPr>
        <w:t>%</w:t>
      </w:r>
      <w:r>
        <w:rPr>
          <w:rFonts w:hint="eastAsia" w:ascii="仿宋_GB2312" w:hAnsi="宋体" w:eastAsia="仿宋_GB2312"/>
          <w:sz w:val="32"/>
          <w:szCs w:val="32"/>
          <w:lang w:val="zh-CN"/>
        </w:rPr>
        <w:t>。全年度共收押800余人次，日均关押量600余人。全年保障提讯提押业务5963次，保障律师会见1285人次、家属会见500余人次，保障在押人员所内就医日均150余人次。看守所建筑面积16184余平方米，建有安防综合管理系统等多个物防技防系统设施。看守所经费完成了保障在押人员的日常生活、用水用电、就医、物防技防系统运行、提讯会见等业务。</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看守所在执行有限的经费保障过程中，在严格执行市局财务管理相关制度规定的前提下，按照统筹节约的原则，力争做到把每一分钱都花在该花的地方，让每一分钱都产生应有的社会效益。</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b/>
          <w:sz w:val="32"/>
          <w:szCs w:val="32"/>
          <w:lang w:val="zh-CN"/>
        </w:rPr>
        <w:t>（二）项目效益情况。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打击犯罪是维护公民合法权益、确保社会稳定的重要手段。看守所作为犯罪嫌疑人的羁押场所，在打击犯罪、提高人民群众安全感和满意度、确保社会安全稳定等方面有着极其重要的作用。看守所作为一个正科级行政单位，经费效益主要体现在社会效益上。</w:t>
      </w:r>
    </w:p>
    <w:p>
      <w:pPr>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sz w:val="32"/>
          <w:szCs w:val="32"/>
          <w:lang w:val="zh-CN"/>
        </w:rPr>
        <w:t>一是在乐山公安组织的多次重大社会环境整治中做到应收尽收。</w:t>
      </w:r>
      <w:r>
        <w:rPr>
          <w:rFonts w:hint="eastAsia" w:ascii="仿宋_GB2312" w:hAnsi="宋体" w:eastAsia="仿宋_GB2312"/>
          <w:color w:val="000000"/>
          <w:sz w:val="32"/>
          <w:szCs w:val="32"/>
        </w:rPr>
        <w:t>2020年累计收押艾滋病等传染病嫌疑人38余人</w:t>
      </w:r>
      <w:r>
        <w:rPr>
          <w:rFonts w:hint="eastAsia" w:ascii="仿宋_GB2312" w:hAnsi="宋体" w:eastAsia="仿宋_GB2312"/>
          <w:sz w:val="32"/>
          <w:szCs w:val="32"/>
          <w:lang w:val="zh-CN"/>
        </w:rPr>
        <w:t>。极大地净化了社会环境。</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sz w:val="32"/>
          <w:szCs w:val="32"/>
          <w:lang w:val="zh-CN"/>
        </w:rPr>
        <w:t>二是集中关押全市女性犯罪嫌疑人和患艾滋病犯罪嫌疑人。2018年以来，全市女性犯罪嫌疑人和患艾滋病犯罪嫌疑人集中到市看守所羁押。市看守所为此专门开设了女子监区，扩展了监管信息系统容量，增设了40余路监控视频，物防技防设施维护工作也翻了一倍，同时极大地分担了各区县的压力。特别是患艾滋病犯罪嫌疑人集中关押市看守所以来，市看守所专门设立了“特殊病监区”；在对这类人的羁押过程中，一方面为他们提供了必要的生活和医疗保障，确保他们的生命健康权的同时，教育引导、强制他们完成所有的诉讼程序，受到法律的公正判决，宏扬法制精神，树立起“无论是谁、无论是否有病，违法犯罪都要受到法律制裁”的有益于社会和谐稳定的公序良俗和良好的公平正义导向；另一方面，通过对艾滋病犯的集中关押，社会面上的艾滋病患者明显减少，人民群众的生活环境得到明显净化、安全感进一步提升。</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三是积极转化留所服刑罪犯，进一步降低再犯罪机率。为提高教育转化效果，看守所积极想办法，一方面加强管控，使罪犯切身感受到“坐牢”的滋味；另一方面，发挥民警职能，每周一次对罪犯进行谈话教育，从思想上灌输遵纪守法、积极向上的思想理念；第三，开设监区图书馆，用知识矫正罪犯思想，有效降低再犯率。</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乐山市看守所通过扎实有效的工作，用好每一分钱，确保了刑事诉讼活动的顺序进行。</w:t>
      </w:r>
    </w:p>
    <w:p>
      <w:pPr>
        <w:adjustRightInd w:val="0"/>
        <w:snapToGrid w:val="0"/>
        <w:spacing w:line="560" w:lineRule="exact"/>
        <w:ind w:firstLine="720"/>
        <w:rPr>
          <w:rFonts w:ascii="仿宋_GB2312" w:hAnsi="宋体" w:eastAsia="仿宋_GB2312"/>
          <w:b/>
          <w:sz w:val="32"/>
          <w:szCs w:val="32"/>
        </w:rPr>
      </w:pPr>
      <w:r>
        <w:rPr>
          <w:rFonts w:hint="eastAsia" w:ascii="仿宋_GB2312" w:hAnsi="宋体" w:eastAsia="仿宋_GB2312"/>
          <w:b/>
          <w:sz w:val="32"/>
          <w:szCs w:val="32"/>
        </w:rPr>
        <w:t>五、评价结论及建议</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（一）评价结论。</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2020年以来，我所充分发挥看守所监管看守，加强对在押人员安全管理；教育和社会治安综合治理等方面的职能作用；保障了在押人员的合法权益；保障刑事诉讼活动的顺利进行。安全无责任事故。</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sz w:val="32"/>
          <w:szCs w:val="32"/>
          <w:lang w:val="zh-CN"/>
        </w:rPr>
        <w:t>2020年以来，市场物价不断上涨，提别是在猪肉价格翻倍上涨的情况下，我所严格按省公安厅、省财政规定执行在押人员每人每月280元给养的标准。成立了后勤监督小组，专人采购，每日值班备勤人员负责验收登记。定期集中保障人员进行教育，确保每粒米、每片菜都不浪费，在规定的标准内完成了在押人员的给养保障。</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（二）存在的问题。</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目前市看守所集中收押全市女性犯罪嫌疑人及艾滋病犯罪嫌疑人，患病的犯罪嫌疑人数明显上升，所需医疗经费支出不断增大，急需要增加经费。</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b/>
          <w:sz w:val="32"/>
          <w:szCs w:val="32"/>
          <w:lang w:val="zh-CN"/>
        </w:rPr>
        <w:t xml:space="preserve">    （三）相关建议。</w:t>
      </w:r>
      <w:r>
        <w:rPr>
          <w:rFonts w:hint="eastAsia" w:ascii="仿宋_GB2312" w:hAnsi="宋体" w:eastAsia="仿宋_GB2312"/>
          <w:sz w:val="32"/>
          <w:szCs w:val="32"/>
          <w:lang w:val="zh-CN"/>
        </w:rPr>
        <w:t xml:space="preserve"> </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1、办公设施需新购项较多，办公经费严重不足。</w:t>
      </w:r>
    </w:p>
    <w:p>
      <w:pPr>
        <w:adjustRightInd w:val="0"/>
        <w:snapToGrid w:val="0"/>
        <w:spacing w:line="560" w:lineRule="exact"/>
        <w:ind w:firstLine="480" w:firstLineChars="150"/>
        <w:rPr>
          <w:rFonts w:ascii="仿宋_GB2312" w:hAnsi="宋体" w:eastAsia="仿宋_GB2312"/>
          <w:sz w:val="32"/>
          <w:szCs w:val="32"/>
          <w:lang w:val="zh-CN"/>
        </w:rPr>
      </w:pPr>
      <w:r>
        <w:rPr>
          <w:rFonts w:hint="eastAsia" w:ascii="仿宋_GB2312" w:hAnsi="宋体" w:eastAsia="仿宋_GB2312"/>
          <w:sz w:val="32"/>
          <w:szCs w:val="32"/>
          <w:lang w:val="zh-CN"/>
        </w:rPr>
        <w:t xml:space="preserve"> 2、民警食堂伙食费严重不足。主要是因我所民、辅警和借调民辅警、辅警、工勤人员比例达到1：1（借调人员及工勤人员未纳入市财政伙食费预算），再加上我所每天值班备勤人员（40余人）一日三餐都在所就餐。  </w:t>
      </w: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adjustRightInd w:val="0"/>
        <w:snapToGrid w:val="0"/>
        <w:spacing w:line="560" w:lineRule="exact"/>
        <w:ind w:firstLine="5760" w:firstLineChars="1800"/>
        <w:rPr>
          <w:rFonts w:ascii="仿宋_GB2312" w:hAnsi="宋体" w:eastAsia="仿宋_GB2312"/>
          <w:sz w:val="32"/>
          <w:szCs w:val="32"/>
          <w:lang w:val="zh-CN"/>
        </w:rPr>
      </w:pPr>
    </w:p>
    <w:p>
      <w:pPr>
        <w:pStyle w:val="22"/>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强制隔离戒毒所专项经费项目</w:t>
      </w:r>
    </w:p>
    <w:p>
      <w:pPr>
        <w:pStyle w:val="22"/>
        <w:spacing w:line="560" w:lineRule="exact"/>
        <w:jc w:val="center"/>
        <w:rPr>
          <w:rFonts w:ascii="仿宋_GB2312" w:hAnsi="宋体" w:eastAsia="仿宋_GB2312"/>
          <w:color w:val="auto"/>
          <w:sz w:val="44"/>
          <w:szCs w:val="44"/>
        </w:rPr>
      </w:pPr>
      <w:r>
        <w:rPr>
          <w:rFonts w:hint="eastAsia" w:ascii="方正小标宋简体" w:hAnsi="宋体" w:eastAsia="方正小标宋简体"/>
          <w:sz w:val="44"/>
          <w:szCs w:val="44"/>
        </w:rPr>
        <w:t>2020年绩效评价报告</w:t>
      </w:r>
    </w:p>
    <w:p>
      <w:pPr>
        <w:spacing w:line="560" w:lineRule="exact"/>
      </w:pPr>
    </w:p>
    <w:p>
      <w:pPr>
        <w:spacing w:line="560" w:lineRule="exact"/>
        <w:ind w:firstLine="640" w:firstLineChars="200"/>
        <w:rPr>
          <w:rFonts w:ascii="黑体" w:hAnsi="黑体" w:eastAsia="黑体" w:cs="黑体"/>
          <w:sz w:val="32"/>
          <w:szCs w:val="32"/>
          <w:lang w:val="zh-CN"/>
        </w:rPr>
      </w:pPr>
      <w:r>
        <w:rPr>
          <w:rFonts w:hint="eastAsia" w:ascii="黑体" w:hAnsi="黑体" w:eastAsia="黑体" w:cs="黑体"/>
          <w:sz w:val="32"/>
          <w:szCs w:val="32"/>
        </w:rPr>
        <w:t>一、</w:t>
      </w:r>
      <w:r>
        <w:rPr>
          <w:rFonts w:hint="eastAsia" w:ascii="黑体" w:hAnsi="黑体" w:eastAsia="黑体" w:cs="黑体"/>
          <w:sz w:val="32"/>
          <w:szCs w:val="32"/>
          <w:lang w:val="zh-CN"/>
        </w:rPr>
        <w:t>项目概况</w:t>
      </w:r>
    </w:p>
    <w:p>
      <w:pPr>
        <w:pStyle w:val="32"/>
        <w:widowControl w:val="0"/>
        <w:spacing w:before="0" w:beforeAutospacing="0" w:after="0" w:afterAutospacing="0" w:line="560" w:lineRule="exact"/>
        <w:ind w:firstLine="640" w:firstLineChars="200"/>
        <w:jc w:val="both"/>
        <w:rPr>
          <w:rFonts w:ascii="仿宋_GB2312" w:hAnsi="仿宋_GB2312" w:eastAsia="仿宋_GB2312" w:cs="仿宋_GB2312"/>
          <w:color w:val="555555"/>
          <w:sz w:val="32"/>
          <w:szCs w:val="32"/>
        </w:rPr>
      </w:pPr>
      <w:r>
        <w:rPr>
          <w:rFonts w:hint="eastAsia" w:ascii="仿宋_GB2312" w:hAnsi="仿宋_GB2312" w:eastAsia="仿宋_GB2312" w:cs="仿宋_GB2312"/>
          <w:color w:val="555555"/>
          <w:sz w:val="32"/>
          <w:szCs w:val="32"/>
        </w:rPr>
        <w:t>乐山市强制隔离戒毒所位于乐山市市中区全福镇裕民街936号，距市中心约4公里，全所占地12亩，现有建筑面积1万余平方米。戒毒所为正科级行政单位，隶属乐山市公安局。在编民警14人，现有辅警、医务和工勤人员42名。依法承担全市11个县（市、区）戒毒人员的收治任务。</w:t>
      </w:r>
    </w:p>
    <w:p>
      <w:pPr>
        <w:pStyle w:val="32"/>
        <w:widowControl w:val="0"/>
        <w:spacing w:before="0" w:beforeAutospacing="0" w:after="0" w:afterAutospacing="0" w:line="560" w:lineRule="exact"/>
        <w:ind w:firstLine="640" w:firstLineChars="200"/>
        <w:jc w:val="both"/>
        <w:rPr>
          <w:rFonts w:ascii="楷体_GB2312" w:hAnsi="楷体_GB2312" w:eastAsia="楷体_GB2312" w:cs="楷体_GB2312"/>
          <w:kern w:val="2"/>
          <w:sz w:val="32"/>
          <w:szCs w:val="32"/>
        </w:rPr>
      </w:pPr>
      <w:r>
        <w:rPr>
          <w:rFonts w:hint="eastAsia" w:ascii="楷体_GB2312" w:hAnsi="楷体_GB2312" w:eastAsia="楷体_GB2312" w:cs="楷体_GB2312"/>
          <w:kern w:val="2"/>
          <w:sz w:val="32"/>
          <w:szCs w:val="32"/>
        </w:rPr>
        <w:t>(一)项目基本情况</w:t>
      </w:r>
    </w:p>
    <w:p>
      <w:pPr>
        <w:adjustRightInd w:val="0"/>
        <w:snapToGrid w:val="0"/>
        <w:spacing w:line="560" w:lineRule="exact"/>
        <w:ind w:firstLine="642" w:firstLineChars="200"/>
        <w:rPr>
          <w:rFonts w:ascii="仿宋_GB2312" w:hAnsi="仿宋_GB2312" w:eastAsia="仿宋_GB2312" w:cs="仿宋_GB2312"/>
          <w:color w:val="555555"/>
          <w:kern w:val="0"/>
          <w:sz w:val="32"/>
          <w:szCs w:val="32"/>
        </w:rPr>
      </w:pPr>
      <w:r>
        <w:rPr>
          <w:rFonts w:hint="eastAsia" w:ascii="仿宋_GB2312" w:hAnsi="仿宋_GB2312" w:eastAsia="仿宋_GB2312" w:cs="仿宋_GB2312"/>
          <w:b/>
          <w:bCs/>
          <w:color w:val="555555"/>
          <w:kern w:val="0"/>
          <w:sz w:val="32"/>
          <w:szCs w:val="32"/>
        </w:rPr>
        <w:t>1、强制隔离戒毒所的主要职责是:</w:t>
      </w:r>
      <w:r>
        <w:rPr>
          <w:rFonts w:hint="eastAsia" w:ascii="仿宋_GB2312" w:hAnsi="仿宋_GB2312" w:eastAsia="仿宋_GB2312" w:cs="仿宋_GB2312"/>
          <w:color w:val="555555"/>
          <w:kern w:val="0"/>
          <w:sz w:val="32"/>
          <w:szCs w:val="32"/>
        </w:rPr>
        <w:t>贯彻执行《中华人民共和国禁毒法》、《戒毒条例》及有关方针政策和法律、法规，是公安机关依法通过行政强制措施为戒毒人员科学规范的戒毒治疗、心理治疗、身体康复训练和卫生、道德、法制教育，开展职业技能培训等工作。负责所情分析，案件深挖工作；负责场所疫情防控工作，确保监管场所绝对安全；负责场所安全防范工作，预防和处置突发事件；负责社会帮教和解除强制隔离戒毒人员的回访帮教等工作；负责强制隔离戒毒人员的生活卫生管理和戒毒治疗工作，开展卫生防疫、防病治病等工作；负责场所基本建设、财务管理、装备管理、资产管理和信息化建设工作。</w:t>
      </w:r>
    </w:p>
    <w:p>
      <w:pPr>
        <w:adjustRightInd w:val="0"/>
        <w:snapToGrid w:val="0"/>
        <w:spacing w:line="560" w:lineRule="exact"/>
        <w:ind w:firstLine="642" w:firstLineChars="200"/>
        <w:jc w:val="left"/>
        <w:rPr>
          <w:rFonts w:ascii="仿宋_GB2312" w:hAnsi="仿宋_GB2312" w:eastAsia="仿宋_GB2312" w:cs="仿宋_GB2312"/>
          <w:color w:val="555555"/>
          <w:sz w:val="32"/>
          <w:szCs w:val="32"/>
        </w:rPr>
      </w:pPr>
      <w:r>
        <w:rPr>
          <w:rFonts w:hint="eastAsia" w:ascii="仿宋_GB2312" w:hAnsi="仿宋_GB2312" w:eastAsia="仿宋_GB2312" w:cs="仿宋_GB2312"/>
          <w:b/>
          <w:bCs/>
          <w:color w:val="555555"/>
          <w:sz w:val="32"/>
          <w:szCs w:val="32"/>
        </w:rPr>
        <w:t>2、项目立项、资金申报依据：</w:t>
      </w:r>
      <w:r>
        <w:rPr>
          <w:rFonts w:hint="eastAsia" w:ascii="仿宋_GB2312" w:hAnsi="仿宋_GB2312" w:eastAsia="仿宋_GB2312" w:cs="仿宋_GB2312"/>
          <w:color w:val="555555"/>
          <w:sz w:val="32"/>
          <w:szCs w:val="32"/>
        </w:rPr>
        <w:t>根据《中华人民共和国禁毒法》、《戒毒条例》立项，资金申报按照《财政部 公安部关于拘留所强制隔离戒毒所被监管人员伙食费和医疗费有关问题的通知》（财【2010】4号）、</w:t>
      </w:r>
      <w:r>
        <w:rPr>
          <w:rFonts w:hint="eastAsia" w:ascii="仿宋_GB2312" w:hAnsi="仿宋_GB2312" w:eastAsia="仿宋_GB2312" w:cs="仿宋_GB2312"/>
          <w:sz w:val="32"/>
          <w:szCs w:val="32"/>
        </w:rPr>
        <w:t>《财政部 公安部关于拘留所强制隔离戒毒所被监管人员伙食费和医疗费有关问题的通知》的通知（公监管[2010]110号）、《四川省财政厅  四川省公安厅关于加强看守所在押人员生活保障的通知》（川财行【2016】270号）、《关于进一步加强看守所经费保障工作的通知》 （川财行【2009】181号），</w:t>
      </w:r>
      <w:r>
        <w:rPr>
          <w:rFonts w:hint="eastAsia" w:ascii="仿宋_GB2312" w:hAnsi="仿宋_GB2312" w:eastAsia="仿宋_GB2312" w:cs="仿宋_GB2312"/>
          <w:color w:val="555555"/>
          <w:sz w:val="32"/>
          <w:szCs w:val="32"/>
        </w:rPr>
        <w:t>并参照本地看守所在押人员的标准执行。</w:t>
      </w:r>
      <w:r>
        <w:rPr>
          <w:rFonts w:hint="eastAsia" w:ascii="仿宋_GB2312" w:hAnsi="仿宋_GB2312" w:eastAsia="仿宋_GB2312" w:cs="仿宋_GB2312"/>
          <w:sz w:val="32"/>
          <w:szCs w:val="32"/>
        </w:rPr>
        <w:t xml:space="preserve">                                                                                    </w:t>
      </w:r>
    </w:p>
    <w:p>
      <w:pPr>
        <w:pStyle w:val="32"/>
        <w:widowControl w:val="0"/>
        <w:spacing w:before="0" w:beforeAutospacing="0" w:after="0" w:afterAutospacing="0" w:line="560" w:lineRule="exact"/>
        <w:ind w:firstLine="642" w:firstLineChars="200"/>
        <w:jc w:val="both"/>
        <w:rPr>
          <w:rFonts w:ascii="仿宋_GB2312" w:hAnsi="仿宋_GB2312" w:eastAsia="仿宋_GB2312" w:cs="仿宋_GB2312"/>
          <w:color w:val="555555"/>
          <w:sz w:val="32"/>
          <w:szCs w:val="32"/>
        </w:rPr>
      </w:pPr>
      <w:r>
        <w:rPr>
          <w:rFonts w:hint="eastAsia" w:ascii="仿宋_GB2312" w:hAnsi="仿宋_GB2312" w:eastAsia="仿宋_GB2312" w:cs="仿宋_GB2312"/>
          <w:b/>
          <w:bCs/>
          <w:color w:val="555555"/>
          <w:kern w:val="2"/>
          <w:sz w:val="32"/>
          <w:szCs w:val="32"/>
          <w:lang w:val="zh-CN"/>
        </w:rPr>
        <w:t>3、资金管理办法制定情况，资金支持具体项目的条件、范围与支持方式概况：</w:t>
      </w:r>
      <w:r>
        <w:rPr>
          <w:rFonts w:hint="eastAsia" w:ascii="仿宋_GB2312" w:hAnsi="仿宋_GB2312" w:eastAsia="仿宋_GB2312" w:cs="仿宋_GB2312"/>
          <w:color w:val="555555"/>
          <w:sz w:val="32"/>
          <w:szCs w:val="32"/>
        </w:rPr>
        <w:t>按照公安部、财政部制定《看守所经费开支范围和管理办法的规定》，并参照本地看守所在押人员的标准制定；戒毒人员专项经费的使用是指为监管场所正常运转、完成日常工作任务而发生的支出。为实现监所工作职能、完成监所各项工作, 保障更加有力，确保了监所的安全。</w:t>
      </w:r>
    </w:p>
    <w:p>
      <w:pPr>
        <w:adjustRightInd w:val="0"/>
        <w:snapToGrid w:val="0"/>
        <w:spacing w:line="560" w:lineRule="exact"/>
        <w:ind w:firstLine="640" w:firstLineChars="200"/>
        <w:rPr>
          <w:rFonts w:ascii="楷体_GB2312" w:hAnsi="楷体_GB2312" w:eastAsia="楷体_GB2312" w:cs="楷体_GB2312"/>
          <w:sz w:val="32"/>
          <w:szCs w:val="32"/>
          <w:lang w:val="zh-CN"/>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zh-CN"/>
        </w:rPr>
        <w:t>二）项目绩效目标</w:t>
      </w:r>
    </w:p>
    <w:p>
      <w:pPr>
        <w:spacing w:line="560" w:lineRule="exact"/>
        <w:ind w:firstLine="642" w:firstLineChars="200"/>
        <w:jc w:val="left"/>
        <w:rPr>
          <w:rFonts w:ascii="仿宋_GB2312" w:hAnsi="仿宋_GB2312" w:eastAsia="仿宋_GB2312" w:cs="仿宋_GB2312"/>
          <w:b/>
          <w:bCs/>
          <w:color w:val="555555"/>
          <w:kern w:val="0"/>
          <w:sz w:val="32"/>
          <w:szCs w:val="32"/>
        </w:rPr>
      </w:pPr>
      <w:r>
        <w:rPr>
          <w:rFonts w:hint="eastAsia" w:ascii="仿宋_GB2312" w:hAnsi="仿宋_GB2312" w:eastAsia="仿宋_GB2312" w:cs="仿宋_GB2312"/>
          <w:b/>
          <w:bCs/>
          <w:color w:val="555555"/>
          <w:kern w:val="0"/>
          <w:sz w:val="32"/>
          <w:szCs w:val="32"/>
        </w:rPr>
        <w:t>1、项目主要内容</w:t>
      </w:r>
    </w:p>
    <w:p>
      <w:pPr>
        <w:spacing w:line="560" w:lineRule="exact"/>
        <w:ind w:firstLine="640" w:firstLineChars="200"/>
        <w:jc w:val="left"/>
        <w:rPr>
          <w:rFonts w:ascii="仿宋_GB2312" w:hAnsi="仿宋_GB2312" w:eastAsia="仿宋_GB2312" w:cs="仿宋_GB2312"/>
          <w:color w:val="555555"/>
          <w:kern w:val="0"/>
          <w:sz w:val="32"/>
          <w:szCs w:val="32"/>
        </w:rPr>
      </w:pPr>
      <w:r>
        <w:rPr>
          <w:rFonts w:hint="eastAsia" w:ascii="仿宋_GB2312" w:hAnsi="仿宋_GB2312" w:eastAsia="仿宋_GB2312" w:cs="仿宋_GB2312"/>
          <w:color w:val="555555"/>
          <w:kern w:val="0"/>
          <w:sz w:val="32"/>
          <w:szCs w:val="32"/>
        </w:rPr>
        <w:t>项目内容涉及戒毒人员的日常伙食费，戒毒人员的医疗（疫情防控）康复费，戒毒人员的标识服装费用，监所的水电气费，电话通讯费，聘用工勤人员的工资，日常办公、专用材料设备等费用。</w:t>
      </w:r>
    </w:p>
    <w:p>
      <w:pPr>
        <w:spacing w:line="560" w:lineRule="exact"/>
        <w:ind w:firstLine="642" w:firstLineChars="200"/>
        <w:jc w:val="left"/>
        <w:rPr>
          <w:rFonts w:ascii="仿宋_GB2312" w:hAnsi="仿宋_GB2312" w:eastAsia="仿宋_GB2312" w:cs="仿宋_GB2312"/>
          <w:b/>
          <w:bCs/>
          <w:color w:val="FF0000"/>
          <w:kern w:val="0"/>
          <w:sz w:val="32"/>
          <w:szCs w:val="32"/>
        </w:rPr>
      </w:pPr>
      <w:r>
        <w:rPr>
          <w:rFonts w:hint="eastAsia" w:ascii="仿宋_GB2312" w:hAnsi="仿宋_GB2312" w:eastAsia="仿宋_GB2312" w:cs="仿宋_GB2312"/>
          <w:b/>
          <w:bCs/>
          <w:color w:val="555555"/>
          <w:kern w:val="0"/>
          <w:sz w:val="32"/>
          <w:szCs w:val="32"/>
        </w:rPr>
        <w:t>2、项目的具体绩效目标</w:t>
      </w:r>
    </w:p>
    <w:p>
      <w:pPr>
        <w:spacing w:line="560" w:lineRule="exact"/>
        <w:ind w:firstLine="640" w:firstLineChars="200"/>
        <w:jc w:val="left"/>
        <w:rPr>
          <w:rFonts w:ascii="仿宋_GB2312" w:hAnsi="仿宋_GB2312" w:eastAsia="仿宋_GB2312" w:cs="仿宋_GB2312"/>
          <w:color w:val="555555"/>
          <w:kern w:val="0"/>
          <w:sz w:val="32"/>
          <w:szCs w:val="32"/>
        </w:rPr>
      </w:pPr>
      <w:r>
        <w:rPr>
          <w:rFonts w:hint="eastAsia" w:ascii="仿宋_GB2312" w:hAnsi="仿宋_GB2312" w:eastAsia="仿宋_GB2312" w:cs="仿宋_GB2312"/>
          <w:color w:val="555555"/>
          <w:kern w:val="0"/>
          <w:sz w:val="32"/>
          <w:szCs w:val="32"/>
        </w:rPr>
        <w:t>做为乐山市唯一一所强制隔离戒毒所，确保乐山市的禁毒工作有效开展，积极收治强制隔离戒毒人员，培植戒毒专业队伍，健全戒毒管理制度，创新医疗、教育、心理矫治、诊断评估的戒毒方法；确保监管场所的安全稳定，保障戒毒人员在所期间的身心康复，提高戒毒人员生活质量，在有限场所内打造一个良好的戒毒康复环境，帮助他们早日戒断毒瘾，回报社会。</w:t>
      </w:r>
    </w:p>
    <w:p>
      <w:pPr>
        <w:spacing w:line="560" w:lineRule="exact"/>
        <w:ind w:firstLine="642" w:firstLineChars="200"/>
        <w:jc w:val="left"/>
        <w:rPr>
          <w:rFonts w:ascii="仿宋_GB2312" w:hAnsi="仿宋_GB2312" w:eastAsia="仿宋_GB2312" w:cs="仿宋_GB2312"/>
          <w:b/>
          <w:bCs/>
          <w:color w:val="555555"/>
          <w:kern w:val="0"/>
          <w:sz w:val="32"/>
          <w:szCs w:val="32"/>
        </w:rPr>
      </w:pPr>
      <w:r>
        <w:rPr>
          <w:rFonts w:hint="eastAsia" w:ascii="仿宋_GB2312" w:hAnsi="仿宋_GB2312" w:eastAsia="仿宋_GB2312" w:cs="仿宋_GB2312"/>
          <w:b/>
          <w:bCs/>
          <w:color w:val="555555"/>
          <w:kern w:val="0"/>
          <w:sz w:val="32"/>
          <w:szCs w:val="32"/>
        </w:rPr>
        <w:t>3、项目申报内容相符合理</w:t>
      </w:r>
    </w:p>
    <w:p>
      <w:pPr>
        <w:adjustRightInd w:val="0"/>
        <w:snapToGrid w:val="0"/>
        <w:spacing w:line="560" w:lineRule="exact"/>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sz w:val="32"/>
          <w:szCs w:val="32"/>
          <w:lang w:val="zh-CN"/>
        </w:rPr>
        <w:t>项目申报内容与具体实施内容相符、申报目标合理可行，</w:t>
      </w:r>
      <w:r>
        <w:rPr>
          <w:rFonts w:hint="eastAsia" w:ascii="仿宋_GB2312" w:hAnsi="仿宋_GB2312" w:eastAsia="仿宋_GB2312" w:cs="仿宋_GB2312"/>
          <w:color w:val="333333"/>
          <w:sz w:val="32"/>
          <w:szCs w:val="32"/>
          <w:shd w:val="clear" w:color="auto" w:fill="FFFFFF"/>
        </w:rPr>
        <w:t>申报程序和手续符合相关管理办法，按照标准以及当年的工作计划按程序申请，做到保障服务到位。</w:t>
      </w:r>
    </w:p>
    <w:p>
      <w:pPr>
        <w:adjustRightInd w:val="0"/>
        <w:snapToGrid w:val="0"/>
        <w:spacing w:line="560" w:lineRule="exact"/>
        <w:ind w:firstLine="640" w:firstLineChars="200"/>
        <w:rPr>
          <w:rFonts w:ascii="仿宋_GB2312" w:hAnsi="仿宋_GB2312" w:eastAsia="仿宋_GB2312" w:cs="仿宋_GB2312"/>
          <w:bCs/>
          <w:sz w:val="32"/>
          <w:szCs w:val="32"/>
          <w:lang w:val="zh-CN"/>
        </w:rPr>
      </w:pPr>
      <w:r>
        <w:rPr>
          <w:rFonts w:hint="eastAsia" w:ascii="楷体_GB2312" w:hAnsi="楷体_GB2312" w:eastAsia="楷体_GB2312" w:cs="楷体_GB2312"/>
          <w:sz w:val="32"/>
          <w:szCs w:val="32"/>
          <w:lang w:val="zh-CN"/>
        </w:rPr>
        <w:t>（三）项目自评步骤及方法。</w:t>
      </w:r>
    </w:p>
    <w:p>
      <w:pPr>
        <w:pStyle w:val="32"/>
        <w:widowControl w:val="0"/>
        <w:spacing w:before="0" w:beforeAutospacing="0" w:after="0" w:afterAutospacing="0" w:line="560" w:lineRule="exact"/>
        <w:ind w:firstLine="640" w:firstLineChars="20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项目严格按照</w:t>
      </w:r>
      <w:r>
        <w:rPr>
          <w:rFonts w:hint="eastAsia" w:ascii="仿宋_GB2312" w:hAnsi="仿宋_GB2312" w:eastAsia="仿宋_GB2312" w:cs="仿宋_GB2312"/>
          <w:color w:val="555555"/>
          <w:sz w:val="32"/>
          <w:szCs w:val="32"/>
        </w:rPr>
        <w:t>预算执行，修订完善</w:t>
      </w:r>
      <w:r>
        <w:rPr>
          <w:rFonts w:hint="eastAsia" w:ascii="仿宋_GB2312" w:hAnsi="仿宋_GB2312" w:eastAsia="仿宋_GB2312" w:cs="仿宋_GB2312"/>
          <w:color w:val="333333"/>
          <w:sz w:val="32"/>
          <w:szCs w:val="32"/>
          <w:shd w:val="clear" w:color="auto" w:fill="FFFFFF"/>
        </w:rPr>
        <w:t>各项绩效管理相关制度</w:t>
      </w:r>
      <w:r>
        <w:rPr>
          <w:rFonts w:hint="eastAsia" w:ascii="仿宋_GB2312" w:hAnsi="仿宋_GB2312" w:eastAsia="仿宋_GB2312" w:cs="仿宋_GB2312"/>
          <w:color w:val="555555"/>
          <w:sz w:val="32"/>
          <w:szCs w:val="32"/>
        </w:rPr>
        <w:t>和管理方法，</w:t>
      </w:r>
      <w:r>
        <w:rPr>
          <w:rFonts w:hint="eastAsia" w:ascii="仿宋_GB2312" w:hAnsi="仿宋_GB2312" w:eastAsia="仿宋_GB2312" w:cs="仿宋_GB2312"/>
          <w:color w:val="333333"/>
          <w:sz w:val="32"/>
          <w:szCs w:val="32"/>
          <w:shd w:val="clear" w:color="auto" w:fill="FFFFFF"/>
        </w:rPr>
        <w:t>做到事前计划、事中绩效控制、事后总结提高，合理安排资金使用，充分体现资金投向的目标和效益。</w:t>
      </w:r>
      <w:r>
        <w:rPr>
          <w:rFonts w:hint="eastAsia" w:ascii="仿宋_GB2312" w:hAnsi="仿宋_GB2312" w:eastAsia="仿宋_GB2312" w:cs="仿宋_GB2312"/>
          <w:color w:val="555555"/>
          <w:sz w:val="32"/>
          <w:szCs w:val="32"/>
        </w:rPr>
        <w:t>明确</w:t>
      </w:r>
      <w:r>
        <w:rPr>
          <w:rFonts w:hint="eastAsia" w:ascii="仿宋_GB2312" w:hAnsi="仿宋_GB2312" w:eastAsia="仿宋_GB2312" w:cs="仿宋_GB2312"/>
          <w:color w:val="333333"/>
          <w:sz w:val="32"/>
          <w:szCs w:val="32"/>
          <w:shd w:val="clear" w:color="auto" w:fill="FFFFFF"/>
        </w:rPr>
        <w:t>每个具体流程、工作内容、方法、步骤以及相关等，并将决算表、帐薄、凭证、报表及时归档保存，增加信息的及时性、准确性和完整性。</w:t>
      </w:r>
    </w:p>
    <w:p>
      <w:pPr>
        <w:numPr>
          <w:ilvl w:val="0"/>
          <w:numId w:val="4"/>
        </w:numPr>
        <w:spacing w:line="560" w:lineRule="exact"/>
        <w:ind w:firstLine="640" w:firstLineChars="200"/>
        <w:rPr>
          <w:rFonts w:ascii="黑体" w:hAnsi="黑体" w:eastAsia="黑体" w:cs="黑体"/>
          <w:sz w:val="32"/>
          <w:szCs w:val="32"/>
          <w:lang w:val="zh-CN"/>
        </w:rPr>
      </w:pPr>
      <w:r>
        <w:rPr>
          <w:rFonts w:hint="eastAsia" w:ascii="黑体" w:hAnsi="黑体" w:eastAsia="黑体" w:cs="黑体"/>
          <w:sz w:val="32"/>
          <w:szCs w:val="32"/>
          <w:lang w:val="zh-CN"/>
        </w:rPr>
        <w:t>项目资金申报及使用情况</w:t>
      </w:r>
    </w:p>
    <w:p>
      <w:pPr>
        <w:spacing w:line="560" w:lineRule="exact"/>
        <w:ind w:firstLine="640" w:firstLineChars="200"/>
        <w:rPr>
          <w:rFonts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（一）项目资金申报及批复情况</w:t>
      </w:r>
    </w:p>
    <w:p>
      <w:pPr>
        <w:adjustRightInd w:val="0"/>
        <w:snapToGrid w:val="0"/>
        <w:spacing w:line="560" w:lineRule="exact"/>
        <w:ind w:firstLine="640" w:firstLineChars="200"/>
        <w:jc w:val="left"/>
        <w:rPr>
          <w:rFonts w:ascii="仿宋_GB2312" w:hAnsi="仿宋_GB2312" w:eastAsia="仿宋_GB2312" w:cs="仿宋_GB2312"/>
          <w:color w:val="555555"/>
          <w:sz w:val="32"/>
          <w:szCs w:val="32"/>
        </w:rPr>
      </w:pPr>
      <w:r>
        <w:rPr>
          <w:rFonts w:hint="eastAsia" w:ascii="仿宋_GB2312" w:hAnsi="仿宋_GB2312" w:eastAsia="仿宋_GB2312" w:cs="仿宋_GB2312"/>
          <w:color w:val="555555"/>
          <w:kern w:val="0"/>
          <w:sz w:val="32"/>
          <w:szCs w:val="32"/>
        </w:rPr>
        <w:t>该项目申请强戒所部门经费财政预算拨款570万元，符合监所管理制度和相关财务制度，戒毒所当年编制下一年度预算，根据申报计划，2020年</w:t>
      </w:r>
      <w:r>
        <w:rPr>
          <w:rFonts w:hint="eastAsia" w:ascii="仿宋_GB2312" w:hAnsi="仿宋_GB2312" w:eastAsia="仿宋_GB2312" w:cs="仿宋_GB2312"/>
          <w:kern w:val="0"/>
          <w:sz w:val="32"/>
          <w:szCs w:val="32"/>
        </w:rPr>
        <w:t>市财政</w:t>
      </w:r>
      <w:r>
        <w:rPr>
          <w:rFonts w:hint="eastAsia" w:ascii="仿宋_GB2312" w:hAnsi="仿宋_GB2312" w:eastAsia="仿宋_GB2312" w:cs="仿宋_GB2312"/>
          <w:color w:val="555555"/>
          <w:kern w:val="0"/>
          <w:sz w:val="32"/>
          <w:szCs w:val="32"/>
        </w:rPr>
        <w:t>批复我所戒毒专项经</w:t>
      </w:r>
      <w:r>
        <w:rPr>
          <w:rFonts w:hint="eastAsia" w:ascii="仿宋_GB2312" w:hAnsi="仿宋_GB2312" w:eastAsia="仿宋_GB2312" w:cs="仿宋_GB2312"/>
          <w:kern w:val="0"/>
          <w:sz w:val="32"/>
          <w:szCs w:val="32"/>
        </w:rPr>
        <w:t>费570万元，</w:t>
      </w:r>
      <w:r>
        <w:rPr>
          <w:rFonts w:hint="eastAsia" w:ascii="仿宋_GB2312" w:hAnsi="仿宋_GB2312" w:eastAsia="仿宋_GB2312" w:cs="仿宋_GB2312"/>
          <w:color w:val="555555"/>
          <w:sz w:val="32"/>
          <w:szCs w:val="32"/>
        </w:rPr>
        <w:t xml:space="preserve">批复指标到位率为100%。   </w:t>
      </w:r>
    </w:p>
    <w:p>
      <w:pPr>
        <w:adjustRightInd w:val="0"/>
        <w:snapToGrid w:val="0"/>
        <w:spacing w:line="560" w:lineRule="exact"/>
        <w:rPr>
          <w:rFonts w:ascii="楷体_GB2312" w:hAnsi="楷体_GB2312" w:eastAsia="楷体_GB2312" w:cs="楷体_GB2312"/>
          <w:sz w:val="32"/>
          <w:szCs w:val="32"/>
          <w:lang w:val="zh-CN"/>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lang w:val="zh-CN"/>
        </w:rPr>
        <w:t>（二）资金计划、到位及使用情况</w:t>
      </w:r>
    </w:p>
    <w:p>
      <w:pPr>
        <w:adjustRightInd w:val="0"/>
        <w:snapToGrid w:val="0"/>
        <w:spacing w:line="560" w:lineRule="exact"/>
        <w:ind w:firstLine="640" w:firstLineChars="200"/>
        <w:jc w:val="left"/>
        <w:rPr>
          <w:rFonts w:ascii="仿宋_GB2312" w:hAnsi="仿宋_GB2312" w:eastAsia="仿宋_GB2312" w:cs="仿宋_GB2312"/>
          <w:sz w:val="32"/>
          <w:szCs w:val="32"/>
          <w:lang w:val="zh-CN"/>
        </w:rPr>
      </w:pPr>
      <w:r>
        <w:rPr>
          <w:rFonts w:hint="eastAsia" w:ascii="仿宋_GB2312" w:hAnsi="仿宋_GB2312" w:eastAsia="仿宋_GB2312" w:cs="仿宋_GB2312"/>
          <w:color w:val="555555"/>
          <w:kern w:val="0"/>
          <w:sz w:val="32"/>
          <w:szCs w:val="32"/>
        </w:rPr>
        <w:t>项目资金计划涉及戒毒人员的日常伙食费，戒毒人员的医疗卫生费，监所的水电费、电话通讯费，聘用工勤人员的工资，日常工作、车辆运行费等。</w:t>
      </w:r>
      <w:r>
        <w:rPr>
          <w:rFonts w:hint="eastAsia" w:ascii="仿宋_GB2312" w:hAnsi="仿宋_GB2312" w:eastAsia="仿宋_GB2312" w:cs="仿宋_GB2312"/>
          <w:kern w:val="0"/>
          <w:sz w:val="32"/>
          <w:szCs w:val="32"/>
        </w:rPr>
        <w:t>该项目2020年全年预算为570万元，</w:t>
      </w:r>
      <w:r>
        <w:rPr>
          <w:rFonts w:hint="eastAsia" w:ascii="仿宋_GB2312" w:hAnsi="仿宋_GB2312" w:eastAsia="仿宋_GB2312" w:cs="仿宋_GB2312"/>
          <w:color w:val="333333"/>
          <w:sz w:val="32"/>
          <w:szCs w:val="32"/>
          <w:shd w:val="clear" w:color="auto" w:fill="FFFFFF"/>
        </w:rPr>
        <w:t>项目资金能及时到位，到位率100%。</w:t>
      </w:r>
      <w:r>
        <w:rPr>
          <w:rFonts w:hint="eastAsia" w:ascii="仿宋_GB2312" w:hAnsi="仿宋_GB2312" w:eastAsia="仿宋_GB2312" w:cs="仿宋_GB2312"/>
          <w:kern w:val="0"/>
          <w:sz w:val="32"/>
          <w:szCs w:val="32"/>
        </w:rPr>
        <w:t>计划</w:t>
      </w:r>
      <w:r>
        <w:rPr>
          <w:rFonts w:hint="eastAsia" w:ascii="仿宋_GB2312" w:hAnsi="仿宋_GB2312" w:eastAsia="仿宋_GB2312" w:cs="仿宋_GB2312"/>
          <w:sz w:val="32"/>
          <w:szCs w:val="32"/>
          <w:lang w:val="zh-CN"/>
        </w:rPr>
        <w:t>戒毒人员伙食费</w:t>
      </w:r>
      <w:r>
        <w:rPr>
          <w:rFonts w:hint="eastAsia" w:ascii="仿宋_GB2312" w:hAnsi="仿宋_GB2312" w:eastAsia="仿宋_GB2312" w:cs="仿宋_GB2312"/>
          <w:sz w:val="32"/>
          <w:szCs w:val="32"/>
        </w:rPr>
        <w:t>、标示服装费、生理脱毒费、药品费和所外就医费为338.96万元；水电气费用为78.6万元；保安、医护、厨师工资为112.8万元；其他运转费（含戒毒宣传费、化粪池消毒费、零星维修、戒毒人员教育学习资料、丧葬费等）为39.64万元。</w:t>
      </w:r>
      <w:r>
        <w:rPr>
          <w:rFonts w:hint="eastAsia" w:ascii="仿宋_GB2312" w:hAnsi="仿宋_GB2312" w:eastAsia="仿宋_GB2312" w:cs="仿宋_GB2312"/>
          <w:kern w:val="0"/>
          <w:sz w:val="32"/>
          <w:szCs w:val="32"/>
        </w:rPr>
        <w:t>该项目全年实际支出450.46万元（</w:t>
      </w:r>
      <w:r>
        <w:rPr>
          <w:rFonts w:hint="eastAsia" w:ascii="仿宋_GB2312" w:hAnsi="仿宋_GB2312" w:eastAsia="仿宋_GB2312" w:cs="仿宋_GB2312"/>
          <w:sz w:val="32"/>
          <w:szCs w:val="32"/>
          <w:lang w:val="zh-CN"/>
        </w:rPr>
        <w:t>戒毒人员伙食费为</w:t>
      </w:r>
      <w:r>
        <w:rPr>
          <w:rFonts w:hint="eastAsia" w:ascii="仿宋_GB2312" w:hAnsi="仿宋_GB2312" w:eastAsia="仿宋_GB2312" w:cs="仿宋_GB2312"/>
          <w:sz w:val="32"/>
          <w:szCs w:val="32"/>
        </w:rPr>
        <w:t>、服装费、生理脱毒费、药品费和所外就医费用约为258.15万元；水电气费用约为55.23万元；保安、医护、厨师工资费用约为100.94万元；其他运转费：含戒毒宣传费、化粪池消毒费、零星维修、戒毒人员教育学习资料、丧葬等费用约为36.14万元）</w:t>
      </w:r>
      <w:r>
        <w:rPr>
          <w:rFonts w:hint="eastAsia" w:ascii="仿宋_GB2312" w:hAnsi="仿宋_GB2312" w:eastAsia="仿宋_GB2312" w:cs="仿宋_GB2312"/>
          <w:sz w:val="32"/>
          <w:szCs w:val="32"/>
          <w:lang w:val="zh-CN"/>
        </w:rPr>
        <w:t>。</w:t>
      </w:r>
    </w:p>
    <w:p>
      <w:pPr>
        <w:adjustRightInd w:val="0"/>
        <w:snapToGrid w:val="0"/>
        <w:spacing w:line="560" w:lineRule="exact"/>
        <w:rPr>
          <w:rFonts w:ascii="楷体_GB2312" w:hAnsi="楷体_GB2312" w:eastAsia="楷体_GB2312" w:cs="楷体_GB2312"/>
          <w:sz w:val="32"/>
          <w:szCs w:val="32"/>
          <w:lang w:val="zh-CN"/>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lang w:val="zh-CN"/>
        </w:rPr>
        <w:t>（三）项目财务管理情况</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所在资金使用上一直按照国家财经法规和市局财务管理制度规定以及有关专项资金管理办法的规定收支，资金拨付有完整的审批程序和手续，项目资金符合项目预算批复或合同规定的用途。按照财经制度的有关要求，做到专款专用，单位经费监督小组对专项资金的使用进行全程监督，保证资金使用的合法合规性。我所的报账采取月底汇集采购清单和正式发票，经所领导审批和市局警务处会计审核符合要求后，报分管副局长审批及相关领导完成审批手续，最后再到市局财务室报账。所有项目都要按照立项、审批、报账等多个环节均进行层层把关且严格执行会计制度，确保资金使用有完整的审批手续，切实做到了财务管理制度健全，财务处理及时，确保了资金使用的安全性和规范性。</w:t>
      </w:r>
    </w:p>
    <w:p>
      <w:pPr>
        <w:spacing w:line="560" w:lineRule="exact"/>
        <w:ind w:firstLine="640" w:firstLineChars="200"/>
        <w:rPr>
          <w:rFonts w:ascii="黑体" w:hAnsi="黑体" w:eastAsia="黑体" w:cs="黑体"/>
          <w:sz w:val="32"/>
          <w:szCs w:val="32"/>
          <w:lang w:val="zh-CN"/>
        </w:rPr>
      </w:pPr>
      <w:r>
        <w:rPr>
          <w:rFonts w:hint="eastAsia" w:ascii="黑体" w:hAnsi="黑体" w:eastAsia="黑体" w:cs="黑体"/>
          <w:sz w:val="32"/>
          <w:szCs w:val="32"/>
          <w:lang w:val="zh-CN"/>
        </w:rPr>
        <w:t>三、项目实施及管理情况</w:t>
      </w:r>
    </w:p>
    <w:p>
      <w:pPr>
        <w:adjustRightInd w:val="0"/>
        <w:snapToGrid w:val="0"/>
        <w:spacing w:line="56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lang w:val="zh-CN"/>
        </w:rPr>
        <w:t>（一）项目组织架构及实施流程</w:t>
      </w:r>
    </w:p>
    <w:p>
      <w:pPr>
        <w:spacing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该项目在市局相关部门的领导下，由我所具体操作与实施，严格落实财经纪律及市局机关管理规定，层层把关，在资金使用时，严格落实“三重一大”政策，使资金使用公开、透明、合法合规，</w:t>
      </w:r>
      <w:r>
        <w:rPr>
          <w:rFonts w:hint="eastAsia" w:ascii="仿宋_GB2312" w:hAnsi="仿宋_GB2312" w:eastAsia="仿宋_GB2312" w:cs="仿宋_GB2312"/>
          <w:sz w:val="32"/>
          <w:szCs w:val="32"/>
        </w:rPr>
        <w:t>强化风险管控能力，促进廉政建设，</w:t>
      </w:r>
      <w:r>
        <w:rPr>
          <w:rFonts w:hint="eastAsia" w:ascii="仿宋_GB2312" w:hAnsi="仿宋_GB2312" w:eastAsia="仿宋_GB2312" w:cs="仿宋_GB2312"/>
          <w:sz w:val="32"/>
          <w:szCs w:val="32"/>
          <w:lang w:val="zh-CN"/>
        </w:rPr>
        <w:t>自觉接受广大党员干部的监督。成立了资金使用监督小组，分管副所长任组长，成员由楼层管教民警组成。</w:t>
      </w:r>
      <w:r>
        <w:rPr>
          <w:rFonts w:hint="eastAsia" w:ascii="仿宋_GB2312" w:hAnsi="仿宋_GB2312" w:eastAsia="仿宋_GB2312" w:cs="仿宋_GB2312"/>
          <w:sz w:val="32"/>
          <w:szCs w:val="32"/>
        </w:rPr>
        <w:t>建立“正职监管、副职分管、集体领导、民主决策”的工作机制。</w:t>
      </w:r>
    </w:p>
    <w:p>
      <w:pPr>
        <w:adjustRightInd w:val="0"/>
        <w:snapToGrid w:val="0"/>
        <w:spacing w:line="560" w:lineRule="exact"/>
        <w:rPr>
          <w:rFonts w:ascii="楷体_GB2312" w:hAnsi="楷体_GB2312" w:eastAsia="楷体_GB2312" w:cs="楷体_GB2312"/>
          <w:sz w:val="32"/>
          <w:szCs w:val="32"/>
          <w:lang w:val="zh-CN"/>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lang w:val="zh-CN"/>
        </w:rPr>
        <w:t>（二）项目管理情况</w:t>
      </w:r>
    </w:p>
    <w:p>
      <w:pPr>
        <w:adjustRightInd w:val="0"/>
        <w:snapToGrid w:val="0"/>
        <w:spacing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该项目实施前，</w:t>
      </w:r>
      <w:r>
        <w:rPr>
          <w:rFonts w:hint="eastAsia" w:ascii="仿宋_GB2312" w:hAnsi="仿宋_GB2312" w:eastAsia="仿宋_GB2312" w:cs="仿宋_GB2312"/>
          <w:sz w:val="32"/>
          <w:szCs w:val="32"/>
        </w:rPr>
        <w:t>根据《预算法》《会计法》《行政事业单位财务规则》以及财政部、公安部联合下发的《公安机关财务管理办法》《乐山市公安局机关财务管理办法》等有关规定，加强财务管理和监督，提高资金使用效率，保障依法履行职能，</w:t>
      </w:r>
      <w:r>
        <w:rPr>
          <w:rFonts w:hint="eastAsia" w:ascii="仿宋_GB2312" w:hAnsi="仿宋_GB2312" w:eastAsia="仿宋_GB2312" w:cs="仿宋_GB2312"/>
          <w:sz w:val="32"/>
          <w:szCs w:val="32"/>
          <w:lang w:val="zh-CN"/>
        </w:rPr>
        <w:t>严格按照财务管理制度管理要求对该项目的资金进行预算、评估、招投标（竞争性谈判</w:t>
      </w:r>
      <w:r>
        <w:rPr>
          <w:rFonts w:hint="eastAsia" w:ascii="仿宋_GB2312" w:hAnsi="仿宋_GB2312" w:eastAsia="仿宋_GB2312" w:cs="仿宋_GB2312"/>
          <w:sz w:val="32"/>
          <w:szCs w:val="32"/>
        </w:rPr>
        <w:t>)对服务申请了政府采购</w:t>
      </w:r>
      <w:r>
        <w:rPr>
          <w:rFonts w:hint="eastAsia" w:ascii="仿宋_GB2312" w:hAnsi="仿宋_GB2312" w:eastAsia="仿宋_GB2312" w:cs="仿宋_GB2312"/>
          <w:sz w:val="32"/>
          <w:szCs w:val="32"/>
          <w:lang w:val="zh-CN"/>
        </w:rPr>
        <w:t>。</w:t>
      </w:r>
    </w:p>
    <w:p>
      <w:pPr>
        <w:adjustRightInd w:val="0"/>
        <w:snapToGrid w:val="0"/>
        <w:spacing w:line="560" w:lineRule="exact"/>
        <w:rPr>
          <w:rFonts w:ascii="楷体_GB2312" w:hAnsi="楷体_GB2312" w:eastAsia="楷体_GB2312" w:cs="楷体_GB2312"/>
          <w:sz w:val="32"/>
          <w:szCs w:val="32"/>
          <w:lang w:val="zh-CN"/>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lang w:val="zh-CN"/>
        </w:rPr>
        <w:t>（三）项目监管情况</w:t>
      </w:r>
    </w:p>
    <w:p>
      <w:pPr>
        <w:adjustRightInd w:val="0"/>
        <w:snapToGrid w:val="0"/>
        <w:spacing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项目实施的过程中，请市局项目监管部门对项目资金使用前期、中期和后期全程监督，确保资金的使用严格执行财务纪律要求。</w:t>
      </w:r>
    </w:p>
    <w:p>
      <w:pPr>
        <w:spacing w:line="560" w:lineRule="exact"/>
        <w:ind w:firstLine="640" w:firstLineChars="200"/>
        <w:rPr>
          <w:rFonts w:ascii="黑体" w:hAnsi="黑体" w:eastAsia="黑体" w:cs="黑体"/>
          <w:sz w:val="32"/>
          <w:szCs w:val="32"/>
          <w:lang w:val="zh-CN"/>
        </w:rPr>
      </w:pPr>
      <w:r>
        <w:rPr>
          <w:rFonts w:hint="eastAsia" w:ascii="黑体" w:hAnsi="黑体" w:eastAsia="黑体" w:cs="黑体"/>
          <w:sz w:val="32"/>
          <w:szCs w:val="32"/>
          <w:lang w:val="zh-CN"/>
        </w:rPr>
        <w:t>四、项目绩效情况</w:t>
      </w:r>
      <w:r>
        <w:rPr>
          <w:rFonts w:hint="eastAsia" w:ascii="黑体" w:hAnsi="黑体" w:eastAsia="黑体" w:cs="黑体"/>
          <w:sz w:val="32"/>
          <w:szCs w:val="32"/>
          <w:lang w:val="zh-CN"/>
        </w:rPr>
        <w:tab/>
      </w:r>
      <w:r>
        <w:rPr>
          <w:rFonts w:hint="eastAsia" w:ascii="黑体" w:hAnsi="黑体" w:eastAsia="黑体" w:cs="黑体"/>
          <w:sz w:val="32"/>
          <w:szCs w:val="32"/>
          <w:lang w:val="zh-CN"/>
        </w:rPr>
        <w:tab/>
      </w:r>
    </w:p>
    <w:p>
      <w:pPr>
        <w:spacing w:line="560" w:lineRule="exact"/>
        <w:jc w:val="left"/>
        <w:rPr>
          <w:rFonts w:ascii="楷体" w:hAnsi="楷体" w:eastAsia="楷体" w:cs="楷体"/>
          <w:bCs/>
          <w:sz w:val="32"/>
          <w:szCs w:val="32"/>
          <w:lang w:val="zh-CN"/>
        </w:rPr>
      </w:pPr>
      <w:r>
        <w:rPr>
          <w:rFonts w:hint="eastAsia" w:ascii="仿宋" w:hAnsi="仿宋" w:eastAsia="仿宋" w:cs="仿宋"/>
          <w:bCs/>
          <w:sz w:val="32"/>
          <w:szCs w:val="32"/>
        </w:rPr>
        <w:t xml:space="preserve">   </w:t>
      </w:r>
      <w:r>
        <w:rPr>
          <w:rFonts w:hint="eastAsia" w:ascii="楷体_GB2312" w:hAnsi="楷体_GB2312" w:eastAsia="楷体_GB2312" w:cs="楷体_GB2312"/>
          <w:sz w:val="32"/>
          <w:szCs w:val="32"/>
          <w:lang w:val="zh-CN"/>
        </w:rPr>
        <w:t>（一）项目完成情况</w:t>
      </w:r>
    </w:p>
    <w:p>
      <w:pPr>
        <w:adjustRightInd w:val="0"/>
        <w:snapToGrid w:val="0"/>
        <w:spacing w:line="560" w:lineRule="exact"/>
        <w:ind w:firstLine="640" w:firstLineChars="200"/>
        <w:jc w:val="left"/>
        <w:rPr>
          <w:rFonts w:ascii="仿宋_GB2312" w:hAnsi="仿宋_GB2312" w:eastAsia="仿宋_GB2312" w:cs="仿宋_GB2312"/>
          <w:b/>
          <w:sz w:val="32"/>
          <w:szCs w:val="32"/>
        </w:rPr>
      </w:pPr>
      <w:r>
        <w:rPr>
          <w:rFonts w:hint="eastAsia" w:ascii="仿宋_GB2312" w:hAnsi="仿宋_GB2312" w:eastAsia="仿宋_GB2312" w:cs="仿宋_GB2312"/>
          <w:color w:val="555555"/>
          <w:kern w:val="0"/>
          <w:sz w:val="32"/>
          <w:szCs w:val="32"/>
        </w:rPr>
        <w:t>2020年</w:t>
      </w:r>
      <w:r>
        <w:rPr>
          <w:rFonts w:hint="eastAsia" w:ascii="仿宋_GB2312" w:hAnsi="仿宋_GB2312" w:eastAsia="仿宋_GB2312" w:cs="仿宋_GB2312"/>
          <w:kern w:val="0"/>
          <w:sz w:val="32"/>
          <w:szCs w:val="32"/>
        </w:rPr>
        <w:t>市财政</w:t>
      </w:r>
      <w:r>
        <w:rPr>
          <w:rFonts w:hint="eastAsia" w:ascii="仿宋_GB2312" w:hAnsi="仿宋_GB2312" w:eastAsia="仿宋_GB2312" w:cs="仿宋_GB2312"/>
          <w:color w:val="555555"/>
          <w:kern w:val="0"/>
          <w:sz w:val="32"/>
          <w:szCs w:val="32"/>
        </w:rPr>
        <w:t>批复我所戒毒专项经</w:t>
      </w:r>
      <w:r>
        <w:rPr>
          <w:rFonts w:hint="eastAsia" w:ascii="仿宋_GB2312" w:hAnsi="仿宋_GB2312" w:eastAsia="仿宋_GB2312" w:cs="仿宋_GB2312"/>
          <w:kern w:val="0"/>
          <w:sz w:val="32"/>
          <w:szCs w:val="32"/>
        </w:rPr>
        <w:t>费570万元，资金到位率100 %，全部为财政拨款。该项目实际支出450.46万元（（</w:t>
      </w:r>
      <w:r>
        <w:rPr>
          <w:rFonts w:hint="eastAsia" w:ascii="仿宋_GB2312" w:hAnsi="仿宋_GB2312" w:eastAsia="仿宋_GB2312" w:cs="仿宋_GB2312"/>
          <w:sz w:val="32"/>
          <w:szCs w:val="32"/>
          <w:lang w:val="zh-CN"/>
        </w:rPr>
        <w:t>戒毒人员伙食费为</w:t>
      </w:r>
      <w:r>
        <w:rPr>
          <w:rFonts w:hint="eastAsia" w:ascii="仿宋_GB2312" w:hAnsi="仿宋_GB2312" w:eastAsia="仿宋_GB2312" w:cs="仿宋_GB2312"/>
          <w:sz w:val="32"/>
          <w:szCs w:val="32"/>
        </w:rPr>
        <w:t>、服装费、生理脱毒费、药品费和所外就医费用约为258.15万元；水电气费用约为55.23万元；保安、医护、厨师工资费用约为100.94万元；其他运转费：含戒毒宣传费、化粪池消毒费、零星维修、戒毒人员教育学习资料、丧葬等费用约为36.14万元）</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因新冠疫情影响，2020年实际关押量与预算减少，致预算支出节约119.54万元，预算执行率为79%，在</w:t>
      </w:r>
      <w:r>
        <w:rPr>
          <w:rFonts w:hint="eastAsia" w:ascii="仿宋_GB2312" w:hAnsi="仿宋_GB2312" w:eastAsia="仿宋_GB2312" w:cs="仿宋_GB2312"/>
          <w:kern w:val="0"/>
          <w:sz w:val="32"/>
          <w:szCs w:val="32"/>
        </w:rPr>
        <w:t>市局统筹安排，基本完成年初绩效目标。</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2020年我所严格按照监所管理制度和新冠疫情防疫要求，加强了对戒毒人员收戒管控，定期进行安全检查、法律教育、每日落实领导带班值班备勤，所内的医护人员对戒毒人员每日巡诊，确保戒毒人员的健康需求。做好监所各项工作，确保监所了安全无事故，提升管理教育水平，维护长期安全稳定，实现队伍零违纪，戒毒人员对监所环境、管理制度均表示满意，完成年初绩效目标。</w:t>
      </w:r>
    </w:p>
    <w:p>
      <w:pPr>
        <w:spacing w:line="560" w:lineRule="exact"/>
        <w:jc w:val="left"/>
        <w:rPr>
          <w:rFonts w:ascii="楷体_GB2312" w:hAnsi="楷体_GB2312" w:eastAsia="楷体_GB2312" w:cs="楷体_GB2312"/>
          <w:sz w:val="32"/>
          <w:szCs w:val="32"/>
          <w:lang w:val="zh-CN"/>
        </w:rPr>
      </w:pPr>
      <w:r>
        <w:rPr>
          <w:rFonts w:hint="eastAsia" w:ascii="楷体_GB2312" w:hAnsi="楷体_GB2312" w:eastAsia="楷体_GB2312" w:cs="楷体_GB2312"/>
          <w:sz w:val="32"/>
          <w:szCs w:val="32"/>
        </w:rPr>
        <w:t xml:space="preserve">   </w:t>
      </w:r>
      <w:r>
        <w:rPr>
          <w:rFonts w:hint="eastAsia" w:ascii="楷体_GB2312" w:hAnsi="楷体_GB2312" w:eastAsia="楷体_GB2312" w:cs="楷体_GB2312"/>
          <w:sz w:val="32"/>
          <w:szCs w:val="32"/>
          <w:lang w:val="zh-CN"/>
        </w:rPr>
        <w:t>（二）项目效益情况</w:t>
      </w:r>
    </w:p>
    <w:p>
      <w:pPr>
        <w:pStyle w:val="32"/>
        <w:widowControl w:val="0"/>
        <w:spacing w:before="0" w:beforeAutospacing="0" w:after="0" w:afterAutospacing="0" w:line="560" w:lineRule="exact"/>
        <w:ind w:firstLine="640" w:firstLineChars="200"/>
        <w:jc w:val="both"/>
        <w:rPr>
          <w:rFonts w:ascii="仿宋_GB2312" w:hAnsi="仿宋_GB2312" w:eastAsia="仿宋_GB2312" w:cs="仿宋_GB2312"/>
          <w:color w:val="555555"/>
          <w:sz w:val="32"/>
          <w:szCs w:val="32"/>
        </w:rPr>
      </w:pPr>
      <w:r>
        <w:rPr>
          <w:rFonts w:hint="eastAsia" w:ascii="仿宋_GB2312" w:hAnsi="仿宋_GB2312" w:eastAsia="仿宋_GB2312" w:cs="仿宋_GB2312"/>
          <w:color w:val="555555"/>
          <w:sz w:val="32"/>
          <w:szCs w:val="32"/>
        </w:rPr>
        <w:t>乐山市强制隔离戒毒所依法承担全市11个县（市、区）戒毒人员的收治任务，为戒毒人员提供科学规范的戒毒治疗、心理治疗、身体康复训练和卫生、道德、法制教育，开展职业技能培训，健康回归社会等相关工作。</w:t>
      </w:r>
    </w:p>
    <w:p>
      <w:pPr>
        <w:pStyle w:val="32"/>
        <w:widowControl w:val="0"/>
        <w:spacing w:before="0" w:beforeAutospacing="0" w:after="0" w:afterAutospacing="0" w:line="560" w:lineRule="exact"/>
        <w:ind w:firstLine="642" w:firstLineChars="200"/>
        <w:jc w:val="both"/>
        <w:rPr>
          <w:rFonts w:ascii="仿宋_GB2312" w:hAnsi="仿宋_GB2312" w:eastAsia="仿宋_GB2312" w:cs="仿宋_GB2312"/>
          <w:color w:val="555555"/>
          <w:sz w:val="32"/>
          <w:szCs w:val="32"/>
        </w:rPr>
      </w:pPr>
      <w:r>
        <w:rPr>
          <w:rFonts w:hint="eastAsia" w:ascii="仿宋_GB2312" w:hAnsi="仿宋_GB2312" w:eastAsia="仿宋_GB2312" w:cs="仿宋_GB2312"/>
          <w:b/>
          <w:bCs/>
          <w:color w:val="555555"/>
          <w:sz w:val="32"/>
          <w:szCs w:val="32"/>
        </w:rPr>
        <w:t>履职社会效益：</w:t>
      </w:r>
      <w:r>
        <w:rPr>
          <w:rFonts w:hint="eastAsia" w:ascii="仿宋_GB2312" w:hAnsi="仿宋_GB2312" w:eastAsia="仿宋_GB2312" w:cs="仿宋_GB2312"/>
          <w:color w:val="555555"/>
          <w:sz w:val="32"/>
          <w:szCs w:val="32"/>
        </w:rPr>
        <w:t>2020年度新收治强制戒毒518人。全年实现监所安全无事故，无工作人员违法违纪受到处理。在警力严重不足的情况下，戒毒所紧紧围绕创建“一级强制隔离戒毒所”的奋斗目标，以打造法制文明窗口为总体要求，着力提升保障人权、规范执法、教育感化、安全管理水平，确保了全所安全，为创建平安乐山做出了应有的贡献。</w:t>
      </w:r>
    </w:p>
    <w:p>
      <w:pPr>
        <w:spacing w:line="560" w:lineRule="exact"/>
        <w:ind w:firstLine="640" w:firstLineChars="200"/>
        <w:jc w:val="left"/>
        <w:rPr>
          <w:rFonts w:ascii="仿宋_GB2312" w:hAnsi="仿宋_GB2312" w:eastAsia="仿宋_GB2312" w:cs="仿宋_GB2312"/>
          <w:color w:val="555555"/>
          <w:kern w:val="0"/>
          <w:sz w:val="32"/>
          <w:szCs w:val="32"/>
        </w:rPr>
      </w:pPr>
      <w:r>
        <w:rPr>
          <w:rFonts w:hint="eastAsia" w:ascii="仿宋_GB2312" w:hAnsi="仿宋_GB2312" w:eastAsia="仿宋_GB2312" w:cs="仿宋_GB2312"/>
          <w:color w:val="555555"/>
          <w:kern w:val="0"/>
          <w:sz w:val="32"/>
          <w:szCs w:val="32"/>
        </w:rPr>
        <w:t>项目决策指标满分20分。其中，项目目标、过程和资金分配无差异，“项目目标实施”指标满分4分，设立了项目绩效目标、明确、细化、量化与项目年度计划数相对应；预算确定的项目投资额和实际使用金额有。“绩效目标决策过程”是指决策依据和程序，指标得满分4分。根据有关法律法规的规定，我所制定了与实际问题和需求项目绩效目标决策为具体绩效指标的工作计划和发展规划，申报、批复程序符合相关管理制度，项目调整履行了相应手续。“绩效目标资金分配”是指分配办法与结果，指标满分8分。根据相关资金管理办法，明确了资金的分配办法，使资金分配因素全面，结果公平合理。“绩效项目目标实施”目标完成率53.2%，扣1分，得3分；“绩效目标决策过程”指标满分8分，得7分；“绩效目标资金分配”分配率100%，该项指标得满分8分。</w:t>
      </w:r>
      <w:r>
        <w:rPr>
          <w:rFonts w:hint="eastAsia" w:ascii="仿宋_GB2312" w:hAnsi="仿宋_GB2312" w:eastAsia="仿宋_GB2312" w:cs="仿宋_GB2312"/>
          <w:color w:val="333333"/>
          <w:kern w:val="0"/>
          <w:sz w:val="32"/>
          <w:szCs w:val="32"/>
        </w:rPr>
        <w:t>“</w:t>
      </w:r>
      <w:r>
        <w:rPr>
          <w:rFonts w:hint="eastAsia" w:ascii="仿宋_GB2312" w:hAnsi="仿宋_GB2312" w:eastAsia="仿宋_GB2312" w:cs="仿宋_GB2312"/>
          <w:color w:val="555555"/>
          <w:kern w:val="0"/>
          <w:sz w:val="32"/>
          <w:szCs w:val="32"/>
        </w:rPr>
        <w:t>项目决策</w:t>
      </w:r>
      <w:r>
        <w:rPr>
          <w:rFonts w:hint="eastAsia" w:ascii="仿宋_GB2312" w:hAnsi="仿宋_GB2312" w:eastAsia="仿宋_GB2312" w:cs="仿宋_GB2312"/>
          <w:color w:val="333333"/>
          <w:kern w:val="0"/>
          <w:sz w:val="32"/>
          <w:szCs w:val="32"/>
        </w:rPr>
        <w:t>”指标得18分。</w:t>
      </w:r>
    </w:p>
    <w:p>
      <w:pPr>
        <w:spacing w:line="560" w:lineRule="exact"/>
        <w:ind w:firstLine="640" w:firstLineChars="200"/>
        <w:jc w:val="left"/>
        <w:rPr>
          <w:rFonts w:ascii="仿宋_GB2312" w:hAnsi="仿宋_GB2312" w:eastAsia="仿宋_GB2312" w:cs="仿宋_GB2312"/>
          <w:color w:val="333333"/>
          <w:kern w:val="0"/>
          <w:sz w:val="32"/>
          <w:szCs w:val="32"/>
        </w:rPr>
      </w:pPr>
      <w:r>
        <w:rPr>
          <w:rFonts w:hint="eastAsia" w:ascii="仿宋_GB2312" w:hAnsi="仿宋_GB2312" w:eastAsia="仿宋_GB2312" w:cs="仿宋_GB2312"/>
          <w:color w:val="555555"/>
          <w:kern w:val="0"/>
          <w:sz w:val="32"/>
          <w:szCs w:val="32"/>
        </w:rPr>
        <w:t>项目管理类指标满分30分，自评30分。其中，市局近年来制定了</w:t>
      </w:r>
      <w:r>
        <w:rPr>
          <w:rFonts w:hint="eastAsia" w:ascii="仿宋_GB2312" w:hAnsi="仿宋_GB2312" w:eastAsia="仿宋_GB2312" w:cs="仿宋_GB2312"/>
          <w:color w:val="333333"/>
          <w:kern w:val="0"/>
          <w:sz w:val="32"/>
          <w:szCs w:val="32"/>
        </w:rPr>
        <w:t>一系列的内部管理制度，包括《乐山市公安局机关财务管理办法》、《乐山市公安局经费开支审批规定》等。</w:t>
      </w:r>
      <w:r>
        <w:rPr>
          <w:rFonts w:hint="eastAsia" w:ascii="仿宋_GB2312" w:hAnsi="仿宋_GB2312" w:eastAsia="仿宋_GB2312" w:cs="仿宋_GB2312"/>
          <w:color w:val="555555"/>
          <w:kern w:val="0"/>
          <w:sz w:val="32"/>
          <w:szCs w:val="32"/>
        </w:rPr>
        <w:t>“项目</w:t>
      </w:r>
      <w:r>
        <w:rPr>
          <w:rFonts w:hint="eastAsia" w:ascii="仿宋_GB2312" w:hAnsi="仿宋_GB2312" w:eastAsia="仿宋_GB2312" w:cs="仿宋_GB2312"/>
          <w:color w:val="333333"/>
          <w:kern w:val="0"/>
          <w:sz w:val="32"/>
          <w:szCs w:val="32"/>
        </w:rPr>
        <w:t>资金到位”</w:t>
      </w:r>
      <w:r>
        <w:rPr>
          <w:rFonts w:hint="eastAsia" w:ascii="仿宋_GB2312" w:hAnsi="仿宋_GB2312" w:eastAsia="仿宋_GB2312" w:cs="仿宋_GB2312"/>
          <w:color w:val="555555"/>
          <w:kern w:val="0"/>
          <w:sz w:val="32"/>
          <w:szCs w:val="32"/>
        </w:rPr>
        <w:t>是指到位率和实效，资金及时到位率为100%，指标得满分5分。“项目资金管理”是指财务管理和资金使用。财务管理方面，均</w:t>
      </w:r>
      <w:r>
        <w:rPr>
          <w:rFonts w:hint="eastAsia" w:ascii="仿宋_GB2312" w:hAnsi="仿宋_GB2312" w:eastAsia="仿宋_GB2312" w:cs="仿宋_GB2312"/>
          <w:color w:val="333333"/>
          <w:kern w:val="0"/>
          <w:sz w:val="32"/>
          <w:szCs w:val="32"/>
        </w:rPr>
        <w:t>能全面落实《乐山市公安局经费管理规定》、《乐山市公安局经费开支审批规定》等相关制度。资金使用方面均合法合规，无虚列项目支出情况，无截留挤占挪用情况，无超标准开支情况。</w:t>
      </w:r>
      <w:r>
        <w:rPr>
          <w:rFonts w:hint="eastAsia" w:ascii="仿宋_GB2312" w:hAnsi="仿宋_GB2312" w:eastAsia="仿宋_GB2312" w:cs="仿宋_GB2312"/>
          <w:color w:val="555555"/>
          <w:kern w:val="0"/>
          <w:sz w:val="32"/>
          <w:szCs w:val="32"/>
        </w:rPr>
        <w:t>指标满分15分，得15分。</w:t>
      </w:r>
      <w:r>
        <w:rPr>
          <w:rFonts w:hint="eastAsia" w:ascii="仿宋_GB2312" w:hAnsi="仿宋_GB2312" w:eastAsia="仿宋_GB2312" w:cs="仿宋_GB2312"/>
          <w:color w:val="333333"/>
          <w:kern w:val="0"/>
          <w:sz w:val="32"/>
          <w:szCs w:val="32"/>
        </w:rPr>
        <w:t>“项目组织实施”</w:t>
      </w:r>
      <w:r>
        <w:rPr>
          <w:rFonts w:hint="eastAsia" w:ascii="仿宋_GB2312" w:hAnsi="仿宋_GB2312" w:eastAsia="仿宋_GB2312" w:cs="仿宋_GB2312"/>
          <w:color w:val="555555"/>
          <w:kern w:val="0"/>
          <w:sz w:val="32"/>
          <w:szCs w:val="32"/>
        </w:rPr>
        <w:t>是指项目组织机构、项目实施与管理制度</w:t>
      </w:r>
      <w:r>
        <w:rPr>
          <w:rFonts w:hint="eastAsia" w:ascii="仿宋_GB2312" w:hAnsi="仿宋_GB2312" w:eastAsia="仿宋_GB2312" w:cs="仿宋_GB2312"/>
          <w:color w:val="333333"/>
          <w:kern w:val="0"/>
          <w:sz w:val="32"/>
          <w:szCs w:val="32"/>
        </w:rPr>
        <w:t>，</w:t>
      </w:r>
      <w:r>
        <w:rPr>
          <w:rFonts w:hint="eastAsia" w:ascii="仿宋_GB2312" w:hAnsi="仿宋_GB2312" w:eastAsia="仿宋_GB2312" w:cs="仿宋_GB2312"/>
          <w:color w:val="555555"/>
          <w:kern w:val="0"/>
          <w:sz w:val="32"/>
          <w:szCs w:val="32"/>
        </w:rPr>
        <w:t>指标得满分10分。我所</w:t>
      </w:r>
      <w:r>
        <w:rPr>
          <w:rFonts w:hint="eastAsia" w:ascii="仿宋_GB2312" w:hAnsi="仿宋_GB2312" w:eastAsia="仿宋_GB2312" w:cs="仿宋_GB2312"/>
          <w:color w:val="333333"/>
          <w:kern w:val="0"/>
          <w:sz w:val="32"/>
          <w:szCs w:val="32"/>
        </w:rPr>
        <w:t>机构健全、分工明确，内设有一名协勤人员专职管理固定资产，依据《乐山市公安局机关财务管理办法》等相关规定，有效提供了固定资产的制度保障，固定资产利用率100%；项目按计划开展，项目管理制度健全；“</w:t>
      </w:r>
      <w:r>
        <w:rPr>
          <w:rFonts w:hint="eastAsia" w:ascii="仿宋_GB2312" w:hAnsi="仿宋_GB2312" w:eastAsia="仿宋_GB2312" w:cs="仿宋_GB2312"/>
          <w:color w:val="555555"/>
          <w:kern w:val="0"/>
          <w:sz w:val="32"/>
          <w:szCs w:val="32"/>
        </w:rPr>
        <w:t>项目管理类</w:t>
      </w:r>
      <w:r>
        <w:rPr>
          <w:rFonts w:hint="eastAsia" w:ascii="仿宋_GB2312" w:hAnsi="仿宋_GB2312" w:eastAsia="仿宋_GB2312" w:cs="仿宋_GB2312"/>
          <w:color w:val="333333"/>
          <w:kern w:val="0"/>
          <w:sz w:val="32"/>
          <w:szCs w:val="32"/>
        </w:rPr>
        <w:t>”指标得30分。</w:t>
      </w:r>
    </w:p>
    <w:p>
      <w:pPr>
        <w:spacing w:line="560" w:lineRule="exact"/>
        <w:ind w:firstLine="640" w:firstLineChars="200"/>
        <w:jc w:val="left"/>
        <w:rPr>
          <w:rFonts w:ascii="仿宋_GB2312" w:hAnsi="仿宋_GB2312" w:eastAsia="仿宋_GB2312" w:cs="仿宋_GB2312"/>
          <w:color w:val="555555"/>
          <w:kern w:val="0"/>
          <w:sz w:val="32"/>
          <w:szCs w:val="32"/>
        </w:rPr>
      </w:pPr>
      <w:r>
        <w:rPr>
          <w:rFonts w:hint="eastAsia" w:ascii="仿宋_GB2312" w:hAnsi="仿宋_GB2312" w:eastAsia="仿宋_GB2312" w:cs="仿宋_GB2312"/>
          <w:color w:val="555555"/>
          <w:kern w:val="0"/>
          <w:sz w:val="32"/>
          <w:szCs w:val="32"/>
        </w:rPr>
        <w:t>项目绩效指</w:t>
      </w:r>
      <w:r>
        <w:rPr>
          <w:rFonts w:hint="eastAsia" w:ascii="仿宋_GB2312" w:hAnsi="仿宋_GB2312" w:eastAsia="仿宋_GB2312" w:cs="仿宋_GB2312"/>
          <w:color w:val="333333"/>
          <w:kern w:val="0"/>
          <w:sz w:val="32"/>
          <w:szCs w:val="32"/>
        </w:rPr>
        <w:t>标满分50分。其中，</w:t>
      </w:r>
      <w:r>
        <w:rPr>
          <w:rFonts w:hint="eastAsia" w:ascii="仿宋_GB2312" w:hAnsi="仿宋_GB2312" w:eastAsia="仿宋_GB2312" w:cs="仿宋_GB2312"/>
          <w:color w:val="555555"/>
          <w:kern w:val="0"/>
          <w:sz w:val="32"/>
          <w:szCs w:val="32"/>
        </w:rPr>
        <w:t>“项目产出”是指项目产出成本、质量、实效和数量。20</w:t>
      </w:r>
      <w:r>
        <w:rPr>
          <w:rFonts w:hint="eastAsia" w:ascii="仿宋_GB2312" w:hAnsi="仿宋_GB2312" w:eastAsia="仿宋_GB2312" w:cs="仿宋_GB2312"/>
          <w:color w:val="333333"/>
          <w:kern w:val="0"/>
          <w:sz w:val="32"/>
          <w:szCs w:val="32"/>
        </w:rPr>
        <w:t>20年度共收戒518名戒毒人员，因新冠疫情影响，收治率相比去年减少46.8%。所有戒毒人员严</w:t>
      </w:r>
      <w:r>
        <w:rPr>
          <w:rFonts w:hint="eastAsia" w:ascii="仿宋_GB2312" w:hAnsi="仿宋_GB2312" w:eastAsia="仿宋_GB2312" w:cs="仿宋_GB2312"/>
          <w:color w:val="555555"/>
          <w:kern w:val="0"/>
          <w:sz w:val="32"/>
          <w:szCs w:val="32"/>
        </w:rPr>
        <w:t>格规定接受入所前体检，服从管教，完成生理脱毒，接受身心康复教育。指标得18分。“项目效果”是根据项目实际，保障戒毒人员的合法权益、社会效益、环境效益、可持续影响和服务对象满意度，指标满分30分。戒毒人员戒毒率：我所按标准对每位戒毒人员进行伙食安排，医务人员对戒毒人员每日进行巡诊，保障戒毒人员的合法权益和健康需求；社会效益：严格落实每日领导带班责任和管教民警巡逻制度，确保每日对戒毒人员进行安全教育，全年未发生安全事故；可持续效益：积极打造文明、安全、科学、健康的监所环境，保障戒毒人员的合法权益；加强对戒毒人员的生理心理康复训练，帮助他们早日脱离毒瘾，回归家庭和社会。通过绩效目标，使戒毒人员家属与戒毒人员满意率达到99%，“项目绩效”自评得分48分。</w:t>
      </w:r>
    </w:p>
    <w:p>
      <w:pPr>
        <w:spacing w:line="560" w:lineRule="exact"/>
        <w:ind w:firstLine="640" w:firstLineChars="200"/>
        <w:jc w:val="left"/>
        <w:rPr>
          <w:rFonts w:ascii="黑体" w:hAnsi="黑体" w:eastAsia="黑体" w:cs="黑体"/>
          <w:color w:val="555555"/>
          <w:kern w:val="0"/>
          <w:sz w:val="32"/>
          <w:szCs w:val="32"/>
          <w:lang w:val="zh-CN"/>
        </w:rPr>
      </w:pPr>
      <w:r>
        <w:rPr>
          <w:rFonts w:hint="eastAsia" w:ascii="黑体" w:hAnsi="黑体" w:eastAsia="黑体" w:cs="黑体"/>
          <w:color w:val="555555"/>
          <w:kern w:val="0"/>
          <w:sz w:val="32"/>
          <w:szCs w:val="32"/>
          <w:lang w:val="zh-CN"/>
        </w:rPr>
        <w:t>五、评价结论及建议</w:t>
      </w:r>
    </w:p>
    <w:p>
      <w:pPr>
        <w:spacing w:line="560" w:lineRule="exact"/>
        <w:ind w:firstLine="640" w:firstLineChars="200"/>
        <w:jc w:val="left"/>
        <w:rPr>
          <w:rFonts w:ascii="楷体_GB2312" w:hAnsi="楷体_GB2312" w:eastAsia="楷体_GB2312" w:cs="楷体_GB2312"/>
          <w:color w:val="555555"/>
          <w:kern w:val="0"/>
          <w:sz w:val="32"/>
          <w:szCs w:val="32"/>
          <w:lang w:val="zh-CN"/>
        </w:rPr>
      </w:pPr>
      <w:r>
        <w:rPr>
          <w:rFonts w:hint="eastAsia" w:ascii="楷体_GB2312" w:hAnsi="楷体_GB2312" w:eastAsia="楷体_GB2312" w:cs="楷体_GB2312"/>
          <w:color w:val="555555"/>
          <w:kern w:val="0"/>
          <w:sz w:val="32"/>
          <w:szCs w:val="32"/>
          <w:lang w:val="zh-CN"/>
        </w:rPr>
        <w:t>（一）评价结论</w:t>
      </w:r>
    </w:p>
    <w:p>
      <w:pPr>
        <w:spacing w:line="560" w:lineRule="exact"/>
        <w:ind w:firstLine="640" w:firstLineChars="200"/>
        <w:jc w:val="left"/>
        <w:rPr>
          <w:rFonts w:ascii="仿宋_GB2312" w:hAnsi="仿宋_GB2312" w:eastAsia="仿宋_GB2312" w:cs="仿宋_GB2312"/>
          <w:color w:val="555555"/>
          <w:kern w:val="0"/>
          <w:sz w:val="32"/>
          <w:szCs w:val="32"/>
        </w:rPr>
      </w:pPr>
      <w:r>
        <w:rPr>
          <w:rFonts w:hint="eastAsia" w:ascii="仿宋_GB2312" w:hAnsi="仿宋_GB2312" w:eastAsia="仿宋_GB2312" w:cs="仿宋_GB2312"/>
          <w:color w:val="555555"/>
          <w:kern w:val="0"/>
          <w:sz w:val="32"/>
          <w:szCs w:val="32"/>
        </w:rPr>
        <w:t>我所2020年度戒毒人员给养经费基本拨付到位，经费的管理制度健全，支出手续符合规定，物资采购、保管、使用均符合相关程序，财务核算清晰，相关资料齐全，对经费的使用进行了有效的监督，无挪用、截留经费的情况发生。保障了戒毒所正常运转，较好地完成了年度工作目标任务。</w:t>
      </w:r>
    </w:p>
    <w:p>
      <w:pPr>
        <w:numPr>
          <w:ilvl w:val="0"/>
          <w:numId w:val="5"/>
        </w:numPr>
        <w:spacing w:line="560" w:lineRule="exact"/>
        <w:ind w:firstLine="640" w:firstLineChars="200"/>
        <w:jc w:val="left"/>
        <w:rPr>
          <w:rFonts w:ascii="楷体_GB2312" w:hAnsi="楷体_GB2312" w:eastAsia="楷体_GB2312" w:cs="楷体_GB2312"/>
          <w:color w:val="555555"/>
          <w:kern w:val="0"/>
          <w:sz w:val="32"/>
          <w:szCs w:val="32"/>
        </w:rPr>
      </w:pPr>
      <w:r>
        <w:rPr>
          <w:rFonts w:hint="eastAsia" w:ascii="楷体_GB2312" w:hAnsi="楷体_GB2312" w:eastAsia="楷体_GB2312" w:cs="楷体_GB2312"/>
          <w:color w:val="555555"/>
          <w:kern w:val="0"/>
          <w:sz w:val="32"/>
          <w:szCs w:val="32"/>
          <w:lang w:val="zh-CN"/>
        </w:rPr>
        <w:t>存在的问题</w:t>
      </w:r>
      <w:r>
        <w:rPr>
          <w:rFonts w:hint="eastAsia" w:ascii="楷体_GB2312" w:hAnsi="楷体_GB2312" w:eastAsia="楷体_GB2312" w:cs="楷体_GB2312"/>
          <w:color w:val="555555"/>
          <w:kern w:val="0"/>
          <w:sz w:val="32"/>
          <w:szCs w:val="32"/>
        </w:rPr>
        <w:t xml:space="preserve"> </w:t>
      </w:r>
    </w:p>
    <w:p>
      <w:pPr>
        <w:spacing w:line="560" w:lineRule="exact"/>
        <w:ind w:firstLine="642" w:firstLineChars="200"/>
        <w:jc w:val="left"/>
        <w:rPr>
          <w:rFonts w:ascii="仿宋_GB2312" w:hAnsi="仿宋_GB2312" w:eastAsia="仿宋_GB2312" w:cs="仿宋_GB2312"/>
          <w:color w:val="555555"/>
          <w:sz w:val="32"/>
          <w:szCs w:val="32"/>
          <w:lang w:val="zh-CN"/>
        </w:rPr>
      </w:pPr>
      <w:r>
        <w:rPr>
          <w:rFonts w:hint="eastAsia" w:ascii="仿宋_GB2312" w:hAnsi="仿宋_GB2312" w:eastAsia="仿宋_GB2312" w:cs="仿宋_GB2312"/>
          <w:b/>
          <w:bCs/>
          <w:color w:val="555555"/>
          <w:sz w:val="32"/>
          <w:szCs w:val="32"/>
        </w:rPr>
        <w:t>问题：</w:t>
      </w:r>
      <w:r>
        <w:rPr>
          <w:rFonts w:hint="eastAsia" w:ascii="仿宋_GB2312" w:hAnsi="仿宋_GB2312" w:eastAsia="仿宋_GB2312" w:cs="仿宋_GB2312"/>
          <w:color w:val="555555"/>
          <w:sz w:val="32"/>
          <w:szCs w:val="32"/>
          <w:lang w:val="zh-CN"/>
        </w:rPr>
        <w:t>一是预算编制质量较好但编制准确性有待提高。二是预算经费支出明细科目与实际支出明细科目存在偏差。三是禁毒形势依然严峻，社会效益还不能达到人民的期望。</w:t>
      </w:r>
    </w:p>
    <w:p>
      <w:pPr>
        <w:spacing w:line="560" w:lineRule="exact"/>
        <w:ind w:firstLine="642" w:firstLineChars="200"/>
        <w:jc w:val="left"/>
        <w:rPr>
          <w:rFonts w:ascii="仿宋_GB2312" w:hAnsi="仿宋_GB2312" w:eastAsia="仿宋_GB2312" w:cs="仿宋_GB2312"/>
          <w:b/>
          <w:bCs/>
          <w:color w:val="555555"/>
          <w:kern w:val="0"/>
          <w:sz w:val="32"/>
          <w:szCs w:val="32"/>
        </w:rPr>
      </w:pPr>
      <w:r>
        <w:rPr>
          <w:rFonts w:hint="eastAsia" w:ascii="仿宋_GB2312" w:hAnsi="仿宋_GB2312" w:eastAsia="仿宋_GB2312" w:cs="仿宋_GB2312"/>
          <w:b/>
          <w:bCs/>
          <w:color w:val="555555"/>
          <w:sz w:val="32"/>
          <w:szCs w:val="32"/>
          <w:lang w:val="zh-CN"/>
        </w:rPr>
        <w:t>措施：一是</w:t>
      </w:r>
      <w:r>
        <w:rPr>
          <w:rFonts w:hint="eastAsia" w:ascii="仿宋_GB2312" w:hAnsi="仿宋_GB2312" w:eastAsia="仿宋_GB2312" w:cs="仿宋_GB2312"/>
          <w:color w:val="555555"/>
          <w:sz w:val="32"/>
          <w:szCs w:val="32"/>
        </w:rPr>
        <w:t>做好、做细预算基础工作，提高预算的准确性。</w:t>
      </w:r>
      <w:r>
        <w:rPr>
          <w:rFonts w:hint="eastAsia" w:ascii="仿宋_GB2312" w:hAnsi="仿宋_GB2312" w:eastAsia="仿宋_GB2312" w:cs="仿宋_GB2312"/>
          <w:b/>
          <w:bCs/>
          <w:color w:val="555555"/>
          <w:sz w:val="32"/>
          <w:szCs w:val="32"/>
        </w:rPr>
        <w:t>二是</w:t>
      </w:r>
      <w:r>
        <w:rPr>
          <w:rFonts w:hint="eastAsia" w:ascii="仿宋_GB2312" w:hAnsi="仿宋_GB2312" w:eastAsia="仿宋_GB2312" w:cs="仿宋_GB2312"/>
          <w:color w:val="555555"/>
          <w:sz w:val="32"/>
          <w:szCs w:val="32"/>
        </w:rPr>
        <w:t>进一步完善相应制度建设和财务管理。</w:t>
      </w:r>
      <w:r>
        <w:rPr>
          <w:rFonts w:hint="eastAsia" w:ascii="仿宋_GB2312" w:hAnsi="仿宋_GB2312" w:eastAsia="仿宋_GB2312" w:cs="仿宋_GB2312"/>
          <w:b/>
          <w:color w:val="555555"/>
          <w:kern w:val="0"/>
          <w:sz w:val="32"/>
          <w:szCs w:val="32"/>
        </w:rPr>
        <w:t>三是</w:t>
      </w:r>
      <w:r>
        <w:rPr>
          <w:rFonts w:hint="eastAsia" w:ascii="仿宋_GB2312" w:hAnsi="仿宋_GB2312" w:eastAsia="仿宋_GB2312" w:cs="仿宋_GB2312"/>
          <w:color w:val="555555"/>
          <w:kern w:val="0"/>
          <w:sz w:val="32"/>
          <w:szCs w:val="32"/>
        </w:rPr>
        <w:t>进一步加强对戒毒人员心理辅导、走访帮扶、身心矫正、技能培训工作，降低复吸率；加大禁毒宣传，尤其是对青少年的禁毒宣传，提高禁毒效能。</w:t>
      </w:r>
    </w:p>
    <w:p>
      <w:pPr>
        <w:pStyle w:val="32"/>
        <w:widowControl w:val="0"/>
        <w:spacing w:before="0" w:beforeAutospacing="0" w:after="0" w:afterAutospacing="0" w:line="560" w:lineRule="exact"/>
        <w:ind w:firstLine="640" w:firstLineChars="200"/>
        <w:jc w:val="both"/>
        <w:rPr>
          <w:rFonts w:ascii="楷体_GB2312" w:hAnsi="楷体_GB2312" w:eastAsia="楷体_GB2312" w:cs="楷体_GB2312"/>
          <w:kern w:val="2"/>
          <w:sz w:val="32"/>
          <w:szCs w:val="32"/>
          <w:lang w:val="zh-CN"/>
        </w:rPr>
      </w:pPr>
      <w:r>
        <w:rPr>
          <w:rFonts w:hint="eastAsia" w:ascii="楷体_GB2312" w:hAnsi="楷体_GB2312" w:eastAsia="楷体_GB2312" w:cs="楷体_GB2312"/>
          <w:kern w:val="2"/>
          <w:sz w:val="32"/>
          <w:szCs w:val="32"/>
          <w:lang w:val="zh-CN"/>
        </w:rPr>
        <w:t>（三）相关建议</w:t>
      </w:r>
    </w:p>
    <w:p>
      <w:pPr>
        <w:adjustRightInd w:val="0"/>
        <w:snapToGrid w:val="0"/>
        <w:spacing w:line="560" w:lineRule="exact"/>
        <w:ind w:firstLine="640" w:firstLineChars="200"/>
        <w:rPr>
          <w:rFonts w:ascii="仿宋_GB2312" w:hAnsi="仿宋_GB2312" w:eastAsia="仿宋_GB2312" w:cs="仿宋_GB2312"/>
          <w:b/>
          <w:bCs/>
          <w:color w:val="FF0000"/>
          <w:sz w:val="32"/>
          <w:szCs w:val="32"/>
          <w:lang w:val="zh-CN"/>
        </w:rPr>
      </w:pPr>
      <w:r>
        <w:rPr>
          <w:rFonts w:hint="eastAsia" w:ascii="仿宋_GB2312" w:hAnsi="仿宋_GB2312" w:eastAsia="仿宋_GB2312" w:cs="仿宋_GB2312"/>
          <w:color w:val="555555"/>
          <w:kern w:val="0"/>
          <w:sz w:val="32"/>
          <w:szCs w:val="32"/>
        </w:rPr>
        <w:t>由于公安业务的需求，强制隔离戒毒所特点明显，极其依赖财政项目专项资金的支持，项目立项具有长期性，项目资金投入按实际羁押量需逐年增加，希望上级财政部门加大戒毒所专项资金的总投入。同时在绩效管理工作上，结合强戒所的工作实际中，也希望财政部门加强业务指导，完善效率指标体系，更好反映公安完成的工作任务，指导强戒所专项经费的使用工作更有效率的产出。由于污水中毒品检测指标严重超标，在全省排名居高不下，充分反应了乐山市的禁毒形势依然十分严峻，在乐山市委市政府的正确领导下，市公安局和多部积极开展工作，着力打击制贩毒源头，大力宣传禁毒教育，依法打击和教育吸毒人员，扎实推进禁毒工作。我所严格按照上级领导的要求，积极配合各办案单位的工作，依法收戒违法吸毒人员，文明科学管理，在全所民警积极教育感化戒毒人员，使他们认识毒品的危害，让他们重拾信心，帮助他们戒断毒瘾，早日回归家庭和社会。对社会和谐进步发展起到促进作用，让很多戒毒人员重获新生，让很多破碎的家庭得以复合，减少了很多违法犯罪行为和社会问题。当然，也有不少戒毒人员在回归社会后，因为多种原因，再次因吸毒被处以强制隔离戒毒。对此，戒毒所应该对这些复吸人员重点调查，了解复吸原因，创新工作方法，如心理咨询师介入，家庭成员亲情感化，当地派出所背景调查等方法，对其戒毒工作继续支持，并把这些方法积极运用到以后的工作中去，进一步提高政府财政支出的社会产出效益，为乐山市的平安建设和戒毒工作做更大的贡献。</w:t>
      </w:r>
    </w:p>
    <w:p>
      <w:pPr>
        <w:spacing w:line="560" w:lineRule="exact"/>
        <w:ind w:firstLine="640" w:firstLineChars="200"/>
        <w:jc w:val="left"/>
        <w:rPr>
          <w:rFonts w:ascii="仿宋_GB2312" w:hAnsi="仿宋_GB2312" w:eastAsia="仿宋_GB2312" w:cs="仿宋_GB2312"/>
          <w:color w:val="555555"/>
          <w:kern w:val="0"/>
          <w:sz w:val="32"/>
          <w:szCs w:val="32"/>
        </w:rPr>
      </w:pPr>
    </w:p>
    <w:p>
      <w:pPr>
        <w:spacing w:line="560" w:lineRule="exact"/>
        <w:jc w:val="center"/>
        <w:rPr>
          <w:rFonts w:ascii="方正小标宋简体" w:hAnsi="宋体" w:eastAsia="方正小标宋简体"/>
          <w:color w:val="000000"/>
          <w:kern w:val="0"/>
          <w:sz w:val="44"/>
          <w:szCs w:val="44"/>
          <w:lang w:val="zh-CN"/>
        </w:rPr>
      </w:pPr>
    </w:p>
    <w:p>
      <w:pPr>
        <w:spacing w:line="560" w:lineRule="exact"/>
        <w:jc w:val="center"/>
        <w:rPr>
          <w:rFonts w:ascii="方正小标宋简体" w:hAnsi="宋体" w:eastAsia="方正小标宋简体"/>
          <w:color w:val="000000"/>
          <w:kern w:val="0"/>
          <w:sz w:val="44"/>
          <w:szCs w:val="44"/>
          <w:lang w:val="zh-CN"/>
        </w:rPr>
      </w:pPr>
    </w:p>
    <w:p>
      <w:pPr>
        <w:spacing w:line="560" w:lineRule="exact"/>
        <w:jc w:val="center"/>
        <w:rPr>
          <w:rFonts w:ascii="方正小标宋简体" w:hAnsi="宋体" w:eastAsia="方正小标宋简体"/>
          <w:color w:val="000000"/>
          <w:kern w:val="0"/>
          <w:sz w:val="44"/>
          <w:szCs w:val="44"/>
          <w:lang w:val="zh-CN"/>
        </w:rPr>
      </w:pPr>
    </w:p>
    <w:p>
      <w:pPr>
        <w:spacing w:line="560" w:lineRule="exact"/>
        <w:jc w:val="center"/>
        <w:rPr>
          <w:rFonts w:ascii="方正小标宋简体" w:hAnsi="宋体" w:eastAsia="方正小标宋简体"/>
          <w:color w:val="000000"/>
          <w:kern w:val="0"/>
          <w:sz w:val="44"/>
          <w:szCs w:val="44"/>
          <w:lang w:val="zh-CN"/>
        </w:rPr>
      </w:pPr>
    </w:p>
    <w:p>
      <w:pPr>
        <w:spacing w:line="56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拘留所专项经费项目</w:t>
      </w:r>
    </w:p>
    <w:p>
      <w:pPr>
        <w:spacing w:line="560" w:lineRule="exact"/>
        <w:jc w:val="center"/>
        <w:rPr>
          <w:rFonts w:ascii="方正小标宋简体" w:hAnsi="宋体" w:eastAsia="方正小标宋简体"/>
          <w:color w:val="000000"/>
          <w:kern w:val="0"/>
          <w:sz w:val="44"/>
          <w:szCs w:val="44"/>
        </w:rPr>
      </w:pPr>
      <w:r>
        <w:rPr>
          <w:rFonts w:ascii="方正小标宋简体" w:hAnsi="宋体" w:eastAsia="方正小标宋简体"/>
          <w:color w:val="000000"/>
          <w:kern w:val="0"/>
          <w:sz w:val="44"/>
          <w:szCs w:val="44"/>
        </w:rPr>
        <w:t>2020</w:t>
      </w:r>
      <w:r>
        <w:rPr>
          <w:rFonts w:hint="eastAsia" w:ascii="方正小标宋简体" w:hAnsi="宋体" w:eastAsia="方正小标宋简体"/>
          <w:color w:val="000000"/>
          <w:kern w:val="0"/>
          <w:sz w:val="44"/>
          <w:szCs w:val="44"/>
        </w:rPr>
        <w:t>年</w:t>
      </w:r>
      <w:r>
        <w:rPr>
          <w:rFonts w:hint="eastAsia" w:ascii="方正小标宋简体" w:hAnsi="宋体" w:eastAsia="方正小标宋简体"/>
          <w:color w:val="000000"/>
          <w:kern w:val="0"/>
          <w:sz w:val="44"/>
          <w:szCs w:val="44"/>
          <w:lang w:val="zh-CN"/>
        </w:rPr>
        <w:t>绩效评价报告</w:t>
      </w:r>
    </w:p>
    <w:p>
      <w:pPr>
        <w:spacing w:line="560" w:lineRule="exact"/>
        <w:rPr>
          <w:rFonts w:ascii="宋体"/>
          <w:sz w:val="32"/>
          <w:szCs w:val="32"/>
          <w:lang w:val="zh-CN"/>
        </w:rPr>
      </w:pPr>
    </w:p>
    <w:p>
      <w:pPr>
        <w:adjustRightInd w:val="0"/>
        <w:snapToGrid w:val="0"/>
        <w:spacing w:line="56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乐山市拘留所位于乐山市市中区全福镇裕民街936号，全所占地5000平方米，乐山市拘留所</w:t>
      </w:r>
      <w:r>
        <w:rPr>
          <w:rFonts w:ascii="仿宋_GB2312" w:hAnsi="宋体" w:eastAsia="仿宋_GB2312"/>
          <w:sz w:val="32"/>
          <w:szCs w:val="32"/>
          <w:lang w:val="zh-CN"/>
        </w:rPr>
        <w:t>所为正科级行政单位，隶属乐山市公安局</w:t>
      </w:r>
      <w:r>
        <w:rPr>
          <w:rFonts w:hint="eastAsia" w:ascii="仿宋_GB2312" w:hAnsi="宋体" w:eastAsia="仿宋_GB2312"/>
          <w:sz w:val="32"/>
          <w:szCs w:val="32"/>
          <w:lang w:val="zh-CN"/>
        </w:rPr>
        <w:t>，现有工作人员39人，依法承担本市市中区、沙湾、五通、峨边、金口河、高速交警行政拘留和司法拘留任务。</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spacing w:line="560" w:lineRule="exact"/>
        <w:ind w:firstLine="642" w:firstLineChars="200"/>
        <w:jc w:val="left"/>
        <w:rPr>
          <w:rFonts w:ascii="仿宋" w:hAnsi="仿宋" w:eastAsia="仿宋"/>
        </w:rPr>
      </w:pPr>
      <w:r>
        <w:rPr>
          <w:rFonts w:ascii="仿宋_GB2312" w:hAnsi="仿宋_GB2312" w:eastAsia="仿宋_GB2312" w:cs="仿宋_GB2312"/>
          <w:b/>
          <w:bCs/>
          <w:color w:val="555555"/>
          <w:sz w:val="32"/>
          <w:szCs w:val="32"/>
          <w:lang w:val="zh-CN"/>
        </w:rPr>
        <w:t>1</w:t>
      </w:r>
      <w:r>
        <w:rPr>
          <w:rFonts w:hint="eastAsia" w:ascii="仿宋_GB2312" w:hAnsi="仿宋_GB2312" w:eastAsia="仿宋_GB2312" w:cs="仿宋_GB2312"/>
          <w:b/>
          <w:bCs/>
          <w:color w:val="555555"/>
          <w:sz w:val="32"/>
          <w:szCs w:val="32"/>
          <w:lang w:val="zh-CN"/>
        </w:rPr>
        <w:t>．乐山市拘留所的主要职责是：</w:t>
      </w:r>
      <w:r>
        <w:rPr>
          <w:rFonts w:ascii="仿宋_GB2312" w:hAnsi="宋体" w:eastAsia="仿宋_GB2312"/>
          <w:sz w:val="32"/>
          <w:szCs w:val="32"/>
          <w:lang w:val="zh-CN"/>
        </w:rPr>
        <w:t>贯彻执行《</w:t>
      </w:r>
      <w:r>
        <w:rPr>
          <w:rFonts w:hint="eastAsia" w:ascii="仿宋_GB2312" w:hAnsi="宋体" w:eastAsia="仿宋_GB2312"/>
          <w:sz w:val="32"/>
          <w:szCs w:val="32"/>
          <w:lang w:val="zh-CN"/>
        </w:rPr>
        <w:t>拘留所条例</w:t>
      </w:r>
      <w:r>
        <w:rPr>
          <w:rFonts w:ascii="仿宋_GB2312" w:hAnsi="宋体" w:eastAsia="仿宋_GB2312"/>
          <w:sz w:val="32"/>
          <w:szCs w:val="32"/>
          <w:lang w:val="zh-CN"/>
        </w:rPr>
        <w:t>》及有关方针政策和法律、法规，依法实施对</w:t>
      </w:r>
      <w:r>
        <w:rPr>
          <w:rFonts w:hint="eastAsia" w:ascii="仿宋_GB2312" w:hAnsi="宋体" w:eastAsia="仿宋_GB2312"/>
          <w:sz w:val="32"/>
          <w:szCs w:val="32"/>
          <w:lang w:val="zh-CN"/>
        </w:rPr>
        <w:t>拘留</w:t>
      </w:r>
      <w:r>
        <w:rPr>
          <w:rFonts w:ascii="仿宋_GB2312" w:hAnsi="宋体" w:eastAsia="仿宋_GB2312"/>
          <w:sz w:val="32"/>
          <w:szCs w:val="32"/>
          <w:lang w:val="zh-CN"/>
        </w:rPr>
        <w:t>人员的</w:t>
      </w:r>
      <w:r>
        <w:rPr>
          <w:rFonts w:hint="eastAsia" w:ascii="仿宋_GB2312" w:hAnsi="宋体" w:eastAsia="仿宋_GB2312"/>
          <w:sz w:val="32"/>
          <w:szCs w:val="32"/>
          <w:lang w:val="zh-CN"/>
        </w:rPr>
        <w:t>教育、感化、挽救</w:t>
      </w:r>
      <w:r>
        <w:rPr>
          <w:rFonts w:ascii="仿宋_GB2312" w:hAnsi="宋体" w:eastAsia="仿宋_GB2312"/>
          <w:sz w:val="32"/>
          <w:szCs w:val="32"/>
          <w:lang w:val="zh-CN"/>
        </w:rPr>
        <w:t>等工作</w:t>
      </w:r>
      <w:r>
        <w:rPr>
          <w:rFonts w:hint="eastAsia" w:ascii="仿宋_GB2312" w:hAnsi="宋体" w:eastAsia="仿宋_GB2312"/>
          <w:sz w:val="32"/>
          <w:szCs w:val="32"/>
          <w:lang w:val="zh-CN"/>
        </w:rPr>
        <w:t>；</w:t>
      </w:r>
      <w:r>
        <w:rPr>
          <w:rFonts w:ascii="仿宋_GB2312" w:hAnsi="宋体" w:eastAsia="仿宋_GB2312"/>
          <w:sz w:val="32"/>
          <w:szCs w:val="32"/>
          <w:lang w:val="zh-CN"/>
        </w:rPr>
        <w:t>负责</w:t>
      </w:r>
      <w:r>
        <w:rPr>
          <w:rFonts w:hint="eastAsia" w:ascii="仿宋_GB2312" w:hAnsi="宋体" w:eastAsia="仿宋_GB2312"/>
          <w:sz w:val="32"/>
          <w:szCs w:val="32"/>
          <w:lang w:val="zh-CN"/>
        </w:rPr>
        <w:t>矛盾化解、深挖协助破案</w:t>
      </w:r>
      <w:r>
        <w:rPr>
          <w:rFonts w:ascii="仿宋_GB2312" w:hAnsi="宋体" w:eastAsia="仿宋_GB2312"/>
          <w:sz w:val="32"/>
          <w:szCs w:val="32"/>
          <w:lang w:val="zh-CN"/>
        </w:rPr>
        <w:t>工作；负责场所安全防范工作，预防和处置突发事件。组织</w:t>
      </w:r>
      <w:r>
        <w:rPr>
          <w:rFonts w:hint="eastAsia" w:ascii="仿宋_GB2312" w:hAnsi="宋体" w:eastAsia="仿宋_GB2312"/>
          <w:sz w:val="32"/>
          <w:szCs w:val="32"/>
          <w:lang w:val="zh-CN"/>
        </w:rPr>
        <w:t>被拘留</w:t>
      </w:r>
      <w:r>
        <w:rPr>
          <w:rFonts w:ascii="仿宋_GB2312" w:hAnsi="宋体" w:eastAsia="仿宋_GB2312"/>
          <w:sz w:val="32"/>
          <w:szCs w:val="32"/>
          <w:lang w:val="zh-CN"/>
        </w:rPr>
        <w:t>人员开展思想教育、文化教育</w:t>
      </w:r>
      <w:r>
        <w:rPr>
          <w:rFonts w:hint="eastAsia" w:ascii="仿宋_GB2312" w:hAnsi="宋体" w:eastAsia="仿宋_GB2312"/>
          <w:sz w:val="32"/>
          <w:szCs w:val="32"/>
          <w:lang w:val="zh-CN"/>
        </w:rPr>
        <w:t>、法制教育</w:t>
      </w:r>
      <w:r>
        <w:rPr>
          <w:rFonts w:ascii="仿宋_GB2312" w:hAnsi="宋体" w:eastAsia="仿宋_GB2312"/>
          <w:sz w:val="32"/>
          <w:szCs w:val="32"/>
          <w:lang w:val="zh-CN"/>
        </w:rPr>
        <w:t>。负责</w:t>
      </w:r>
      <w:r>
        <w:rPr>
          <w:rFonts w:hint="eastAsia" w:ascii="仿宋_GB2312" w:hAnsi="宋体" w:eastAsia="仿宋_GB2312"/>
          <w:sz w:val="32"/>
          <w:szCs w:val="32"/>
          <w:lang w:val="zh-CN"/>
        </w:rPr>
        <w:t>被拘留</w:t>
      </w:r>
      <w:r>
        <w:rPr>
          <w:rFonts w:ascii="仿宋_GB2312" w:hAnsi="宋体" w:eastAsia="仿宋_GB2312"/>
          <w:sz w:val="32"/>
          <w:szCs w:val="32"/>
          <w:lang w:val="zh-CN"/>
        </w:rPr>
        <w:t>人员的生活卫生管理，开展卫生防疫、防病治病等工作。负责场所基本建设、财务管理、装备管理、资产管理和信息化建设工作。</w:t>
      </w:r>
    </w:p>
    <w:p>
      <w:pPr>
        <w:spacing w:line="560" w:lineRule="exact"/>
        <w:ind w:firstLine="642" w:firstLineChars="200"/>
        <w:jc w:val="left"/>
        <w:rPr>
          <w:rFonts w:ascii="仿宋_GB2312" w:hAnsi="宋体" w:eastAsia="仿宋_GB2312"/>
          <w:sz w:val="32"/>
          <w:szCs w:val="32"/>
          <w:lang w:val="zh-CN"/>
        </w:rPr>
      </w:pPr>
      <w:r>
        <w:rPr>
          <w:rFonts w:ascii="仿宋_GB2312" w:hAnsi="仿宋_GB2312" w:eastAsia="仿宋_GB2312" w:cs="仿宋_GB2312"/>
          <w:b/>
          <w:bCs/>
          <w:color w:val="555555"/>
          <w:sz w:val="32"/>
          <w:szCs w:val="32"/>
          <w:lang w:val="zh-CN"/>
        </w:rPr>
        <w:t>2</w:t>
      </w:r>
      <w:r>
        <w:rPr>
          <w:rFonts w:hint="eastAsia" w:ascii="仿宋_GB2312" w:hAnsi="仿宋_GB2312" w:eastAsia="仿宋_GB2312" w:cs="仿宋_GB2312"/>
          <w:b/>
          <w:bCs/>
          <w:color w:val="555555"/>
          <w:sz w:val="32"/>
          <w:szCs w:val="32"/>
          <w:lang w:val="zh-CN"/>
        </w:rPr>
        <w:t>．项目立项、资金申报依据：</w:t>
      </w:r>
      <w:r>
        <w:rPr>
          <w:rFonts w:hint="eastAsia" w:ascii="仿宋_GB2312" w:hAnsi="仿宋_GB2312" w:eastAsia="仿宋_GB2312" w:cs="仿宋_GB2312"/>
          <w:color w:val="555555"/>
          <w:sz w:val="32"/>
          <w:szCs w:val="32"/>
        </w:rPr>
        <w:t>资金申报按照《财政部 公安部关于拘留所强制隔离戒毒所被监管人员伙食费和医疗费有关问题的通知》（财【2010】4号）、</w:t>
      </w:r>
      <w:r>
        <w:rPr>
          <w:rFonts w:hint="eastAsia" w:ascii="仿宋_GB2312" w:hAnsi="仿宋_GB2312" w:eastAsia="仿宋_GB2312" w:cs="仿宋_GB2312"/>
          <w:sz w:val="32"/>
          <w:szCs w:val="32"/>
        </w:rPr>
        <w:t>《财政部 公安部关于拘留所强制隔离戒毒所被监管人员伙食费和医疗费有关问题的通知》的通知（公监管[2010]110号）、《四川省财政厅  四川省公安厅关于加强看守所在押人员生活保障的通知》（川财行【2016】270号）、《关于进一步加强看守所经费保障工作的通知》 （川财行【2009】181号），</w:t>
      </w:r>
      <w:r>
        <w:rPr>
          <w:rFonts w:hint="eastAsia" w:ascii="仿宋_GB2312" w:hAnsi="仿宋_GB2312" w:eastAsia="仿宋_GB2312" w:cs="仿宋_GB2312"/>
          <w:color w:val="555555"/>
          <w:sz w:val="32"/>
          <w:szCs w:val="32"/>
        </w:rPr>
        <w:t>并参照本地看守所在押人员的标准执行。</w:t>
      </w:r>
    </w:p>
    <w:p>
      <w:pPr>
        <w:pStyle w:val="32"/>
        <w:widowControl w:val="0"/>
        <w:spacing w:before="0" w:beforeAutospacing="0" w:after="0" w:afterAutospacing="0" w:line="560" w:lineRule="exact"/>
        <w:ind w:firstLine="642" w:firstLineChars="200"/>
        <w:jc w:val="both"/>
        <w:rPr>
          <w:rFonts w:ascii="仿宋_GB2312" w:hAnsi="仿宋_GB2312" w:eastAsia="仿宋_GB2312" w:cs="仿宋_GB2312"/>
          <w:color w:val="555555"/>
          <w:sz w:val="32"/>
          <w:szCs w:val="32"/>
        </w:rPr>
      </w:pPr>
      <w:r>
        <w:rPr>
          <w:rFonts w:hint="eastAsia" w:ascii="仿宋_GB2312" w:hAnsi="仿宋_GB2312" w:eastAsia="仿宋_GB2312" w:cs="仿宋_GB2312"/>
          <w:b/>
          <w:bCs/>
          <w:color w:val="555555"/>
          <w:kern w:val="2"/>
          <w:sz w:val="32"/>
          <w:szCs w:val="32"/>
          <w:lang w:val="zh-CN"/>
        </w:rPr>
        <w:t>3、资金管理办法制定情况，资金支持具体项目的条件、范围与支持方式概况：</w:t>
      </w:r>
      <w:r>
        <w:rPr>
          <w:rFonts w:hint="eastAsia" w:ascii="仿宋_GB2312" w:hAnsi="仿宋_GB2312" w:eastAsia="仿宋_GB2312" w:cs="仿宋_GB2312"/>
          <w:color w:val="555555"/>
          <w:sz w:val="32"/>
          <w:szCs w:val="32"/>
        </w:rPr>
        <w:t>按照公安部、财政部制定《看守所经费开支范围和管理办法的规定》，并参照本地看守所在押人员的标准制定；戒毒人员专项经费的使用是指为监管场所正常运转、完成日常工作任务而发生的支出。为实现监所工作职能、完成监所各项工作, 保障更加有力，确保了监所的安全。</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spacing w:line="560" w:lineRule="exact"/>
        <w:ind w:firstLine="642" w:firstLineChars="200"/>
        <w:jc w:val="left"/>
        <w:rPr>
          <w:rFonts w:ascii="楷体_GB2312" w:hAnsi="宋体" w:eastAsia="楷体_GB2312"/>
          <w:b/>
          <w:sz w:val="32"/>
          <w:szCs w:val="32"/>
          <w:lang w:val="zh-CN"/>
        </w:rPr>
      </w:pPr>
      <w:r>
        <w:rPr>
          <w:rFonts w:hint="eastAsia" w:ascii="楷体_GB2312" w:hAnsi="宋体" w:eastAsia="楷体_GB2312"/>
          <w:b/>
          <w:sz w:val="32"/>
          <w:szCs w:val="32"/>
          <w:lang w:val="zh-CN"/>
        </w:rPr>
        <w:t>1、项目主要内容：</w:t>
      </w:r>
      <w:r>
        <w:rPr>
          <w:rFonts w:hint="eastAsia" w:ascii="仿宋_GB2312" w:hAnsi="宋体" w:eastAsia="仿宋_GB2312"/>
          <w:sz w:val="32"/>
          <w:szCs w:val="32"/>
          <w:lang w:val="zh-CN"/>
        </w:rPr>
        <w:t>项目内容涉及拘留人员给养（伙食、衣被、医疗、公杂）、消毒、医护工勤人员工资、公务（宣传教育、水电、取暖、档案资料、押解）、装备消耗（交通工具、通信、取证设备、计算机、警械、修缮、绿化）等。对项目资金申报按年初财务预算计划申报，符合资金管理办法等相关规定。</w:t>
      </w:r>
    </w:p>
    <w:p>
      <w:pPr>
        <w:spacing w:line="560" w:lineRule="exact"/>
        <w:ind w:firstLine="642" w:firstLineChars="200"/>
        <w:jc w:val="left"/>
        <w:rPr>
          <w:rFonts w:ascii="仿宋_GB2312" w:hAnsi="宋体" w:eastAsia="仿宋_GB2312"/>
          <w:sz w:val="32"/>
          <w:szCs w:val="32"/>
          <w:lang w:val="zh-CN"/>
        </w:rPr>
      </w:pPr>
      <w:r>
        <w:rPr>
          <w:rFonts w:hint="eastAsia" w:ascii="楷体_GB2312" w:hAnsi="宋体" w:eastAsia="楷体_GB2312"/>
          <w:b/>
          <w:sz w:val="32"/>
          <w:szCs w:val="32"/>
          <w:lang w:val="zh-CN"/>
        </w:rPr>
        <w:t>2、项目绩效目标：</w:t>
      </w:r>
      <w:r>
        <w:rPr>
          <w:rFonts w:hint="eastAsia" w:ascii="仿宋_GB2312" w:hAnsi="宋体" w:eastAsia="仿宋_GB2312"/>
          <w:sz w:val="32"/>
          <w:szCs w:val="32"/>
          <w:lang w:val="zh-CN"/>
        </w:rPr>
        <w:t>计划实现的具体绩效目标：一是严格落实《拘留所建设标准》的建设总体要求，进一步加强和规范拘留所的建设，提高投资效益，充分发挥拘留所的职能作用；二是确保监管安全文明，保障被拘留人员合法权益，提高教育矫治成效,充分发挥拘留所在公安行政执法和构建社会主义和谐社会中的职能作用；三是始终围绕中心工作，进一步强化公安队伍建设，不断提高民警的政治素质、法律素质、业务素质和人文素养，着力打造一支高素质的监所管理队伍；四是加强公安宣传力度、延伸宣传触角，打造富有乐山特色的拘留所文化品牌；五是努力做到执法文明规范、监管安全有序、管理宽严有度、教育丰富多样、权益保障有力的安全文明监管场所、教育矫治违法人员的特殊学校。</w:t>
      </w:r>
    </w:p>
    <w:p>
      <w:pPr>
        <w:spacing w:line="560" w:lineRule="exact"/>
        <w:ind w:firstLine="642" w:firstLineChars="200"/>
        <w:jc w:val="left"/>
        <w:rPr>
          <w:rFonts w:ascii="仿宋_GB2312" w:hAnsi="宋体" w:eastAsia="仿宋_GB2312"/>
          <w:sz w:val="32"/>
          <w:szCs w:val="32"/>
          <w:lang w:val="zh-CN"/>
        </w:rPr>
      </w:pPr>
      <w:r>
        <w:rPr>
          <w:rFonts w:hint="eastAsia" w:ascii="楷体_GB2312" w:hAnsi="宋体" w:eastAsia="楷体_GB2312"/>
          <w:b/>
          <w:sz w:val="32"/>
          <w:szCs w:val="32"/>
          <w:lang w:val="zh-CN"/>
        </w:rPr>
        <w:t>3、项目资金申报相符性：</w:t>
      </w:r>
      <w:r>
        <w:rPr>
          <w:rFonts w:hint="eastAsia" w:ascii="仿宋_GB2312" w:hAnsi="宋体" w:eastAsia="仿宋_GB2312"/>
          <w:sz w:val="32"/>
          <w:szCs w:val="32"/>
          <w:lang w:val="zh-CN"/>
        </w:rPr>
        <w:t>项目申报内容与具体实施内容相符，申报目标合理可行，申报程序和手续符号相关管理办法，按照标准以及当年的工作计划按程序申报，做到保障服务到位。</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pStyle w:val="32"/>
        <w:widowControl w:val="0"/>
        <w:spacing w:before="0" w:beforeAutospacing="0" w:after="0" w:afterAutospacing="0" w:line="560" w:lineRule="exact"/>
        <w:ind w:firstLine="640" w:firstLineChars="200"/>
        <w:rPr>
          <w:rFonts w:ascii="仿宋_GB2312" w:eastAsia="仿宋_GB2312" w:cs="Times New Roman"/>
          <w:kern w:val="2"/>
          <w:sz w:val="32"/>
          <w:szCs w:val="32"/>
          <w:lang w:val="zh-CN"/>
        </w:rPr>
      </w:pPr>
      <w:r>
        <w:rPr>
          <w:rFonts w:hint="eastAsia" w:ascii="仿宋_GB2312" w:eastAsia="仿宋_GB2312" w:cs="Times New Roman"/>
          <w:kern w:val="2"/>
          <w:sz w:val="32"/>
          <w:szCs w:val="32"/>
          <w:lang w:val="zh-CN"/>
        </w:rPr>
        <w:t>项目严格按照预算执行，做到事情计划、事中绩效控制、事后总结提高，合理安排资金使用，充分体现资金投向的目标和效益。明确每个具体流程、工作内容、方法、步骤以及相关规定，并将决算表、帐薄、凭证、报表及时归档保存，增加信息的及时性、准确性和完整性。</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560" w:lineRule="exact"/>
        <w:ind w:firstLine="720"/>
        <w:rPr>
          <w:rFonts w:ascii="仿宋_GB2312" w:hAnsi="仿宋_GB2312" w:eastAsia="仿宋_GB2312" w:cs="仿宋_GB2312"/>
          <w:color w:val="555555"/>
          <w:sz w:val="32"/>
          <w:szCs w:val="32"/>
        </w:rPr>
      </w:pPr>
      <w:r>
        <w:rPr>
          <w:rFonts w:hint="eastAsia" w:ascii="仿宋_GB2312" w:hAnsi="仿宋_GB2312" w:eastAsia="仿宋_GB2312" w:cs="仿宋_GB2312"/>
          <w:color w:val="555555"/>
          <w:kern w:val="0"/>
          <w:sz w:val="32"/>
          <w:szCs w:val="32"/>
        </w:rPr>
        <w:t>该项目申请拘留所部门经费财政预算拨款135万元，符合监所管理制度和相关财务制度，拘留所当年编制下一年度预算，根据申报计划，2020年</w:t>
      </w:r>
      <w:r>
        <w:rPr>
          <w:rFonts w:hint="eastAsia" w:ascii="仿宋_GB2312" w:hAnsi="仿宋_GB2312" w:eastAsia="仿宋_GB2312" w:cs="仿宋_GB2312"/>
          <w:kern w:val="0"/>
          <w:sz w:val="32"/>
          <w:szCs w:val="32"/>
        </w:rPr>
        <w:t>市财政</w:t>
      </w:r>
      <w:r>
        <w:rPr>
          <w:rFonts w:hint="eastAsia" w:ascii="仿宋_GB2312" w:hAnsi="仿宋_GB2312" w:eastAsia="仿宋_GB2312" w:cs="仿宋_GB2312"/>
          <w:color w:val="555555"/>
          <w:kern w:val="0"/>
          <w:sz w:val="32"/>
          <w:szCs w:val="32"/>
        </w:rPr>
        <w:t>批复我所专项经</w:t>
      </w:r>
      <w:r>
        <w:rPr>
          <w:rFonts w:hint="eastAsia" w:ascii="仿宋_GB2312" w:hAnsi="仿宋_GB2312" w:eastAsia="仿宋_GB2312" w:cs="仿宋_GB2312"/>
          <w:kern w:val="0"/>
          <w:sz w:val="32"/>
          <w:szCs w:val="32"/>
        </w:rPr>
        <w:t>费135万元，</w:t>
      </w:r>
      <w:r>
        <w:rPr>
          <w:rFonts w:hint="eastAsia" w:ascii="仿宋_GB2312" w:hAnsi="仿宋_GB2312" w:eastAsia="仿宋_GB2312" w:cs="仿宋_GB2312"/>
          <w:color w:val="555555"/>
          <w:sz w:val="32"/>
          <w:szCs w:val="32"/>
        </w:rPr>
        <w:t>批复指标到位率为100%。</w:t>
      </w:r>
    </w:p>
    <w:p>
      <w:pPr>
        <w:adjustRightInd w:val="0"/>
        <w:snapToGrid w:val="0"/>
        <w:spacing w:line="56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pPr>
        <w:adjustRightInd w:val="0"/>
        <w:snapToGrid w:val="0"/>
        <w:spacing w:line="560" w:lineRule="exact"/>
        <w:ind w:firstLine="720"/>
        <w:rPr>
          <w:rFonts w:ascii="仿宋_GB2312" w:hAnsi="宋体" w:eastAsia="仿宋_GB2312"/>
          <w:sz w:val="32"/>
          <w:szCs w:val="32"/>
          <w:lang w:val="zh-CN"/>
        </w:rPr>
      </w:pPr>
      <w:r>
        <w:rPr>
          <w:rFonts w:ascii="楷体_GB2312" w:hAnsi="宋体" w:eastAsia="楷体_GB2312"/>
          <w:sz w:val="32"/>
          <w:szCs w:val="32"/>
          <w:lang w:val="zh-CN"/>
        </w:rPr>
        <w:t>1</w:t>
      </w:r>
      <w:r>
        <w:rPr>
          <w:rFonts w:hint="eastAsia" w:ascii="楷体_GB2312" w:hAnsi="宋体" w:eastAsia="楷体_GB2312"/>
          <w:sz w:val="32"/>
          <w:szCs w:val="32"/>
          <w:lang w:val="zh-CN"/>
        </w:rPr>
        <w:t>．资金计划。</w:t>
      </w:r>
      <w:r>
        <w:rPr>
          <w:rFonts w:ascii="仿宋_GB2312" w:hAnsi="宋体" w:eastAsia="仿宋_GB2312"/>
          <w:sz w:val="32"/>
          <w:szCs w:val="32"/>
          <w:lang w:val="zh-CN"/>
        </w:rPr>
        <w:t>2020年度</w:t>
      </w:r>
      <w:r>
        <w:rPr>
          <w:rFonts w:hint="eastAsia" w:ascii="仿宋_GB2312" w:hAnsi="宋体" w:eastAsia="仿宋_GB2312"/>
          <w:sz w:val="32"/>
          <w:szCs w:val="32"/>
          <w:lang w:val="zh-CN"/>
        </w:rPr>
        <w:t>乐山市拘留</w:t>
      </w:r>
      <w:r>
        <w:rPr>
          <w:rFonts w:ascii="仿宋_GB2312" w:hAnsi="宋体" w:eastAsia="仿宋_GB2312"/>
          <w:sz w:val="32"/>
          <w:szCs w:val="32"/>
          <w:lang w:val="zh-CN"/>
        </w:rPr>
        <w:t>所部门业务经费年度项目已完成，符合监所管理制度和相关财务制度。</w:t>
      </w:r>
      <w:r>
        <w:rPr>
          <w:rFonts w:hint="eastAsia" w:ascii="仿宋_GB2312" w:hAnsi="宋体" w:eastAsia="仿宋_GB2312"/>
          <w:sz w:val="32"/>
          <w:szCs w:val="32"/>
          <w:lang w:val="zh-CN"/>
        </w:rPr>
        <w:t>乐山市拘留所</w:t>
      </w:r>
      <w:r>
        <w:rPr>
          <w:rFonts w:ascii="仿宋_GB2312" w:hAnsi="宋体" w:eastAsia="仿宋_GB2312"/>
          <w:sz w:val="32"/>
          <w:szCs w:val="32"/>
          <w:lang w:val="zh-CN"/>
        </w:rPr>
        <w:t>上年编制历年预算，经所领导同意后，报市局警保处。报账采取月底汇集采购清单和正式发票，经所领导审批、警保处审批、分管副局长审批，最后再到市局财务室报账。</w:t>
      </w:r>
      <w:r>
        <w:rPr>
          <w:rFonts w:hint="eastAsia" w:ascii="仿宋_GB2312" w:hAnsi="宋体" w:eastAsia="仿宋_GB2312"/>
          <w:sz w:val="32"/>
          <w:szCs w:val="32"/>
          <w:lang w:val="zh-CN"/>
        </w:rPr>
        <w:t>乐山市拘留</w:t>
      </w:r>
      <w:r>
        <w:rPr>
          <w:rFonts w:ascii="仿宋_GB2312" w:hAnsi="宋体" w:eastAsia="仿宋_GB2312"/>
          <w:sz w:val="32"/>
          <w:szCs w:val="32"/>
          <w:lang w:val="zh-CN"/>
        </w:rPr>
        <w:t>所每月项目在立项、审批、报账等多个环节均进行层层把关且严格执行会计制度，确保资金使用有完整的审批手续，财务核算符合规范。</w:t>
      </w:r>
    </w:p>
    <w:p>
      <w:pPr>
        <w:adjustRightInd w:val="0"/>
        <w:snapToGrid w:val="0"/>
        <w:spacing w:line="560" w:lineRule="exact"/>
        <w:ind w:firstLine="720"/>
        <w:rPr>
          <w:rFonts w:ascii="仿宋" w:hAnsi="仿宋" w:eastAsia="仿宋"/>
        </w:rPr>
      </w:pPr>
      <w:r>
        <w:rPr>
          <w:rFonts w:ascii="楷体_GB2312" w:hAnsi="宋体" w:eastAsia="楷体_GB2312"/>
          <w:sz w:val="32"/>
          <w:szCs w:val="32"/>
          <w:lang w:val="zh-CN"/>
        </w:rPr>
        <w:t>2</w:t>
      </w:r>
      <w:r>
        <w:rPr>
          <w:rFonts w:hint="eastAsia" w:ascii="楷体_GB2312" w:hAnsi="宋体" w:eastAsia="楷体_GB2312"/>
          <w:sz w:val="32"/>
          <w:szCs w:val="32"/>
          <w:lang w:val="zh-CN"/>
        </w:rPr>
        <w:t>．资金到位。2020年度</w:t>
      </w:r>
      <w:r>
        <w:rPr>
          <w:rFonts w:hint="eastAsia" w:ascii="仿宋_GB2312" w:hAnsi="宋体" w:eastAsia="仿宋_GB2312"/>
          <w:sz w:val="32"/>
          <w:szCs w:val="32"/>
          <w:lang w:val="zh-CN"/>
        </w:rPr>
        <w:t>乐山市拘留所部门经费共</w:t>
      </w:r>
      <w:r>
        <w:rPr>
          <w:rFonts w:ascii="仿宋_GB2312" w:hAnsi="宋体" w:eastAsia="仿宋_GB2312"/>
          <w:sz w:val="32"/>
          <w:szCs w:val="32"/>
          <w:lang w:val="zh-CN"/>
        </w:rPr>
        <w:t>135</w:t>
      </w:r>
      <w:r>
        <w:rPr>
          <w:rFonts w:hint="eastAsia" w:ascii="仿宋_GB2312" w:hAnsi="宋体" w:eastAsia="仿宋_GB2312"/>
          <w:sz w:val="32"/>
          <w:szCs w:val="32"/>
          <w:lang w:val="zh-CN"/>
        </w:rPr>
        <w:t>万。其中市财政拨款</w:t>
      </w:r>
      <w:r>
        <w:rPr>
          <w:rFonts w:ascii="仿宋_GB2312" w:hAnsi="宋体" w:eastAsia="仿宋_GB2312"/>
          <w:sz w:val="32"/>
          <w:szCs w:val="32"/>
          <w:lang w:val="zh-CN"/>
        </w:rPr>
        <w:t>135</w:t>
      </w:r>
      <w:r>
        <w:rPr>
          <w:rFonts w:hint="eastAsia" w:ascii="仿宋_GB2312" w:hAnsi="宋体" w:eastAsia="仿宋_GB2312"/>
          <w:sz w:val="32"/>
          <w:szCs w:val="32"/>
          <w:lang w:val="zh-CN"/>
        </w:rPr>
        <w:t>万元，</w:t>
      </w:r>
      <w:r>
        <w:rPr>
          <w:rFonts w:ascii="仿宋_GB2312" w:hAnsi="宋体" w:eastAsia="仿宋_GB2312"/>
          <w:sz w:val="32"/>
          <w:szCs w:val="32"/>
          <w:lang w:val="zh-CN"/>
        </w:rPr>
        <w:t>全部资金都来自市级财政拨款</w:t>
      </w:r>
      <w:r>
        <w:rPr>
          <w:rFonts w:hint="eastAsia" w:ascii="仿宋_GB2312" w:hAnsi="宋体" w:eastAsia="仿宋_GB2312"/>
          <w:sz w:val="32"/>
          <w:szCs w:val="32"/>
          <w:lang w:val="zh-CN"/>
        </w:rPr>
        <w:t>资金100%到位。</w:t>
      </w:r>
    </w:p>
    <w:p>
      <w:pPr>
        <w:spacing w:line="560" w:lineRule="exact"/>
        <w:ind w:firstLine="640" w:firstLineChars="200"/>
        <w:jc w:val="left"/>
        <w:rPr>
          <w:rFonts w:ascii="仿宋_GB2312" w:hAnsi="宋体" w:eastAsia="仿宋_GB2312"/>
          <w:sz w:val="32"/>
          <w:szCs w:val="32"/>
          <w:lang w:val="zh-CN"/>
        </w:rPr>
      </w:pPr>
      <w:r>
        <w:rPr>
          <w:rFonts w:ascii="楷体_GB2312" w:hAnsi="宋体" w:eastAsia="楷体_GB2312"/>
          <w:sz w:val="32"/>
          <w:szCs w:val="32"/>
          <w:lang w:val="zh-CN"/>
        </w:rPr>
        <w:t>3</w:t>
      </w:r>
      <w:r>
        <w:rPr>
          <w:rFonts w:hint="eastAsia" w:ascii="楷体_GB2312" w:hAnsi="宋体" w:eastAsia="楷体_GB2312"/>
          <w:sz w:val="32"/>
          <w:szCs w:val="32"/>
          <w:lang w:val="zh-CN"/>
        </w:rPr>
        <w:t>．资金使用。</w:t>
      </w:r>
      <w:r>
        <w:rPr>
          <w:rFonts w:hint="eastAsia" w:ascii="仿宋_GB2312" w:hAnsi="宋体" w:eastAsia="仿宋_GB2312"/>
          <w:sz w:val="32"/>
          <w:szCs w:val="32"/>
          <w:lang w:val="zh-CN"/>
        </w:rPr>
        <w:t>项目实际支出</w:t>
      </w:r>
      <w:r>
        <w:rPr>
          <w:rFonts w:ascii="仿宋_GB2312" w:hAnsi="宋体" w:eastAsia="仿宋_GB2312"/>
          <w:sz w:val="32"/>
          <w:szCs w:val="32"/>
          <w:lang w:val="zh-CN"/>
        </w:rPr>
        <w:t>126.04</w:t>
      </w:r>
      <w:r>
        <w:rPr>
          <w:rFonts w:hint="eastAsia" w:ascii="仿宋_GB2312" w:hAnsi="宋体" w:eastAsia="仿宋_GB2312"/>
          <w:sz w:val="32"/>
          <w:szCs w:val="32"/>
          <w:lang w:val="zh-CN"/>
        </w:rPr>
        <w:t>万元，该项目实际支出（包括拘留人员伙食、衣被、医疗、公杂费用27万元、医护工勤人员工资62.5万元、宣传教育、水电、取暖、档案资料等费用18.53万元、交通工具、通信、取证设备、计算机、警械、修缮、绿化等费用9.51万元、邮电等其他费用8.5万元。</w:t>
      </w:r>
      <w:r>
        <w:rPr>
          <w:rFonts w:ascii="仿宋_GB2312" w:hAnsi="宋体" w:eastAsia="仿宋_GB2312"/>
          <w:sz w:val="32"/>
          <w:szCs w:val="32"/>
          <w:lang w:val="zh-CN"/>
        </w:rPr>
        <w:t>资金的使用符合财经法规和财务管理制度以及有关专项资金管理办法的规定；资金的拨付有完整的审批程序和手续；项目资金符合项目预算批复或合同规定的用途。项目资金管理办法符合相关财务会计制度的规定，严格按照资金开支范围、标准及支付进度和预算科目进行列支，支付依据合规合法，确保了资金使用的安全性和规范性。</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spacing w:line="560" w:lineRule="exact"/>
        <w:ind w:firstLine="640" w:firstLineChars="200"/>
        <w:jc w:val="left"/>
        <w:rPr>
          <w:rFonts w:ascii="仿宋_GB2312" w:hAnsi="宋体" w:eastAsia="仿宋_GB2312"/>
          <w:sz w:val="32"/>
          <w:szCs w:val="32"/>
          <w:lang w:val="zh-CN"/>
        </w:rPr>
      </w:pPr>
      <w:r>
        <w:rPr>
          <w:rFonts w:hint="eastAsia" w:ascii="仿宋_GB2312" w:hAnsi="宋体" w:eastAsia="仿宋_GB2312"/>
          <w:sz w:val="32"/>
          <w:szCs w:val="32"/>
          <w:lang w:val="zh-CN"/>
        </w:rPr>
        <w:t>乐山市拘留</w:t>
      </w:r>
      <w:r>
        <w:rPr>
          <w:rFonts w:ascii="仿宋_GB2312" w:hAnsi="宋体" w:eastAsia="仿宋_GB2312"/>
          <w:sz w:val="32"/>
          <w:szCs w:val="32"/>
          <w:lang w:val="zh-CN"/>
        </w:rPr>
        <w:t>所在资金使用上一直按照国家财经法规和市局财务管理制度规定以及有关专项资金管理办法的规定收支，资金拨付有完整的审批程序和手续，按照财经制度的有关要求，做到专款专用，单位财务监督小组对专项资金的使用进行全程监督，保证资金使用的合法合规性。切实做到了财务管理制度健全，财务处理及时，会计核算规范、准确。</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spacing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该项目在市局相关部门的领导下，由我所具体操作与实施，严格落实财经纪律及市局机关管理规定，层层把关，在资金使用时，严格落实“三重一大”政策，使资金使用公开、透明、合法合规，</w:t>
      </w:r>
      <w:r>
        <w:rPr>
          <w:rFonts w:hint="eastAsia" w:ascii="仿宋_GB2312" w:hAnsi="仿宋_GB2312" w:eastAsia="仿宋_GB2312" w:cs="仿宋_GB2312"/>
          <w:sz w:val="32"/>
          <w:szCs w:val="32"/>
        </w:rPr>
        <w:t>强化风险管控能力，促进廉政建设，</w:t>
      </w:r>
      <w:r>
        <w:rPr>
          <w:rFonts w:hint="eastAsia" w:ascii="仿宋_GB2312" w:hAnsi="仿宋_GB2312" w:eastAsia="仿宋_GB2312" w:cs="仿宋_GB2312"/>
          <w:sz w:val="32"/>
          <w:szCs w:val="32"/>
          <w:lang w:val="zh-CN"/>
        </w:rPr>
        <w:t>自觉接受广大党员干部的监督。成立了资金使用监督小组，分管副所长任组长，成员由楼层管教民警组成。</w:t>
      </w:r>
      <w:r>
        <w:rPr>
          <w:rFonts w:hint="eastAsia" w:ascii="仿宋_GB2312" w:hAnsi="仿宋_GB2312" w:eastAsia="仿宋_GB2312" w:cs="仿宋_GB2312"/>
          <w:sz w:val="32"/>
          <w:szCs w:val="32"/>
        </w:rPr>
        <w:t>建立“正职监管、副职分管、集体领导、民主决策”的工作机制。</w:t>
      </w:r>
    </w:p>
    <w:p>
      <w:pPr>
        <w:adjustRightInd w:val="0"/>
        <w:snapToGrid w:val="0"/>
        <w:spacing w:line="56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（二）项目管理情况。</w:t>
      </w:r>
      <w:r>
        <w:rPr>
          <w:rFonts w:hint="eastAsia" w:ascii="仿宋_GB2312" w:hAnsi="仿宋_GB2312" w:eastAsia="仿宋_GB2312" w:cs="仿宋_GB2312"/>
          <w:sz w:val="32"/>
          <w:szCs w:val="32"/>
          <w:lang w:val="zh-CN"/>
        </w:rPr>
        <w:t>该项目实施前，</w:t>
      </w:r>
      <w:r>
        <w:rPr>
          <w:rFonts w:hint="eastAsia" w:ascii="仿宋_GB2312" w:hAnsi="仿宋_GB2312" w:eastAsia="仿宋_GB2312" w:cs="仿宋_GB2312"/>
          <w:sz w:val="32"/>
          <w:szCs w:val="32"/>
        </w:rPr>
        <w:t>根据《预算法》《会计法》《行政事业单位财务规则》以及财政部、公安部联合下发的《公安机关财务管理办法》《乐山市公安局机关财务管理办法》等有关规定，加强财务管理和监督，提高资金使用效率，保障依法履行职能，</w:t>
      </w:r>
      <w:r>
        <w:rPr>
          <w:rFonts w:hint="eastAsia" w:ascii="仿宋_GB2312" w:hAnsi="仿宋_GB2312" w:eastAsia="仿宋_GB2312" w:cs="仿宋_GB2312"/>
          <w:sz w:val="32"/>
          <w:szCs w:val="32"/>
          <w:lang w:val="zh-CN"/>
        </w:rPr>
        <w:t>严格按照财务管理制度管理要求对该项目的资金进行预算、评估、招投标（竞争性谈判</w:t>
      </w:r>
      <w:r>
        <w:rPr>
          <w:rFonts w:hint="eastAsia" w:ascii="仿宋_GB2312" w:hAnsi="仿宋_GB2312" w:eastAsia="仿宋_GB2312" w:cs="仿宋_GB2312"/>
          <w:sz w:val="32"/>
          <w:szCs w:val="32"/>
        </w:rPr>
        <w:t>)对服务申请了政府采购</w:t>
      </w:r>
    </w:p>
    <w:p>
      <w:pPr>
        <w:spacing w:line="560" w:lineRule="exact"/>
        <w:ind w:firstLine="642" w:firstLineChars="200"/>
        <w:jc w:val="left"/>
        <w:rPr>
          <w:rFonts w:ascii="仿宋" w:hAnsi="仿宋" w:eastAsia="仿宋"/>
        </w:rPr>
      </w:pPr>
      <w:r>
        <w:rPr>
          <w:rFonts w:hint="eastAsia" w:ascii="楷体_GB2312" w:hAnsi="宋体" w:eastAsia="楷体_GB2312"/>
          <w:b/>
          <w:sz w:val="32"/>
          <w:szCs w:val="32"/>
          <w:lang w:val="zh-CN"/>
        </w:rPr>
        <w:t>（三）项目监管情况。</w:t>
      </w:r>
      <w:r>
        <w:rPr>
          <w:rFonts w:ascii="仿宋_GB2312" w:hAnsi="宋体" w:eastAsia="仿宋_GB2312"/>
          <w:sz w:val="32"/>
          <w:szCs w:val="32"/>
          <w:lang w:val="zh-CN"/>
        </w:rPr>
        <w:t>项目实施的过程中，由市局廉政监督员对资金使用进行监督，确保资金的使用严格执行财务管理制度规定</w:t>
      </w:r>
      <w:r>
        <w:rPr>
          <w:rFonts w:ascii="仿宋" w:hAnsi="仿宋" w:eastAsia="仿宋"/>
        </w:rPr>
        <w:t>。</w:t>
      </w:r>
    </w:p>
    <w:p>
      <w:pPr>
        <w:adjustRightInd w:val="0"/>
        <w:snapToGrid w:val="0"/>
        <w:spacing w:line="56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ascii="仿宋_GB2312" w:hAnsi="宋体" w:eastAsia="仿宋_GB2312"/>
          <w:sz w:val="32"/>
          <w:szCs w:val="32"/>
          <w:lang w:val="zh-CN"/>
        </w:rPr>
        <w:tab/>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spacing w:line="560" w:lineRule="exact"/>
        <w:ind w:firstLine="640" w:firstLineChars="200"/>
        <w:jc w:val="left"/>
        <w:rPr>
          <w:rFonts w:ascii="仿宋" w:hAnsi="仿宋" w:eastAsia="仿宋"/>
          <w:highlight w:val="lightGray"/>
        </w:rPr>
      </w:pPr>
      <w:r>
        <w:rPr>
          <w:rFonts w:ascii="仿宋_GB2312" w:hAnsi="仿宋_GB2312" w:eastAsia="仿宋_GB2312" w:cs="仿宋_GB2312"/>
          <w:sz w:val="32"/>
          <w:szCs w:val="32"/>
        </w:rPr>
        <w:t>该项目</w:t>
      </w:r>
      <w:r>
        <w:rPr>
          <w:rFonts w:hint="eastAsia" w:ascii="仿宋_GB2312" w:hAnsi="仿宋_GB2312" w:eastAsia="仿宋_GB2312" w:cs="仿宋_GB2312"/>
          <w:sz w:val="32"/>
          <w:szCs w:val="32"/>
        </w:rPr>
        <w:t>2020</w:t>
      </w:r>
      <w:r>
        <w:rPr>
          <w:rFonts w:ascii="仿宋_GB2312" w:hAnsi="仿宋_GB2312" w:eastAsia="仿宋_GB2312" w:cs="仿宋_GB2312"/>
          <w:sz w:val="32"/>
          <w:szCs w:val="32"/>
        </w:rPr>
        <w:t>年预算安排全年</w:t>
      </w:r>
      <w:r>
        <w:rPr>
          <w:rFonts w:hint="eastAsia" w:ascii="仿宋_GB2312" w:hAnsi="仿宋_GB2312" w:eastAsia="仿宋_GB2312" w:cs="仿宋_GB2312"/>
          <w:sz w:val="32"/>
          <w:szCs w:val="32"/>
        </w:rPr>
        <w:t>135</w:t>
      </w:r>
      <w:r>
        <w:rPr>
          <w:rFonts w:ascii="仿宋_GB2312" w:hAnsi="仿宋_GB2312" w:eastAsia="仿宋_GB2312" w:cs="仿宋_GB2312"/>
          <w:sz w:val="32"/>
          <w:szCs w:val="32"/>
        </w:rPr>
        <w:t>万元，</w:t>
      </w:r>
      <w:r>
        <w:rPr>
          <w:rFonts w:hint="eastAsia" w:ascii="仿宋_GB2312" w:hAnsi="仿宋_GB2312" w:eastAsia="仿宋_GB2312" w:cs="仿宋_GB2312"/>
          <w:sz w:val="32"/>
          <w:szCs w:val="32"/>
        </w:rPr>
        <w:t>实际支出126.04万元，</w:t>
      </w:r>
      <w:r>
        <w:rPr>
          <w:rFonts w:ascii="仿宋_GB2312" w:hAnsi="仿宋_GB2312" w:eastAsia="仿宋_GB2312" w:cs="仿宋_GB2312"/>
          <w:sz w:val="32"/>
          <w:szCs w:val="32"/>
        </w:rPr>
        <w:t>基本完成年初绩效目标</w:t>
      </w:r>
      <w:r>
        <w:rPr>
          <w:rFonts w:hint="eastAsia" w:ascii="仿宋_GB2312" w:hAnsi="仿宋_GB2312" w:eastAsia="仿宋_GB2312" w:cs="仿宋_GB2312"/>
          <w:sz w:val="32"/>
          <w:szCs w:val="32"/>
        </w:rPr>
        <w:t>拘留人员伙食、衣被、医疗、公杂费用27万元、医护工勤人员工资62.5万元、宣传教育、水电、取暖、档案资料等费用18.53万元、交通工具、通信、取证设备、计算机、警械、修缮、绿化等费用9.51万元、邮电等其他费用8.5万元。因新冠疫情影响，2020年实际关押量与预算减少，致预算支出节约8.96万元，预算执行率为93.4%，在</w:t>
      </w:r>
      <w:r>
        <w:rPr>
          <w:rFonts w:hint="eastAsia" w:ascii="仿宋_GB2312" w:hAnsi="仿宋_GB2312" w:eastAsia="仿宋_GB2312" w:cs="仿宋_GB2312"/>
          <w:kern w:val="0"/>
          <w:sz w:val="32"/>
          <w:szCs w:val="32"/>
        </w:rPr>
        <w:t>市局统筹安排，基本完成年初绩效目标。</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乐山市拘留所是本市唯一的一级拘留所，承担全市市中区、沙湾、五通、峨边、金口河、高速交警行政拘留和司法拘留的关押工作。为拘留人员提供科学规范的思想教育、文化教育、法制教育。</w:t>
      </w:r>
    </w:p>
    <w:p>
      <w:pPr>
        <w:adjustRightInd w:val="0"/>
        <w:snapToGrid w:val="0"/>
        <w:spacing w:line="560" w:lineRule="exact"/>
        <w:ind w:firstLine="720"/>
        <w:rPr>
          <w:rFonts w:ascii="仿宋_GB2312" w:hAnsi="仿宋_GB2312" w:eastAsia="仿宋_GB2312" w:cs="仿宋_GB2312"/>
          <w:sz w:val="32"/>
          <w:szCs w:val="32"/>
        </w:rPr>
      </w:pPr>
      <w:r>
        <w:rPr>
          <w:rFonts w:hint="eastAsia" w:ascii="仿宋_GB2312" w:hAnsi="仿宋_GB2312" w:eastAsia="仿宋_GB2312" w:cs="仿宋_GB2312"/>
          <w:sz w:val="32"/>
          <w:szCs w:val="32"/>
        </w:rPr>
        <w:t>履职社会效益：2020年度共收拘1308人，全年实现安全无事故，没有工作人员违法违纪受到处理。在警力不足的情况下，以打造法制文明窗口为总体要求，着力提升保障人权、规范执法、教育感化、安全管理的水平，确保了全所安全，为创建平安乐山做出了应有的贡献。充分发挥拘留所在公安行政执法和构建社会主义和谐社会中的职能作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项目绩效分析。</w:t>
      </w:r>
      <w:r>
        <w:rPr>
          <w:rFonts w:ascii="仿宋_GB2312" w:hAnsi="仿宋_GB2312" w:eastAsia="仿宋_GB2312" w:cs="仿宋_GB2312"/>
          <w:sz w:val="32"/>
          <w:szCs w:val="32"/>
        </w:rPr>
        <w:t>投入类指标满分30分，自评24分。其中：项目实施时间与计划时间无差异，“项目实施时间与计划时间的差异情况”指标得满分3分；绩效目标与项目年度计划数相对应，预算确定的项目投资额和实际使用金额没有完全匹配，扣</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分，“绩效目标合理性”指标得1分；项目绩效目标细化分解为具体的绩效指标，但个别指标无法通过清晰、可衡量的指标值予以提现，如社会效益，“绩效指标明确性”扣1分，得1分；目标完成率82%，“绩效指标完成率”指标满分5分，得4分；成本控制率100%，该项指标得满分5分；资金到位率100%，得满分3分；到位及时率100%，得满分2分；资金使用率100%，得满分5分；财政投入数100%，，满分3分。</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过程类指标满分30分，自评30分。其中：市局近年来制定了一系列的内部控制制度，包括《乐山市公安局经费管理规定》、《乐山市公安局经费开支审批规定》等，对该项目的业务管理、财务管理、会计信息管理都能做到制度健全、资金使用合规、会计信息规范、完整。内设有一名协勤人员专职管理固定资产，依据《乐山市公安局机关财务管理办法》等相关规定，为固定资产管理提供了有效的制度保障，固定资产利用率100%。项目资金符合预算批复，不存在截留、挤占、挪用等情况，“过程”指标得满分30分。</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产出与效益类指标满分40分，自评40分。其中：</w:t>
      </w:r>
      <w:r>
        <w:rPr>
          <w:rFonts w:hint="eastAsia" w:ascii="仿宋_GB2312" w:hAnsi="仿宋_GB2312" w:eastAsia="仿宋_GB2312" w:cs="仿宋_GB2312"/>
          <w:sz w:val="32"/>
          <w:szCs w:val="32"/>
        </w:rPr>
        <w:t>现有工作人员39人</w:t>
      </w:r>
      <w:r>
        <w:rPr>
          <w:rFonts w:ascii="仿宋_GB2312" w:hAnsi="仿宋_GB2312" w:eastAsia="仿宋_GB2312" w:cs="仿宋_GB2312"/>
          <w:sz w:val="32"/>
          <w:szCs w:val="32"/>
        </w:rPr>
        <w:t>，保持监所的正常运作，确保监管场所的安全稳定，“产出数量”得分9分；</w:t>
      </w:r>
      <w:r>
        <w:rPr>
          <w:rFonts w:hint="eastAsia" w:ascii="仿宋_GB2312" w:hAnsi="仿宋_GB2312" w:eastAsia="仿宋_GB2312" w:cs="仿宋_GB2312"/>
          <w:sz w:val="32"/>
          <w:szCs w:val="32"/>
        </w:rPr>
        <w:t>2020</w:t>
      </w:r>
      <w:r>
        <w:rPr>
          <w:rFonts w:ascii="仿宋_GB2312" w:hAnsi="仿宋_GB2312" w:eastAsia="仿宋_GB2312" w:cs="仿宋_GB2312"/>
          <w:sz w:val="32"/>
          <w:szCs w:val="32"/>
        </w:rPr>
        <w:t>年度共收</w:t>
      </w:r>
      <w:r>
        <w:rPr>
          <w:rFonts w:hint="eastAsia" w:ascii="仿宋_GB2312" w:hAnsi="仿宋_GB2312" w:eastAsia="仿宋_GB2312" w:cs="仿宋_GB2312"/>
          <w:sz w:val="32"/>
          <w:szCs w:val="32"/>
        </w:rPr>
        <w:t>拘1308人</w:t>
      </w:r>
      <w:r>
        <w:rPr>
          <w:rFonts w:ascii="仿宋_GB2312" w:hAnsi="仿宋_GB2312" w:eastAsia="仿宋_GB2312" w:cs="仿宋_GB2312"/>
          <w:sz w:val="32"/>
          <w:szCs w:val="32"/>
        </w:rPr>
        <w:t>，相比去年</w:t>
      </w:r>
      <w:r>
        <w:rPr>
          <w:rFonts w:hint="eastAsia" w:ascii="仿宋_GB2312" w:hAnsi="仿宋_GB2312" w:eastAsia="仿宋_GB2312" w:cs="仿宋_GB2312"/>
          <w:sz w:val="32"/>
          <w:szCs w:val="32"/>
        </w:rPr>
        <w:t>减少37.7</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（因疫情影响，2020年2-5月，市拘留所停止收拘，支援看守所）</w:t>
      </w:r>
      <w:r>
        <w:rPr>
          <w:rFonts w:ascii="仿宋_GB2312" w:hAnsi="仿宋_GB2312" w:eastAsia="仿宋_GB2312" w:cs="仿宋_GB2312"/>
          <w:sz w:val="32"/>
          <w:szCs w:val="32"/>
        </w:rPr>
        <w:t>。所有</w:t>
      </w:r>
      <w:r>
        <w:rPr>
          <w:rFonts w:hint="eastAsia" w:ascii="仿宋_GB2312" w:hAnsi="仿宋_GB2312" w:eastAsia="仿宋_GB2312" w:cs="仿宋_GB2312"/>
          <w:sz w:val="32"/>
          <w:szCs w:val="32"/>
        </w:rPr>
        <w:t>被拘留人员</w:t>
      </w:r>
      <w:r>
        <w:rPr>
          <w:rFonts w:ascii="仿宋_GB2312" w:hAnsi="仿宋_GB2312" w:eastAsia="仿宋_GB2312" w:cs="仿宋_GB2312"/>
          <w:sz w:val="32"/>
          <w:szCs w:val="32"/>
        </w:rPr>
        <w:t>严格规定接受入所前体检，</w:t>
      </w:r>
      <w:r>
        <w:rPr>
          <w:rFonts w:hint="eastAsia" w:ascii="仿宋_GB2312" w:hAnsi="仿宋_GB2312" w:eastAsia="仿宋_GB2312" w:cs="仿宋_GB2312"/>
          <w:sz w:val="32"/>
          <w:szCs w:val="32"/>
        </w:rPr>
        <w:t>接受</w:t>
      </w:r>
      <w:r>
        <w:rPr>
          <w:rFonts w:ascii="仿宋_GB2312" w:hAnsi="仿宋_GB2312" w:eastAsia="仿宋_GB2312" w:cs="仿宋_GB2312"/>
          <w:sz w:val="32"/>
          <w:szCs w:val="32"/>
        </w:rPr>
        <w:t>思想、文化</w:t>
      </w:r>
      <w:r>
        <w:rPr>
          <w:rFonts w:hint="eastAsia" w:ascii="仿宋_GB2312" w:hAnsi="仿宋_GB2312" w:eastAsia="仿宋_GB2312" w:cs="仿宋_GB2312"/>
          <w:sz w:val="32"/>
          <w:szCs w:val="32"/>
        </w:rPr>
        <w:t>、法制教育</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拘留人员管理教育</w:t>
      </w:r>
      <w:r>
        <w:rPr>
          <w:rFonts w:ascii="仿宋_GB2312" w:hAnsi="仿宋_GB2312" w:eastAsia="仿宋_GB2312" w:cs="仿宋_GB2312"/>
          <w:sz w:val="32"/>
          <w:szCs w:val="32"/>
        </w:rPr>
        <w:t>”指标得满分9分；我所按标准对每位</w:t>
      </w:r>
      <w:r>
        <w:rPr>
          <w:rFonts w:hint="eastAsia" w:ascii="仿宋_GB2312" w:hAnsi="仿宋_GB2312" w:eastAsia="仿宋_GB2312" w:cs="仿宋_GB2312"/>
          <w:sz w:val="32"/>
          <w:szCs w:val="32"/>
        </w:rPr>
        <w:t>拘留人员</w:t>
      </w:r>
      <w:r>
        <w:rPr>
          <w:rFonts w:ascii="仿宋_GB2312" w:hAnsi="仿宋_GB2312" w:eastAsia="仿宋_GB2312" w:cs="仿宋_GB2312"/>
          <w:sz w:val="32"/>
          <w:szCs w:val="32"/>
        </w:rPr>
        <w:t>的伙食按月按日安排，保障他们的合法权益，所内的医务人员对</w:t>
      </w:r>
      <w:r>
        <w:rPr>
          <w:rFonts w:hint="eastAsia" w:ascii="仿宋_GB2312" w:hAnsi="仿宋_GB2312" w:eastAsia="仿宋_GB2312" w:cs="仿宋_GB2312"/>
          <w:sz w:val="32"/>
          <w:szCs w:val="32"/>
        </w:rPr>
        <w:t>拘留人员</w:t>
      </w:r>
      <w:r>
        <w:rPr>
          <w:rFonts w:ascii="仿宋_GB2312" w:hAnsi="仿宋_GB2312" w:eastAsia="仿宋_GB2312" w:cs="仿宋_GB2312"/>
          <w:sz w:val="32"/>
          <w:szCs w:val="32"/>
        </w:rPr>
        <w:t>每日进行巡诊，保障</w:t>
      </w:r>
      <w:r>
        <w:rPr>
          <w:rFonts w:hint="eastAsia" w:ascii="仿宋_GB2312" w:hAnsi="仿宋_GB2312" w:eastAsia="仿宋_GB2312" w:cs="仿宋_GB2312"/>
          <w:sz w:val="32"/>
          <w:szCs w:val="32"/>
        </w:rPr>
        <w:t>拘留人员</w:t>
      </w:r>
      <w:r>
        <w:rPr>
          <w:rFonts w:ascii="仿宋_GB2312" w:hAnsi="仿宋_GB2312" w:eastAsia="仿宋_GB2312" w:cs="仿宋_GB2312"/>
          <w:sz w:val="32"/>
          <w:szCs w:val="32"/>
        </w:rPr>
        <w:t>的健康需求，“社会效益”指标得满分6分；我所严格落实每日领导带班</w:t>
      </w:r>
      <w:r>
        <w:rPr>
          <w:rFonts w:hint="eastAsia" w:ascii="仿宋_GB2312" w:hAnsi="仿宋_GB2312" w:eastAsia="仿宋_GB2312" w:cs="仿宋_GB2312"/>
          <w:sz w:val="32"/>
          <w:szCs w:val="32"/>
        </w:rPr>
        <w:t>制度</w:t>
      </w:r>
      <w:r>
        <w:rPr>
          <w:rFonts w:ascii="仿宋_GB2312" w:hAnsi="仿宋_GB2312" w:eastAsia="仿宋_GB2312" w:cs="仿宋_GB2312"/>
          <w:sz w:val="32"/>
          <w:szCs w:val="32"/>
        </w:rPr>
        <w:t>，管教民警加强巡逻，每日对</w:t>
      </w:r>
      <w:r>
        <w:rPr>
          <w:rFonts w:hint="eastAsia" w:ascii="仿宋_GB2312" w:hAnsi="仿宋_GB2312" w:eastAsia="仿宋_GB2312" w:cs="仿宋_GB2312"/>
          <w:sz w:val="32"/>
          <w:szCs w:val="32"/>
        </w:rPr>
        <w:t>拘留人员</w:t>
      </w:r>
      <w:r>
        <w:rPr>
          <w:rFonts w:ascii="仿宋_GB2312" w:hAnsi="仿宋_GB2312" w:eastAsia="仿宋_GB2312" w:cs="仿宋_GB2312"/>
          <w:sz w:val="32"/>
          <w:szCs w:val="32"/>
        </w:rPr>
        <w:t>进行思想、文化</w:t>
      </w:r>
      <w:r>
        <w:rPr>
          <w:rFonts w:hint="eastAsia" w:ascii="仿宋_GB2312" w:hAnsi="仿宋_GB2312" w:eastAsia="仿宋_GB2312" w:cs="仿宋_GB2312"/>
          <w:sz w:val="32"/>
          <w:szCs w:val="32"/>
        </w:rPr>
        <w:t>、法制</w:t>
      </w:r>
      <w:r>
        <w:rPr>
          <w:rFonts w:ascii="仿宋_GB2312" w:hAnsi="仿宋_GB2312" w:eastAsia="仿宋_GB2312" w:cs="仿宋_GB2312"/>
          <w:sz w:val="32"/>
          <w:szCs w:val="32"/>
        </w:rPr>
        <w:t>教育，未发生安全事故，“可持续效益”指标得满分8分；我所积极打造文明、安全、科学、健康的监所环境，保障</w:t>
      </w:r>
      <w:r>
        <w:rPr>
          <w:rFonts w:hint="eastAsia" w:ascii="仿宋_GB2312" w:hAnsi="仿宋_GB2312" w:eastAsia="仿宋_GB2312" w:cs="仿宋_GB2312"/>
          <w:sz w:val="32"/>
          <w:szCs w:val="32"/>
        </w:rPr>
        <w:t>拘留人员</w:t>
      </w:r>
      <w:r>
        <w:rPr>
          <w:rFonts w:ascii="仿宋_GB2312" w:hAnsi="仿宋_GB2312" w:eastAsia="仿宋_GB2312" w:cs="仿宋_GB2312"/>
          <w:sz w:val="32"/>
          <w:szCs w:val="32"/>
        </w:rPr>
        <w:t>的合法权益，</w:t>
      </w:r>
      <w:r>
        <w:rPr>
          <w:rFonts w:hint="eastAsia" w:ascii="仿宋_GB2312" w:hAnsi="仿宋_GB2312" w:eastAsia="仿宋_GB2312" w:cs="仿宋_GB2312"/>
          <w:sz w:val="32"/>
          <w:szCs w:val="32"/>
        </w:rPr>
        <w:t>2020</w:t>
      </w:r>
      <w:r>
        <w:rPr>
          <w:rFonts w:ascii="仿宋_GB2312" w:hAnsi="仿宋_GB2312" w:eastAsia="仿宋_GB2312" w:cs="仿宋_GB2312"/>
          <w:sz w:val="32"/>
          <w:szCs w:val="32"/>
        </w:rPr>
        <w:t>年度的工作富有成效，</w:t>
      </w:r>
      <w:r>
        <w:rPr>
          <w:rFonts w:hint="eastAsia" w:ascii="仿宋_GB2312" w:hAnsi="仿宋_GB2312" w:eastAsia="仿宋_GB2312" w:cs="仿宋_GB2312"/>
          <w:sz w:val="32"/>
          <w:szCs w:val="32"/>
        </w:rPr>
        <w:t>拘留</w:t>
      </w:r>
      <w:r>
        <w:rPr>
          <w:rFonts w:ascii="仿宋_GB2312" w:hAnsi="仿宋_GB2312" w:eastAsia="仿宋_GB2312" w:cs="仿宋_GB2312"/>
          <w:sz w:val="32"/>
          <w:szCs w:val="32"/>
        </w:rPr>
        <w:t>人员满意率达99%，“服务对象满意度”指标得满分8分</w:t>
      </w:r>
      <w:r>
        <w:rPr>
          <w:rFonts w:hint="eastAsia" w:ascii="仿宋_GB2312" w:hAnsi="仿宋_GB2312" w:eastAsia="仿宋_GB2312" w:cs="仿宋_GB2312"/>
          <w:sz w:val="32"/>
          <w:szCs w:val="32"/>
        </w:rPr>
        <w:t>。</w:t>
      </w:r>
    </w:p>
    <w:p>
      <w:pPr>
        <w:adjustRightInd w:val="0"/>
        <w:snapToGrid w:val="0"/>
        <w:spacing w:line="56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spacing w:line="560" w:lineRule="exact"/>
        <w:ind w:firstLine="640" w:firstLineChars="200"/>
        <w:jc w:val="left"/>
        <w:rPr>
          <w:rFonts w:ascii="仿宋_GB2312" w:hAnsi="仿宋_GB2312" w:eastAsia="仿宋_GB2312" w:cs="仿宋_GB2312"/>
          <w:color w:val="555555"/>
          <w:kern w:val="0"/>
          <w:sz w:val="32"/>
          <w:szCs w:val="32"/>
        </w:rPr>
      </w:pPr>
      <w:r>
        <w:rPr>
          <w:rFonts w:hint="eastAsia" w:ascii="仿宋_GB2312" w:hAnsi="仿宋_GB2312" w:eastAsia="仿宋_GB2312" w:cs="仿宋_GB2312"/>
          <w:color w:val="555555"/>
          <w:kern w:val="0"/>
          <w:sz w:val="32"/>
          <w:szCs w:val="32"/>
        </w:rPr>
        <w:t>我所2020年度拘留人员给养经费基本拨付到位，经费的管理制度健全，支出手续符合规定，物资采购、保管、使用均符合相关程序，财务核算清晰，相关资料齐全，对经费的使用进行了有效的监督，无挪用、截留经费的情况发生。保障了拘留所正常运转，较好地完成了年度工作目标任务。</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spacing w:line="560" w:lineRule="exact"/>
        <w:ind w:firstLine="640" w:firstLineChars="200"/>
        <w:jc w:val="left"/>
        <w:rPr>
          <w:rFonts w:ascii="仿宋_GB2312" w:hAnsi="仿宋_GB2312" w:eastAsia="仿宋_GB2312" w:cs="仿宋_GB2312"/>
          <w:color w:val="555555"/>
          <w:kern w:val="0"/>
          <w:sz w:val="32"/>
          <w:szCs w:val="32"/>
        </w:rPr>
      </w:pPr>
      <w:r>
        <w:rPr>
          <w:rFonts w:hint="eastAsia" w:ascii="仿宋_GB2312" w:hAnsi="仿宋_GB2312" w:eastAsia="仿宋_GB2312" w:cs="仿宋_GB2312"/>
          <w:color w:val="555555"/>
          <w:kern w:val="0"/>
          <w:sz w:val="32"/>
          <w:szCs w:val="32"/>
        </w:rPr>
        <w:t>问题：一是预算编制质量较好但编制准确性有待提高；二是预算经费支出明细科目与实际支出明细科目存偏差。</w:t>
      </w:r>
    </w:p>
    <w:p>
      <w:pPr>
        <w:spacing w:line="560" w:lineRule="exact"/>
        <w:ind w:firstLine="640" w:firstLineChars="200"/>
        <w:jc w:val="left"/>
        <w:rPr>
          <w:rFonts w:ascii="仿宋_GB2312" w:hAnsi="仿宋_GB2312" w:eastAsia="仿宋_GB2312" w:cs="仿宋_GB2312"/>
          <w:color w:val="555555"/>
          <w:kern w:val="0"/>
          <w:sz w:val="32"/>
          <w:szCs w:val="32"/>
        </w:rPr>
      </w:pPr>
      <w:r>
        <w:rPr>
          <w:rFonts w:hint="eastAsia" w:ascii="仿宋_GB2312" w:hAnsi="仿宋_GB2312" w:eastAsia="仿宋_GB2312" w:cs="仿宋_GB2312"/>
          <w:color w:val="555555"/>
          <w:kern w:val="0"/>
          <w:sz w:val="32"/>
          <w:szCs w:val="32"/>
        </w:rPr>
        <w:t>措施：一是做好、做细预算基础工作，提高预算的准确性；二是加快完善相应制度建设和财务管理。</w:t>
      </w:r>
    </w:p>
    <w:p>
      <w:pPr>
        <w:adjustRightInd w:val="0"/>
        <w:snapToGrid w:val="0"/>
        <w:spacing w:line="56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spacing w:line="560" w:lineRule="exact"/>
        <w:ind w:firstLine="640" w:firstLineChars="200"/>
        <w:jc w:val="left"/>
        <w:rPr>
          <w:rFonts w:ascii="仿宋_GB2312" w:hAnsi="仿宋_GB2312" w:eastAsia="仿宋_GB2312" w:cs="仿宋_GB2312"/>
          <w:color w:val="555555"/>
          <w:kern w:val="0"/>
          <w:sz w:val="32"/>
          <w:szCs w:val="32"/>
        </w:rPr>
      </w:pPr>
      <w:r>
        <w:rPr>
          <w:rFonts w:ascii="仿宋_GB2312" w:hAnsi="仿宋_GB2312" w:eastAsia="仿宋_GB2312" w:cs="仿宋_GB2312"/>
          <w:color w:val="555555"/>
          <w:kern w:val="0"/>
          <w:sz w:val="32"/>
          <w:szCs w:val="32"/>
        </w:rPr>
        <w:t>由于公安业务的需求，</w:t>
      </w:r>
      <w:r>
        <w:rPr>
          <w:rFonts w:hint="eastAsia" w:ascii="仿宋_GB2312" w:hAnsi="仿宋_GB2312" w:eastAsia="仿宋_GB2312" w:cs="仿宋_GB2312"/>
          <w:color w:val="555555"/>
          <w:kern w:val="0"/>
          <w:sz w:val="32"/>
          <w:szCs w:val="32"/>
        </w:rPr>
        <w:t>拘留</w:t>
      </w:r>
      <w:r>
        <w:rPr>
          <w:rFonts w:ascii="仿宋_GB2312" w:hAnsi="仿宋_GB2312" w:eastAsia="仿宋_GB2312" w:cs="仿宋_GB2312"/>
          <w:color w:val="555555"/>
          <w:kern w:val="0"/>
          <w:sz w:val="32"/>
          <w:szCs w:val="32"/>
        </w:rPr>
        <w:t>所特点明显，极其依赖财政项目专项资金的支持，项目立项具有长期性，项目资金投入按实际羁押量需逐年增加，希望上级财政部门加大</w:t>
      </w:r>
      <w:r>
        <w:rPr>
          <w:rFonts w:hint="eastAsia" w:ascii="仿宋_GB2312" w:hAnsi="仿宋_GB2312" w:eastAsia="仿宋_GB2312" w:cs="仿宋_GB2312"/>
          <w:color w:val="555555"/>
          <w:kern w:val="0"/>
          <w:sz w:val="32"/>
          <w:szCs w:val="32"/>
        </w:rPr>
        <w:t>拘留</w:t>
      </w:r>
      <w:r>
        <w:rPr>
          <w:rFonts w:ascii="仿宋_GB2312" w:hAnsi="仿宋_GB2312" w:eastAsia="仿宋_GB2312" w:cs="仿宋_GB2312"/>
          <w:color w:val="555555"/>
          <w:kern w:val="0"/>
          <w:sz w:val="32"/>
          <w:szCs w:val="32"/>
        </w:rPr>
        <w:t>所专项资金的总投入。同时在绩效管理工作上，结合</w:t>
      </w:r>
      <w:r>
        <w:rPr>
          <w:rFonts w:hint="eastAsia" w:ascii="仿宋_GB2312" w:hAnsi="仿宋_GB2312" w:eastAsia="仿宋_GB2312" w:cs="仿宋_GB2312"/>
          <w:color w:val="555555"/>
          <w:kern w:val="0"/>
          <w:sz w:val="32"/>
          <w:szCs w:val="32"/>
        </w:rPr>
        <w:t>拘留</w:t>
      </w:r>
      <w:r>
        <w:rPr>
          <w:rFonts w:ascii="仿宋_GB2312" w:hAnsi="仿宋_GB2312" w:eastAsia="仿宋_GB2312" w:cs="仿宋_GB2312"/>
          <w:color w:val="555555"/>
          <w:kern w:val="0"/>
          <w:sz w:val="32"/>
          <w:szCs w:val="32"/>
        </w:rPr>
        <w:t>所的工作实际，也希望财政部门加强业务指导，完善效率指标体系，更好反应公安完成的工作任务，指导</w:t>
      </w:r>
      <w:r>
        <w:rPr>
          <w:rFonts w:hint="eastAsia" w:ascii="仿宋_GB2312" w:hAnsi="仿宋_GB2312" w:eastAsia="仿宋_GB2312" w:cs="仿宋_GB2312"/>
          <w:color w:val="555555"/>
          <w:kern w:val="0"/>
          <w:sz w:val="32"/>
          <w:szCs w:val="32"/>
        </w:rPr>
        <w:t>拘留</w:t>
      </w:r>
      <w:r>
        <w:rPr>
          <w:rFonts w:ascii="仿宋_GB2312" w:hAnsi="仿宋_GB2312" w:eastAsia="仿宋_GB2312" w:cs="仿宋_GB2312"/>
          <w:color w:val="555555"/>
          <w:kern w:val="0"/>
          <w:sz w:val="32"/>
          <w:szCs w:val="32"/>
        </w:rPr>
        <w:t>所专项经费的使用工作更有效率的产出，为乐山市的平安建设和</w:t>
      </w:r>
      <w:r>
        <w:rPr>
          <w:rFonts w:hint="eastAsia" w:ascii="仿宋_GB2312" w:hAnsi="仿宋_GB2312" w:eastAsia="仿宋_GB2312" w:cs="仿宋_GB2312"/>
          <w:color w:val="555555"/>
          <w:kern w:val="0"/>
          <w:sz w:val="32"/>
          <w:szCs w:val="32"/>
        </w:rPr>
        <w:t>拘留</w:t>
      </w:r>
      <w:r>
        <w:rPr>
          <w:rFonts w:ascii="仿宋_GB2312" w:hAnsi="仿宋_GB2312" w:eastAsia="仿宋_GB2312" w:cs="仿宋_GB2312"/>
          <w:color w:val="555555"/>
          <w:kern w:val="0"/>
          <w:sz w:val="32"/>
          <w:szCs w:val="32"/>
        </w:rPr>
        <w:t>工作做更大的贡献。</w:t>
      </w: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pStyle w:val="22"/>
        <w:spacing w:line="560" w:lineRule="exact"/>
        <w:rPr>
          <w:rFonts w:ascii="仿宋_GB2312" w:hAnsi="仿宋_GB2312" w:eastAsia="仿宋_GB2312" w:cs="仿宋_GB2312"/>
          <w:color w:val="555555"/>
          <w:sz w:val="32"/>
          <w:szCs w:val="32"/>
        </w:rPr>
      </w:pP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康复救治中心专项经费项目</w:t>
      </w:r>
    </w:p>
    <w:p>
      <w:pPr>
        <w:spacing w:line="56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2020年绩效评价报告</w:t>
      </w:r>
    </w:p>
    <w:p>
      <w:pPr>
        <w:spacing w:line="560" w:lineRule="exact"/>
        <w:ind w:firstLine="320" w:firstLineChars="100"/>
        <w:rPr>
          <w:rFonts w:ascii="仿宋_GB2312" w:eastAsia="仿宋_GB2312"/>
          <w:color w:val="000000"/>
          <w:sz w:val="32"/>
          <w:szCs w:val="32"/>
        </w:rPr>
      </w:pPr>
    </w:p>
    <w:p>
      <w:pPr>
        <w:spacing w:line="560" w:lineRule="exact"/>
        <w:ind w:firstLine="639" w:firstLineChars="199"/>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一、项目概况</w:t>
      </w:r>
    </w:p>
    <w:p>
      <w:pPr>
        <w:spacing w:line="560" w:lineRule="exact"/>
        <w:ind w:firstLine="642" w:firstLineChars="200"/>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（一） 项目基本情况</w:t>
      </w:r>
    </w:p>
    <w:p>
      <w:pPr>
        <w:spacing w:line="560" w:lineRule="exact"/>
        <w:ind w:firstLine="640" w:firstLineChars="200"/>
        <w:rPr>
          <w:rFonts w:ascii="仿宋_GB2312" w:eastAsia="仿宋_GB2312"/>
          <w:color w:val="000000"/>
          <w:sz w:val="32"/>
          <w:szCs w:val="32"/>
        </w:rPr>
      </w:pPr>
      <w:bookmarkStart w:id="72" w:name="_Toc104966951"/>
      <w:bookmarkEnd w:id="72"/>
      <w:bookmarkStart w:id="73" w:name="_Toc104969938"/>
      <w:bookmarkEnd w:id="73"/>
      <w:bookmarkStart w:id="74" w:name="_Toc104974953"/>
      <w:bookmarkEnd w:id="74"/>
      <w:bookmarkStart w:id="75" w:name="_Toc104975353"/>
      <w:bookmarkEnd w:id="75"/>
      <w:bookmarkStart w:id="76" w:name="_Toc104971376"/>
      <w:bookmarkEnd w:id="76"/>
      <w:bookmarkStart w:id="77" w:name="_Toc104959115"/>
      <w:bookmarkEnd w:id="77"/>
      <w:bookmarkStart w:id="78" w:name="_Toc104946035"/>
      <w:bookmarkEnd w:id="78"/>
      <w:bookmarkStart w:id="79" w:name="_Toc104974389"/>
      <w:bookmarkEnd w:id="79"/>
      <w:bookmarkStart w:id="80" w:name="_Toc104945853"/>
      <w:bookmarkEnd w:id="80"/>
      <w:bookmarkStart w:id="81" w:name="_Toc104956952"/>
      <w:bookmarkEnd w:id="81"/>
      <w:bookmarkStart w:id="82" w:name="_Toc104957797"/>
      <w:bookmarkEnd w:id="82"/>
      <w:bookmarkStart w:id="83" w:name="_Toc105160287"/>
      <w:bookmarkEnd w:id="83"/>
      <w:bookmarkStart w:id="84" w:name="_Toc307226685"/>
      <w:bookmarkEnd w:id="84"/>
      <w:bookmarkStart w:id="85" w:name="_Toc105156983"/>
      <w:bookmarkEnd w:id="85"/>
      <w:bookmarkStart w:id="86" w:name="_Toc105152854"/>
      <w:bookmarkEnd w:id="86"/>
      <w:bookmarkStart w:id="87" w:name="_Toc278792556"/>
      <w:bookmarkEnd w:id="87"/>
      <w:bookmarkStart w:id="88" w:name="_Toc104870301"/>
      <w:bookmarkEnd w:id="88"/>
      <w:bookmarkStart w:id="89" w:name="_Toc104870411"/>
      <w:bookmarkEnd w:id="89"/>
      <w:bookmarkStart w:id="90" w:name="_Toc104945671"/>
      <w:bookmarkEnd w:id="90"/>
      <w:bookmarkStart w:id="91" w:name="_Toc105157767"/>
      <w:bookmarkEnd w:id="91"/>
      <w:bookmarkStart w:id="92" w:name="_Toc105157615"/>
      <w:bookmarkEnd w:id="92"/>
      <w:bookmarkStart w:id="93" w:name="_Toc351280250"/>
      <w:bookmarkEnd w:id="93"/>
      <w:bookmarkStart w:id="94" w:name="_Toc104977308"/>
      <w:bookmarkEnd w:id="94"/>
      <w:bookmarkStart w:id="95" w:name="_Toc104881768"/>
      <w:bookmarkEnd w:id="95"/>
      <w:bookmarkStart w:id="96" w:name="_Toc105157919"/>
      <w:bookmarkEnd w:id="96"/>
      <w:bookmarkStart w:id="97" w:name="_Toc105155851"/>
      <w:bookmarkEnd w:id="97"/>
      <w:bookmarkStart w:id="98" w:name="_Toc104945488"/>
      <w:bookmarkEnd w:id="98"/>
      <w:r>
        <w:rPr>
          <w:rFonts w:hint="eastAsia" w:ascii="仿宋_GB2312" w:eastAsia="仿宋_GB2312"/>
          <w:color w:val="000000"/>
          <w:sz w:val="32"/>
          <w:szCs w:val="32"/>
        </w:rPr>
        <w:t>1.机构设置及职责：在市县两级党委、政府及政法委、公安机关的领导和重视下</w:t>
      </w:r>
      <w:r>
        <w:rPr>
          <w:rFonts w:hint="eastAsia" w:ascii="仿宋_GB2312" w:hAnsi="宋体" w:eastAsia="仿宋_GB2312" w:cs="宋体"/>
          <w:color w:val="000000"/>
          <w:kern w:val="0"/>
          <w:sz w:val="32"/>
          <w:szCs w:val="32"/>
        </w:rPr>
        <w:t>，为加强我市社会治安综合治理，有利于减少社会治安乱源，有效解决特殊涉毒人员“收治难”等问题，</w:t>
      </w:r>
      <w:r>
        <w:rPr>
          <w:rFonts w:hint="eastAsia" w:ascii="仿宋_GB2312" w:eastAsia="仿宋_GB2312"/>
          <w:color w:val="000000"/>
          <w:sz w:val="32"/>
          <w:szCs w:val="32"/>
        </w:rPr>
        <w:t>乐山市康复（救治）中心于2017年10月正式设立机构（</w:t>
      </w:r>
      <w:r>
        <w:rPr>
          <w:rFonts w:hint="eastAsia" w:ascii="仿宋_GB2312" w:hAnsi="宋体" w:eastAsia="仿宋_GB2312" w:cs="宋体"/>
          <w:color w:val="000000"/>
          <w:kern w:val="0"/>
          <w:sz w:val="32"/>
          <w:szCs w:val="32"/>
        </w:rPr>
        <w:t>根据乐编发【2017】87号文件精神</w:t>
      </w:r>
      <w:r>
        <w:rPr>
          <w:rFonts w:hint="eastAsia" w:ascii="仿宋_GB2312" w:eastAsia="仿宋_GB2312"/>
          <w:color w:val="000000"/>
          <w:sz w:val="32"/>
          <w:szCs w:val="32"/>
        </w:rPr>
        <w:t xml:space="preserve">），于2018年5月2日正式投入使用，主要收治全市涉毒病残违法犯罪嫌疑人员专门场所。 </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2.项目立项、资金申报依据：依据2018年10月17日市委政法委关于市康复救治中心管理工作协调会议纪要精神。</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3.资金管理办法制定情况，资金支持具体项目条件、范围与支持方式概况：根据《乐山市公安局机关财务管理办法》等7项新修订管理办法;</w:t>
      </w:r>
    </w:p>
    <w:p>
      <w:pPr>
        <w:spacing w:line="560" w:lineRule="exact"/>
        <w:ind w:firstLine="640" w:firstLineChars="200"/>
        <w:rPr>
          <w:rFonts w:ascii="仿宋_GB2312" w:eastAsia="仿宋_GB2312"/>
          <w:sz w:val="32"/>
          <w:szCs w:val="32"/>
        </w:rPr>
      </w:pPr>
      <w:r>
        <w:rPr>
          <w:rFonts w:hint="eastAsia" w:ascii="仿宋_GB2312" w:eastAsia="仿宋_GB2312"/>
          <w:color w:val="000000"/>
          <w:sz w:val="32"/>
          <w:szCs w:val="32"/>
        </w:rPr>
        <w:t>4.资金分配原则及考虑因素：依据2018年10月17日市委政法委关于市康复救治中心管理工作协调会议纪要精神，因考虑到市康复救治中心前期运行情况和实际需要，从2019年1月1日起，市康复救治中心收治人员收治费用</w:t>
      </w:r>
      <w:r>
        <w:rPr>
          <w:rFonts w:hint="eastAsia" w:ascii="仿宋_GB2312" w:eastAsia="仿宋_GB2312"/>
          <w:sz w:val="32"/>
          <w:szCs w:val="32"/>
        </w:rPr>
        <w:t>由各送治属地县（市、区）政府按每人</w:t>
      </w:r>
      <w:r>
        <w:rPr>
          <w:rFonts w:hint="eastAsia" w:ascii="仿宋_GB2312" w:eastAsia="仿宋_GB2312"/>
          <w:color w:val="000000"/>
          <w:sz w:val="32"/>
          <w:szCs w:val="32"/>
        </w:rPr>
        <w:t>3.8万元/年</w:t>
      </w:r>
      <w:r>
        <w:rPr>
          <w:rFonts w:hint="eastAsia" w:ascii="仿宋_GB2312" w:eastAsia="仿宋_GB2312"/>
          <w:sz w:val="32"/>
          <w:szCs w:val="32"/>
        </w:rPr>
        <w:t>与市财政局结算，由市财政局将送治费用划拨市康复中心，</w:t>
      </w:r>
      <w:r>
        <w:rPr>
          <w:rFonts w:hint="eastAsia" w:ascii="仿宋_GB2312" w:hAnsi="宋体" w:eastAsia="仿宋_GB2312"/>
          <w:sz w:val="32"/>
          <w:szCs w:val="32"/>
        </w:rPr>
        <w:t>用于</w:t>
      </w:r>
      <w:r>
        <w:rPr>
          <w:rFonts w:hint="eastAsia" w:ascii="仿宋_GB2312" w:eastAsia="仿宋_GB2312"/>
          <w:sz w:val="32"/>
          <w:szCs w:val="32"/>
        </w:rPr>
        <w:t xml:space="preserve">开支医护及保安服务费、伙食费、药品费、生活用品费及中心运转经费等。  </w:t>
      </w:r>
    </w:p>
    <w:p>
      <w:pPr>
        <w:spacing w:line="560" w:lineRule="exact"/>
        <w:ind w:firstLine="642" w:firstLineChars="200"/>
        <w:rPr>
          <w:rFonts w:ascii="仿宋_GB2312" w:eastAsia="仿宋_GB2312"/>
          <w:color w:val="000000"/>
          <w:sz w:val="32"/>
          <w:szCs w:val="32"/>
        </w:rPr>
      </w:pPr>
      <w:r>
        <w:rPr>
          <w:rFonts w:hint="eastAsia" w:ascii="仿宋_GB2312" w:eastAsia="仿宋_GB2312"/>
          <w:b/>
          <w:color w:val="000000"/>
          <w:sz w:val="32"/>
          <w:szCs w:val="32"/>
        </w:rPr>
        <w:t>（二）项目绩效目标。</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1.项目主要内容。</w:t>
      </w:r>
    </w:p>
    <w:p>
      <w:pPr>
        <w:spacing w:line="560" w:lineRule="exact"/>
        <w:ind w:firstLine="640" w:firstLineChars="200"/>
        <w:rPr>
          <w:rFonts w:ascii="仿宋_GB2312" w:eastAsia="仿宋_GB2312"/>
          <w:color w:val="000000"/>
          <w:sz w:val="32"/>
          <w:szCs w:val="32"/>
        </w:rPr>
      </w:pPr>
      <w:r>
        <w:rPr>
          <w:rFonts w:hint="eastAsia" w:ascii="仿宋_GB2312" w:hAnsi="宋体" w:eastAsia="仿宋_GB2312" w:cs="宋体"/>
          <w:color w:val="000000"/>
          <w:kern w:val="0"/>
          <w:sz w:val="32"/>
          <w:szCs w:val="32"/>
        </w:rPr>
        <w:t>保安服务费开支：中心</w:t>
      </w:r>
      <w:r>
        <w:rPr>
          <w:rFonts w:hint="eastAsia" w:ascii="仿宋_GB2312" w:eastAsia="仿宋_GB2312"/>
          <w:color w:val="000000"/>
          <w:sz w:val="32"/>
          <w:szCs w:val="32"/>
        </w:rPr>
        <w:t>主要收治全市涉毒病残违法犯罪嫌疑人员专门场所，按照市上有关文件精神要求，需向社会具有一定资质的保安公司购买保安服务，根据收治场所运行情况，按收治人员200人测算，保安服务人员不少于45人。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医疗服务费开支：中心</w:t>
      </w:r>
      <w:r>
        <w:rPr>
          <w:rFonts w:hint="eastAsia" w:ascii="仿宋_GB2312" w:eastAsia="仿宋_GB2312"/>
          <w:color w:val="000000"/>
          <w:sz w:val="32"/>
          <w:szCs w:val="32"/>
        </w:rPr>
        <w:t>主要收治全市涉毒病残违法犯罪嫌疑人员专门场所，根据《市委政法委关于康复救治中心建设协调会会议纪要》（2017年11月），中心日常医疗和服务需要通过政府购买服务方式解决，主要提供满足200人的救助服务，包括医生、护士、药剂师、护工，并配备相关的日常医疗器械。</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收治人员给养费-伙食费：包括粮食、蔬菜、食油、肉、蛋、鱼、豆制品和调味品等。</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收治人员给养费-衣被费：用于购置衣裤、被褥、床单、鞋、袜等所需费用。</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收治人员给养费-公杂费：收治人员用手纸、卫生巾、消毒水、理发工具、毛巾、肥皂、牙刷、牙膏、扫帚、拖布等日常生活卫生用品费。</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收治场所运转经费:用于收治场所水电气费、办公费、通讯费、差旅费、宣传教育费、绿化费等。</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后勤人员工资：根据工作需要，收治所聘用后勤人员经费</w:t>
      </w:r>
      <w:r>
        <w:rPr>
          <w:rFonts w:hint="eastAsia" w:ascii="仿宋_GB2312" w:hAnsi="宋体" w:eastAsia="仿宋_GB2312" w:cs="宋体"/>
          <w:kern w:val="0"/>
          <w:sz w:val="32"/>
          <w:szCs w:val="32"/>
        </w:rPr>
        <w:t>10人（厨</w:t>
      </w:r>
      <w:r>
        <w:rPr>
          <w:rFonts w:hint="eastAsia" w:ascii="仿宋_GB2312" w:hAnsi="宋体" w:eastAsia="仿宋_GB2312" w:cs="宋体"/>
          <w:color w:val="000000"/>
          <w:kern w:val="0"/>
          <w:sz w:val="32"/>
          <w:szCs w:val="32"/>
        </w:rPr>
        <w:t>师6人、保洁员2人、护工2人）；中心聘用工作人员3人。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污水处理：马边收治场所购消毒药品、医疗垃圾处理费。</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收治场所设施设备维护费：厨房设备、监控系统、锅炉、供电供水设备设施维护及房屋零星维修等。</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其他：未包括以上支出的其他支出。</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2.项目绩效定性及量化目标及项目实施进度计划。</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年度总体目标：使涉毒违法犯罪人员得到处置，减少社会危害和案件发生。</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数量指标：收治全市涉毒违法犯罪人员200人。</w:t>
      </w:r>
    </w:p>
    <w:p>
      <w:pPr>
        <w:adjustRightInd w:val="0"/>
        <w:snapToGrid w:val="0"/>
        <w:spacing w:line="560" w:lineRule="exact"/>
        <w:ind w:firstLine="624" w:firstLineChars="195"/>
        <w:rPr>
          <w:rFonts w:ascii="仿宋_GB2312" w:eastAsia="仿宋_GB2312"/>
          <w:color w:val="000000"/>
          <w:sz w:val="32"/>
          <w:szCs w:val="32"/>
        </w:rPr>
      </w:pPr>
      <w:r>
        <w:rPr>
          <w:rFonts w:hint="eastAsia" w:ascii="仿宋_GB2312" w:eastAsia="仿宋_GB2312"/>
          <w:color w:val="000000"/>
          <w:sz w:val="32"/>
          <w:szCs w:val="32"/>
        </w:rPr>
        <w:t>质量指标：帮助涉毒违法犯罪病残人员摆脱毒瘾。</w:t>
      </w:r>
    </w:p>
    <w:p>
      <w:pPr>
        <w:adjustRightInd w:val="0"/>
        <w:snapToGrid w:val="0"/>
        <w:spacing w:line="560" w:lineRule="exact"/>
        <w:ind w:firstLine="627" w:firstLineChars="196"/>
        <w:rPr>
          <w:rFonts w:ascii="仿宋_GB2312" w:eastAsia="仿宋_GB2312"/>
          <w:color w:val="000000"/>
          <w:sz w:val="32"/>
          <w:szCs w:val="32"/>
        </w:rPr>
      </w:pPr>
      <w:r>
        <w:rPr>
          <w:rFonts w:hint="eastAsia" w:ascii="仿宋_GB2312" w:eastAsia="仿宋_GB2312"/>
          <w:color w:val="000000"/>
          <w:sz w:val="32"/>
          <w:szCs w:val="32"/>
        </w:rPr>
        <w:t>时效指标：2020年1月1日至2020年12月31日。</w:t>
      </w:r>
    </w:p>
    <w:p>
      <w:pPr>
        <w:adjustRightInd w:val="0"/>
        <w:snapToGrid w:val="0"/>
        <w:spacing w:line="560" w:lineRule="exact"/>
        <w:ind w:firstLine="627" w:firstLineChars="196"/>
        <w:rPr>
          <w:rFonts w:ascii="仿宋_GB2312" w:eastAsia="仿宋_GB2312"/>
          <w:color w:val="000000"/>
          <w:sz w:val="32"/>
          <w:szCs w:val="32"/>
        </w:rPr>
      </w:pPr>
      <w:r>
        <w:rPr>
          <w:rFonts w:hint="eastAsia" w:ascii="仿宋_GB2312" w:eastAsia="仿宋_GB2312"/>
          <w:color w:val="000000"/>
          <w:sz w:val="32"/>
          <w:szCs w:val="32"/>
        </w:rPr>
        <w:t>社会效益指标：收治涉毒涉病而监所不予收押的人员，减少社会危害，打击违法犯罪。</w:t>
      </w:r>
    </w:p>
    <w:p>
      <w:pPr>
        <w:adjustRightInd w:val="0"/>
        <w:snapToGrid w:val="0"/>
        <w:spacing w:line="560" w:lineRule="exact"/>
        <w:ind w:firstLine="627" w:firstLineChars="196"/>
        <w:rPr>
          <w:rFonts w:ascii="仿宋_GB2312" w:eastAsia="仿宋_GB2312"/>
          <w:color w:val="000000"/>
          <w:sz w:val="32"/>
          <w:szCs w:val="32"/>
        </w:rPr>
      </w:pPr>
      <w:r>
        <w:rPr>
          <w:rFonts w:hint="eastAsia" w:ascii="仿宋_GB2312" w:eastAsia="仿宋_GB2312"/>
          <w:color w:val="000000"/>
          <w:sz w:val="32"/>
          <w:szCs w:val="32"/>
        </w:rPr>
        <w:t>可持续影响指标：减少社会违法犯罪活动，促进社会和谐稳定。</w:t>
      </w:r>
    </w:p>
    <w:p>
      <w:pPr>
        <w:adjustRightInd w:val="0"/>
        <w:snapToGrid w:val="0"/>
        <w:spacing w:line="560" w:lineRule="exact"/>
        <w:ind w:firstLine="627" w:firstLineChars="196"/>
        <w:rPr>
          <w:rFonts w:ascii="仿宋_GB2312" w:eastAsia="仿宋_GB2312"/>
          <w:color w:val="000000"/>
          <w:sz w:val="32"/>
          <w:szCs w:val="32"/>
        </w:rPr>
      </w:pPr>
      <w:r>
        <w:rPr>
          <w:rFonts w:hint="eastAsia" w:ascii="仿宋_GB2312" w:eastAsia="仿宋_GB2312"/>
          <w:color w:val="000000"/>
          <w:sz w:val="32"/>
          <w:szCs w:val="32"/>
        </w:rPr>
        <w:t>社会满意度指标：满意度≥90%。</w:t>
      </w:r>
    </w:p>
    <w:p>
      <w:pPr>
        <w:adjustRightInd w:val="0"/>
        <w:snapToGrid w:val="0"/>
        <w:spacing w:line="560" w:lineRule="exact"/>
        <w:ind w:firstLine="627" w:firstLineChars="196"/>
        <w:rPr>
          <w:rFonts w:ascii="仿宋_GB2312" w:eastAsia="仿宋_GB2312"/>
          <w:color w:val="000000"/>
          <w:sz w:val="32"/>
          <w:szCs w:val="32"/>
        </w:rPr>
      </w:pPr>
      <w:r>
        <w:rPr>
          <w:rFonts w:hint="eastAsia" w:ascii="仿宋_GB2312" w:eastAsia="仿宋_GB2312"/>
          <w:color w:val="000000"/>
          <w:sz w:val="32"/>
          <w:szCs w:val="32"/>
        </w:rPr>
        <w:t>项目实施进度计划：根据收治场所日常运转所需，及收治人员收治量的情况组织实施，并定期和区县财政结算收治经费。</w:t>
      </w:r>
    </w:p>
    <w:p>
      <w:pPr>
        <w:adjustRightInd w:val="0"/>
        <w:snapToGrid w:val="0"/>
        <w:spacing w:line="560" w:lineRule="exact"/>
        <w:ind w:firstLine="627" w:firstLineChars="196"/>
        <w:rPr>
          <w:rFonts w:ascii="仿宋_GB2312" w:eastAsia="仿宋_GB2312"/>
          <w:color w:val="000000"/>
          <w:sz w:val="32"/>
          <w:szCs w:val="32"/>
        </w:rPr>
      </w:pPr>
      <w:r>
        <w:rPr>
          <w:rFonts w:hint="eastAsia" w:ascii="仿宋_GB2312" w:eastAsia="仿宋_GB2312"/>
          <w:color w:val="000000"/>
          <w:sz w:val="32"/>
          <w:szCs w:val="32"/>
        </w:rPr>
        <w:t>3.</w:t>
      </w:r>
      <w:r>
        <w:rPr>
          <w:rFonts w:hint="eastAsia" w:ascii="仿宋_GB2312" w:hAnsi="宋体" w:eastAsia="仿宋_GB2312" w:cs="宋体"/>
          <w:bCs/>
          <w:color w:val="000000"/>
          <w:kern w:val="0"/>
          <w:sz w:val="32"/>
          <w:szCs w:val="32"/>
        </w:rPr>
        <w:t>项目资金申报相符性：</w:t>
      </w:r>
      <w:r>
        <w:rPr>
          <w:rFonts w:hint="eastAsia" w:ascii="仿宋_GB2312" w:hAnsi="宋体" w:eastAsia="仿宋_GB2312" w:cs="宋体"/>
          <w:color w:val="000000"/>
          <w:kern w:val="0"/>
          <w:sz w:val="32"/>
          <w:szCs w:val="32"/>
        </w:rPr>
        <w:t>项目申报内容与具体实施内容相符、申报目标具有合理可行性。</w:t>
      </w:r>
    </w:p>
    <w:p>
      <w:pPr>
        <w:numPr>
          <w:ilvl w:val="0"/>
          <w:numId w:val="6"/>
        </w:numPr>
        <w:spacing w:line="560" w:lineRule="exact"/>
        <w:ind w:firstLine="321" w:firstLineChars="100"/>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项目自评步骤及方法</w:t>
      </w:r>
    </w:p>
    <w:p>
      <w:pPr>
        <w:spacing w:line="560" w:lineRule="exact"/>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 xml:space="preserve">   </w:t>
      </w:r>
      <w:r>
        <w:rPr>
          <w:rFonts w:hint="eastAsia" w:ascii="仿宋_GB2312" w:hAnsi="宋体" w:eastAsia="仿宋_GB2312" w:cs="宋体"/>
          <w:bCs/>
          <w:color w:val="000000"/>
          <w:kern w:val="0"/>
          <w:sz w:val="32"/>
          <w:szCs w:val="32"/>
        </w:rPr>
        <w:t>为确保绩效评价工作取得成效，中心</w:t>
      </w:r>
      <w:r>
        <w:rPr>
          <w:rFonts w:hint="eastAsia" w:ascii="仿宋_GB2312" w:hAnsi="宋体" w:eastAsia="仿宋_GB2312" w:cs="宋体"/>
          <w:color w:val="000000"/>
          <w:kern w:val="0"/>
          <w:sz w:val="32"/>
          <w:szCs w:val="32"/>
        </w:rPr>
        <w:t>对绩效评价指标进行详细解读并认真贯彻落实市委、市政府以及政法委、公安机关的相关部署要求，按照社会发展规划和年度工作计划制定中长期实施规划，制定年初预算绩效目标，根据预算绩效目标进行逐一梳理，形成了康复救治中心2020年绩效评价报告。</w:t>
      </w:r>
    </w:p>
    <w:p>
      <w:pPr>
        <w:numPr>
          <w:ilvl w:val="0"/>
          <w:numId w:val="7"/>
        </w:numPr>
        <w:spacing w:line="560" w:lineRule="exact"/>
        <w:rPr>
          <w:rFonts w:ascii="仿宋_GB2312" w:eastAsia="仿宋_GB2312"/>
          <w:b/>
          <w:bCs/>
          <w:color w:val="000000"/>
          <w:sz w:val="32"/>
          <w:szCs w:val="32"/>
        </w:rPr>
      </w:pPr>
      <w:r>
        <w:rPr>
          <w:rFonts w:hint="eastAsia" w:ascii="仿宋_GB2312" w:eastAsia="仿宋_GB2312"/>
          <w:b/>
          <w:bCs/>
          <w:color w:val="000000"/>
          <w:sz w:val="32"/>
          <w:szCs w:val="32"/>
        </w:rPr>
        <w:t>项目资金申报及使用情况</w:t>
      </w:r>
    </w:p>
    <w:p>
      <w:pPr>
        <w:spacing w:line="560" w:lineRule="exact"/>
        <w:ind w:firstLine="472" w:firstLineChars="147"/>
        <w:rPr>
          <w:rFonts w:ascii="仿宋_GB2312" w:eastAsia="仿宋_GB2312"/>
          <w:b/>
          <w:bCs/>
          <w:color w:val="000000"/>
          <w:sz w:val="32"/>
          <w:szCs w:val="32"/>
        </w:rPr>
      </w:pPr>
      <w:r>
        <w:rPr>
          <w:rFonts w:hint="eastAsia" w:ascii="仿宋_GB2312" w:eastAsia="仿宋_GB2312"/>
          <w:b/>
          <w:bCs/>
          <w:color w:val="000000"/>
          <w:sz w:val="32"/>
          <w:szCs w:val="32"/>
        </w:rPr>
        <w:t>（一）资金申报及批复情况</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根据市康复救治中心前期运行情况和实际需要，从2019年1月1日起，市康复救治中心收治人员收治费用调整至每人每年3.8万元（依据2018年10月17日市委政法委关于市康复救治中心管理工作协调会议纪要）。2020年度根据送治人员及标准每季度向财政申请专项经费760万元。</w:t>
      </w:r>
    </w:p>
    <w:p>
      <w:pPr>
        <w:adjustRightInd w:val="0"/>
        <w:snapToGrid w:val="0"/>
        <w:spacing w:line="560" w:lineRule="exact"/>
        <w:ind w:firstLine="472" w:firstLineChars="147"/>
        <w:rPr>
          <w:rFonts w:ascii="仿宋_GB2312" w:hAnsi="宋体" w:eastAsia="仿宋_GB2312" w:cs="宋体"/>
          <w:b/>
          <w:bCs/>
          <w:color w:val="000000"/>
          <w:kern w:val="0"/>
          <w:sz w:val="32"/>
          <w:szCs w:val="32"/>
        </w:rPr>
      </w:pPr>
      <w:r>
        <w:rPr>
          <w:rFonts w:hint="eastAsia" w:ascii="仿宋_GB2312" w:eastAsia="仿宋_GB2312"/>
          <w:b/>
          <w:bCs/>
          <w:color w:val="000000"/>
          <w:sz w:val="32"/>
          <w:szCs w:val="32"/>
        </w:rPr>
        <w:t>（二）</w:t>
      </w:r>
      <w:r>
        <w:rPr>
          <w:rFonts w:hint="eastAsia" w:ascii="仿宋_GB2312" w:hAnsi="宋体" w:eastAsia="仿宋_GB2312" w:cs="宋体"/>
          <w:b/>
          <w:bCs/>
          <w:color w:val="000000"/>
          <w:kern w:val="0"/>
          <w:sz w:val="32"/>
          <w:szCs w:val="32"/>
        </w:rPr>
        <w:t>资金计划、到位及使用情况。</w:t>
      </w:r>
    </w:p>
    <w:p>
      <w:pPr>
        <w:adjustRightInd w:val="0"/>
        <w:snapToGrid w:val="0"/>
        <w:spacing w:line="560" w:lineRule="exact"/>
        <w:ind w:firstLine="627" w:firstLineChars="196"/>
        <w:rPr>
          <w:rFonts w:ascii="仿宋_GB2312" w:hAnsi="宋体" w:eastAsia="仿宋_GB2312" w:cs="宋体"/>
          <w:b/>
          <w:color w:val="000000"/>
          <w:kern w:val="0"/>
          <w:sz w:val="32"/>
          <w:szCs w:val="32"/>
        </w:rPr>
      </w:pPr>
      <w:r>
        <w:rPr>
          <w:rFonts w:hint="eastAsia" w:ascii="仿宋_GB2312" w:hAnsi="宋体" w:eastAsia="仿宋_GB2312" w:cs="宋体"/>
          <w:color w:val="000000"/>
          <w:kern w:val="0"/>
          <w:sz w:val="32"/>
          <w:szCs w:val="32"/>
        </w:rPr>
        <w:t>1.资金计划及到位。该项目资金渠道为市财政拨付资金。截止2020年12月底，</w:t>
      </w:r>
      <w:r>
        <w:rPr>
          <w:rFonts w:hint="eastAsia" w:ascii="仿宋_GB2312" w:hAnsi="宋体" w:eastAsia="仿宋_GB2312" w:cs="宋体"/>
          <w:kern w:val="0"/>
          <w:sz w:val="32"/>
          <w:szCs w:val="32"/>
        </w:rPr>
        <w:t>财政划拨资金为</w:t>
      </w:r>
      <w:r>
        <w:rPr>
          <w:rFonts w:hint="eastAsia" w:ascii="仿宋_GB2312" w:hAnsi="宋体" w:eastAsia="仿宋_GB2312" w:cs="宋体"/>
          <w:color w:val="000000"/>
          <w:kern w:val="0"/>
          <w:sz w:val="32"/>
          <w:szCs w:val="32"/>
        </w:rPr>
        <w:t>760万元，全部资金到位。</w:t>
      </w:r>
    </w:p>
    <w:p>
      <w:pPr>
        <w:adjustRightInd w:val="0"/>
        <w:snapToGrid w:val="0"/>
        <w:spacing w:line="560" w:lineRule="exact"/>
        <w:ind w:firstLine="627" w:firstLineChars="196"/>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2.资金使用。截止2020年12月底，该项目经费支出</w:t>
      </w:r>
      <w:r>
        <w:rPr>
          <w:rFonts w:hint="eastAsia" w:ascii="仿宋_GB2312" w:hAnsi="宋体" w:eastAsia="仿宋_GB2312" w:cs="宋体"/>
          <w:kern w:val="0"/>
          <w:sz w:val="32"/>
          <w:szCs w:val="32"/>
        </w:rPr>
        <w:t>681.74万</w:t>
      </w:r>
      <w:r>
        <w:rPr>
          <w:rFonts w:hint="eastAsia" w:ascii="仿宋_GB2312" w:hAnsi="宋体" w:eastAsia="仿宋_GB2312" w:cs="宋体"/>
          <w:color w:val="000000"/>
          <w:kern w:val="0"/>
          <w:sz w:val="32"/>
          <w:szCs w:val="32"/>
        </w:rPr>
        <w:t>元，其中：保安服务费211.7万元、医疗服务费117.34万元、收治人员生活用品33.28万元、伙食费166.58万元、收治场所运转经费49.19万元（含水电气费、办公费、通讯费、差旅费等）、后勤聘用人员工资53.53万元、污水消毒费及有害物防治费等23.52万元、收治场所设施设备维护费16、鉴定费及体检费等10.6万元。</w:t>
      </w:r>
    </w:p>
    <w:p>
      <w:pPr>
        <w:adjustRightInd w:val="0"/>
        <w:snapToGrid w:val="0"/>
        <w:spacing w:line="560" w:lineRule="exact"/>
        <w:ind w:firstLine="627" w:firstLineChars="196"/>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3.年末结转结余78.26万元，为跨年度结算费用。</w:t>
      </w:r>
    </w:p>
    <w:p>
      <w:pPr>
        <w:adjustRightInd w:val="0"/>
        <w:snapToGrid w:val="0"/>
        <w:spacing w:line="560" w:lineRule="exact"/>
        <w:rPr>
          <w:rFonts w:ascii="仿宋_GB2312" w:hAnsi="宋体" w:eastAsia="仿宋_GB2312" w:cs="宋体"/>
          <w:b/>
          <w:bCs/>
          <w:color w:val="000000"/>
          <w:kern w:val="0"/>
          <w:sz w:val="32"/>
          <w:szCs w:val="32"/>
        </w:rPr>
      </w:pPr>
      <w:r>
        <w:rPr>
          <w:rFonts w:hint="eastAsia" w:ascii="仿宋_GB2312" w:hAnsi="宋体" w:eastAsia="仿宋_GB2312" w:cs="宋体"/>
          <w:color w:val="000000"/>
          <w:kern w:val="0"/>
          <w:sz w:val="32"/>
          <w:szCs w:val="32"/>
        </w:rPr>
        <w:t xml:space="preserve">    （</w:t>
      </w:r>
      <w:r>
        <w:rPr>
          <w:rFonts w:hint="eastAsia" w:ascii="仿宋_GB2312" w:hAnsi="宋体" w:eastAsia="仿宋_GB2312" w:cs="宋体"/>
          <w:b/>
          <w:bCs/>
          <w:color w:val="000000"/>
          <w:kern w:val="0"/>
          <w:sz w:val="32"/>
          <w:szCs w:val="32"/>
        </w:rPr>
        <w:t>三）项目财务管理情况</w:t>
      </w:r>
    </w:p>
    <w:p>
      <w:pPr>
        <w:spacing w:line="560" w:lineRule="exact"/>
        <w:ind w:firstLine="800" w:firstLineChars="25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项目财务管理制度健全，</w:t>
      </w:r>
      <w:r>
        <w:rPr>
          <w:rFonts w:hint="eastAsia" w:ascii="仿宋_GB2312" w:hAnsi="宋体" w:eastAsia="仿宋_GB2312" w:cs="宋体"/>
          <w:kern w:val="0"/>
          <w:sz w:val="32"/>
          <w:szCs w:val="32"/>
        </w:rPr>
        <w:t>严格按照《乐山市公安局机关财务管理办法》等7项新修订管理办法及《乐山市康复（救治）中心管理工作手册》执行</w:t>
      </w:r>
      <w:r>
        <w:rPr>
          <w:rFonts w:hint="eastAsia" w:ascii="仿宋_GB2312" w:hAnsi="宋体" w:eastAsia="仿宋_GB2312" w:cs="宋体"/>
          <w:color w:val="000000"/>
          <w:kern w:val="0"/>
          <w:sz w:val="32"/>
          <w:szCs w:val="32"/>
        </w:rPr>
        <w:t>，项目的实际支出符合财经法规和财务管理制度，资金使用合理，各种账务处理及时，会计核算符合规范。</w:t>
      </w:r>
    </w:p>
    <w:p>
      <w:pPr>
        <w:spacing w:line="560" w:lineRule="exact"/>
        <w:ind w:firstLine="803" w:firstLineChars="250"/>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三、项目实施及管理情况</w:t>
      </w:r>
    </w:p>
    <w:p>
      <w:pPr>
        <w:adjustRightInd w:val="0"/>
        <w:snapToGrid w:val="0"/>
        <w:spacing w:line="560" w:lineRule="exact"/>
        <w:ind w:left="317" w:leftChars="151" w:firstLine="314" w:firstLineChars="98"/>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（一）项目组织架构及实施流程</w:t>
      </w:r>
    </w:p>
    <w:p>
      <w:pPr>
        <w:spacing w:line="560" w:lineRule="exact"/>
        <w:ind w:firstLine="642" w:firstLineChars="200"/>
        <w:rPr>
          <w:rFonts w:ascii="仿宋_GB2312" w:eastAsia="仿宋_GB2312"/>
          <w:color w:val="000000"/>
          <w:sz w:val="32"/>
          <w:szCs w:val="32"/>
        </w:rPr>
      </w:pPr>
      <w:r>
        <w:rPr>
          <w:rFonts w:hint="eastAsia" w:ascii="仿宋_GB2312" w:hAnsi="宋体" w:eastAsia="仿宋_GB2312" w:cs="宋体"/>
          <w:b/>
          <w:bCs/>
          <w:color w:val="000000"/>
          <w:kern w:val="0"/>
          <w:sz w:val="32"/>
          <w:szCs w:val="32"/>
        </w:rPr>
        <w:t xml:space="preserve"> </w:t>
      </w:r>
      <w:r>
        <w:rPr>
          <w:rFonts w:hint="eastAsia" w:ascii="仿宋_GB2312" w:eastAsia="仿宋_GB2312"/>
          <w:color w:val="000000"/>
          <w:sz w:val="32"/>
          <w:szCs w:val="32"/>
        </w:rPr>
        <w:t>为确保乐山市康复救治中心高效运转、发挥作用，乐山市禁毒委全面加强保障。</w:t>
      </w:r>
      <w:r>
        <w:rPr>
          <w:rFonts w:hint="eastAsia" w:ascii="仿宋_GB2312" w:eastAsia="仿宋_GB2312"/>
          <w:b/>
          <w:color w:val="000000"/>
          <w:sz w:val="32"/>
          <w:szCs w:val="32"/>
        </w:rPr>
        <w:t>一是组建机构。</w:t>
      </w:r>
      <w:r>
        <w:rPr>
          <w:rFonts w:hint="eastAsia" w:ascii="仿宋_GB2312" w:eastAsia="仿宋_GB2312"/>
          <w:color w:val="000000"/>
          <w:sz w:val="32"/>
          <w:szCs w:val="32"/>
        </w:rPr>
        <w:t>积极争取市委市政府支持，由市编委正式批复成立乐山市康复救治中心，明确为正科级，设主任1名、政委1名、副主任3名。</w:t>
      </w:r>
      <w:r>
        <w:rPr>
          <w:rFonts w:hint="eastAsia" w:ascii="仿宋_GB2312" w:eastAsia="仿宋_GB2312"/>
          <w:b/>
          <w:color w:val="000000"/>
          <w:sz w:val="32"/>
          <w:szCs w:val="32"/>
        </w:rPr>
        <w:t>二是配足人员。</w:t>
      </w:r>
      <w:r>
        <w:rPr>
          <w:rFonts w:hint="eastAsia" w:ascii="仿宋_GB2312" w:eastAsia="仿宋_GB2312"/>
          <w:color w:val="000000"/>
          <w:sz w:val="32"/>
          <w:szCs w:val="32"/>
        </w:rPr>
        <w:t>乐山市康复救治中心配备人员共计50人，其中民辅警7人，由市公安局统一在市中区公安分局、马边县公安局调配；保安45人、医务人员8人、后勤保洁人员10人，通过政府招投标采购程序，面向社会医院、保安公司、劳务公司购买服务。</w:t>
      </w:r>
      <w:r>
        <w:rPr>
          <w:rFonts w:hint="eastAsia" w:ascii="仿宋_GB2312" w:eastAsia="仿宋_GB2312"/>
          <w:b/>
          <w:color w:val="000000"/>
          <w:sz w:val="32"/>
          <w:szCs w:val="32"/>
        </w:rPr>
        <w:t>三是经费保障。</w:t>
      </w:r>
      <w:r>
        <w:rPr>
          <w:rFonts w:hint="eastAsia" w:ascii="仿宋_GB2312" w:eastAsia="仿宋_GB2312"/>
          <w:color w:val="000000"/>
          <w:sz w:val="32"/>
          <w:szCs w:val="32"/>
        </w:rPr>
        <w:t>积极协调财政、人社等部门，建立了病残吸毒人员医疗费用市县两级“财政共担”的保障制度。2019年1月1日起，收治人员基本保障经费从每人不低于3万元年的标准，调整提高至每年3.8万元。民政部门也针对特困收治对象全面落实供养经费和护理补贴。</w:t>
      </w:r>
    </w:p>
    <w:p>
      <w:pPr>
        <w:spacing w:line="560" w:lineRule="exact"/>
        <w:ind w:firstLine="636" w:firstLineChars="199"/>
        <w:rPr>
          <w:rFonts w:ascii="仿宋_GB2312" w:eastAsia="仿宋_GB2312"/>
          <w:color w:val="000000"/>
          <w:sz w:val="32"/>
          <w:szCs w:val="32"/>
        </w:rPr>
      </w:pPr>
      <w:r>
        <w:rPr>
          <w:rFonts w:hint="eastAsia" w:ascii="仿宋_GB2312" w:eastAsia="仿宋_GB2312"/>
          <w:color w:val="000000"/>
          <w:sz w:val="32"/>
          <w:szCs w:val="32"/>
        </w:rPr>
        <w:t>为确保收治管控工作有法可依，有章可循，规范、安全运行，</w:t>
      </w:r>
      <w:r>
        <w:rPr>
          <w:rFonts w:hint="eastAsia" w:ascii="仿宋_GB2312" w:eastAsia="仿宋_GB2312"/>
          <w:b/>
          <w:color w:val="000000"/>
          <w:sz w:val="32"/>
          <w:szCs w:val="32"/>
        </w:rPr>
        <w:t>一是建立工作制度。</w:t>
      </w:r>
      <w:r>
        <w:rPr>
          <w:rFonts w:hint="eastAsia" w:ascii="仿宋_GB2312" w:eastAsia="仿宋_GB2312"/>
          <w:color w:val="000000"/>
          <w:sz w:val="32"/>
          <w:szCs w:val="32"/>
        </w:rPr>
        <w:t>相继出台了《乐山市康复救治中心管理工作手册》、《乐山市康复救治中心管理办法》等规范性文件，明确了各部门在收治工作中的职责任务。</w:t>
      </w:r>
      <w:r>
        <w:rPr>
          <w:rFonts w:hint="eastAsia" w:ascii="仿宋_GB2312" w:eastAsia="仿宋_GB2312"/>
          <w:b/>
          <w:color w:val="000000"/>
          <w:sz w:val="32"/>
          <w:szCs w:val="32"/>
        </w:rPr>
        <w:t>二是完善处置机制。</w:t>
      </w:r>
      <w:r>
        <w:rPr>
          <w:rFonts w:hint="eastAsia" w:ascii="仿宋_GB2312" w:eastAsia="仿宋_GB2312"/>
          <w:color w:val="000000"/>
          <w:sz w:val="32"/>
          <w:szCs w:val="32"/>
        </w:rPr>
        <w:t>针对最容易激化矛盾的收治对象正常死亡情况，明确了由收治对象户籍地乡镇接待、村（社区）在规定时限内接回，并负责善后事宜，破解了病残吸毒人员死亡后的善后难题。</w:t>
      </w:r>
      <w:r>
        <w:rPr>
          <w:rFonts w:hint="eastAsia" w:ascii="仿宋_GB2312" w:eastAsia="仿宋_GB2312"/>
          <w:b/>
          <w:color w:val="000000"/>
          <w:sz w:val="32"/>
          <w:szCs w:val="32"/>
        </w:rPr>
        <w:t>三是坚持以人为本。</w:t>
      </w:r>
      <w:r>
        <w:rPr>
          <w:rFonts w:hint="eastAsia" w:ascii="仿宋_GB2312" w:eastAsia="仿宋_GB2312"/>
          <w:color w:val="000000"/>
          <w:sz w:val="32"/>
          <w:szCs w:val="32"/>
        </w:rPr>
        <w:t>康复救治中心运行以来，全体人员始终坚持“惩戒打击、人文关怀、治病救人”的理念，以强烈的工作责任心积极投入工作中，通过细心、耐心、爱心帮助病残吸毒人员树立与毒魔、病魔作斗争的强大信心和决定，最大限度的帮助他们戒除毒瘾，回归社会。</w:t>
      </w:r>
    </w:p>
    <w:p>
      <w:pPr>
        <w:spacing w:line="560" w:lineRule="exact"/>
        <w:ind w:firstLine="639" w:firstLineChars="199"/>
        <w:rPr>
          <w:rFonts w:ascii="仿宋_GB2312" w:eastAsia="仿宋_GB2312"/>
          <w:b/>
          <w:color w:val="000000"/>
          <w:sz w:val="32"/>
          <w:szCs w:val="32"/>
        </w:rPr>
      </w:pPr>
      <w:r>
        <w:rPr>
          <w:rFonts w:hint="eastAsia" w:ascii="仿宋_GB2312" w:eastAsia="仿宋_GB2312"/>
          <w:b/>
          <w:color w:val="000000"/>
          <w:sz w:val="32"/>
          <w:szCs w:val="32"/>
        </w:rPr>
        <w:t>（二）</w:t>
      </w:r>
      <w:r>
        <w:rPr>
          <w:rFonts w:hint="eastAsia" w:ascii="仿宋_GB2312" w:eastAsia="仿宋_GB2312"/>
          <w:b/>
          <w:bCs/>
          <w:color w:val="000000"/>
          <w:sz w:val="32"/>
          <w:szCs w:val="32"/>
        </w:rPr>
        <w:t>项目管理情况</w:t>
      </w:r>
    </w:p>
    <w:p>
      <w:pPr>
        <w:spacing w:line="560" w:lineRule="exact"/>
        <w:ind w:left="160"/>
        <w:rPr>
          <w:rFonts w:ascii="仿宋_GB2312" w:eastAsia="仿宋_GB2312"/>
          <w:b/>
          <w:bCs/>
          <w:color w:val="000000"/>
          <w:sz w:val="32"/>
          <w:szCs w:val="32"/>
        </w:rPr>
      </w:pPr>
      <w:r>
        <w:rPr>
          <w:rFonts w:hint="eastAsia" w:ascii="仿宋_GB2312" w:eastAsia="仿宋_GB2312"/>
          <w:b/>
          <w:bCs/>
          <w:color w:val="000000"/>
          <w:sz w:val="32"/>
          <w:szCs w:val="32"/>
        </w:rPr>
        <w:t xml:space="preserve">   </w:t>
      </w:r>
      <w:r>
        <w:rPr>
          <w:rFonts w:hint="eastAsia" w:ascii="仿宋_GB2312" w:eastAsia="仿宋_GB2312"/>
          <w:color w:val="000000"/>
          <w:sz w:val="32"/>
          <w:szCs w:val="32"/>
        </w:rPr>
        <w:t xml:space="preserve"> 2020年度乐山市康复救治中心专项经费项目已完成，并按照要求进行项目预算申报、资金申请。支出管理上严格执行招投标、政府采购及财政资金管理等制度，资金支付依据合法合规。</w:t>
      </w:r>
    </w:p>
    <w:p>
      <w:pPr>
        <w:spacing w:line="560" w:lineRule="exact"/>
        <w:ind w:firstLine="629" w:firstLineChars="196"/>
        <w:rPr>
          <w:rFonts w:ascii="仿宋_GB2312" w:eastAsia="仿宋_GB2312"/>
          <w:b/>
          <w:bCs/>
          <w:color w:val="000000"/>
          <w:sz w:val="32"/>
          <w:szCs w:val="32"/>
        </w:rPr>
      </w:pPr>
      <w:r>
        <w:rPr>
          <w:rFonts w:hint="eastAsia" w:ascii="仿宋_GB2312" w:eastAsia="仿宋_GB2312"/>
          <w:b/>
          <w:bCs/>
          <w:color w:val="000000"/>
          <w:sz w:val="32"/>
          <w:szCs w:val="32"/>
        </w:rPr>
        <w:t>（三）项目监管情况</w:t>
      </w:r>
    </w:p>
    <w:p>
      <w:pPr>
        <w:adjustRightInd w:val="0"/>
        <w:snapToGrid w:val="0"/>
        <w:spacing w:line="560" w:lineRule="exact"/>
        <w:ind w:left="160" w:firstLine="66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心项目财务管理严格按照《乐山市公安局机关财务管理办法》等7项新修订管理办法及《乐山市康复（救治）中心管理工作手册》执行，项目资金拨付有完整的审批程序和手续，层层把关保证资金使用的合法合规，不存在截留、挤占、挪用、超标准开支等情况。</w:t>
      </w:r>
    </w:p>
    <w:p>
      <w:pPr>
        <w:adjustRightInd w:val="0"/>
        <w:snapToGrid w:val="0"/>
        <w:spacing w:line="560" w:lineRule="exact"/>
        <w:ind w:left="160" w:firstLine="660"/>
        <w:rPr>
          <w:rFonts w:ascii="仿宋_GB2312" w:hAnsi="宋体" w:eastAsia="仿宋_GB2312" w:cs="宋体"/>
          <w:color w:val="000000"/>
          <w:kern w:val="0"/>
          <w:sz w:val="32"/>
          <w:szCs w:val="32"/>
        </w:rPr>
      </w:pPr>
      <w:r>
        <w:rPr>
          <w:rFonts w:hint="eastAsia" w:ascii="仿宋_GB2312" w:hAnsi="宋体" w:eastAsia="仿宋_GB2312" w:cs="宋体"/>
          <w:b/>
          <w:color w:val="000000"/>
          <w:kern w:val="0"/>
          <w:sz w:val="32"/>
          <w:szCs w:val="32"/>
        </w:rPr>
        <w:t>四、项目绩效情况。</w:t>
      </w:r>
    </w:p>
    <w:p>
      <w:pPr>
        <w:spacing w:line="560" w:lineRule="exact"/>
        <w:ind w:firstLine="639" w:firstLineChars="199"/>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（一）项目完成情况。</w:t>
      </w:r>
    </w:p>
    <w:p>
      <w:pPr>
        <w:adjustRightInd w:val="0"/>
        <w:snapToGrid w:val="0"/>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截止2020年，乐山市康复救治中心共收治病残吸毒人员413人（年底实际在所收治人员为208人），实现了对全市病残违法犯罪嫌疑人的收治工作新突破。</w:t>
      </w:r>
    </w:p>
    <w:p>
      <w:pPr>
        <w:adjustRightInd w:val="0"/>
        <w:snapToGrid w:val="0"/>
        <w:spacing w:line="560" w:lineRule="exact"/>
        <w:ind w:firstLine="642" w:firstLineChars="200"/>
        <w:rPr>
          <w:rFonts w:ascii="仿宋_GB2312" w:eastAsia="仿宋_GB2312"/>
          <w:color w:val="000000"/>
          <w:sz w:val="32"/>
          <w:szCs w:val="32"/>
        </w:rPr>
      </w:pPr>
      <w:r>
        <w:rPr>
          <w:rFonts w:hint="eastAsia" w:ascii="仿宋_GB2312" w:hAnsi="宋体" w:eastAsia="仿宋_GB2312" w:cs="宋体"/>
          <w:b/>
          <w:color w:val="000000"/>
          <w:kern w:val="0"/>
          <w:sz w:val="32"/>
          <w:szCs w:val="32"/>
        </w:rPr>
        <w:t>（二）项目效益情况。</w:t>
      </w:r>
    </w:p>
    <w:p>
      <w:pPr>
        <w:adjustRightInd w:val="0"/>
        <w:snapToGrid w:val="0"/>
        <w:spacing w:line="56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一是以问题为导向，全力做好中心基础构建工作。</w:t>
      </w:r>
      <w:r>
        <w:rPr>
          <w:rFonts w:hint="eastAsia" w:ascii="仿宋_GB2312" w:eastAsia="仿宋_GB2312"/>
          <w:color w:val="000000"/>
          <w:sz w:val="32"/>
          <w:szCs w:val="32"/>
        </w:rPr>
        <w:t>今年收治量比去年新增116人，面对全中心只有200个床位的实际情况，我们合理利用有限空间，完成最大的容纳数以解决全市的救治之需。为避免病员中暑事件发生，中心积极协调市机关事务局、财政局等相关单位，完成了救治场所隔热防护措施建设，提高了民警和工作人员在病员面前的形象，增强彼此之前的信任感。</w:t>
      </w:r>
      <w:r>
        <w:rPr>
          <w:rFonts w:hint="eastAsia" w:ascii="仿宋_GB2312" w:eastAsia="仿宋_GB2312"/>
          <w:b/>
          <w:bCs/>
          <w:color w:val="000000"/>
          <w:sz w:val="32"/>
          <w:szCs w:val="32"/>
        </w:rPr>
        <w:t>二是病残吸毒人员家庭和社会关系得到修复改善。</w:t>
      </w:r>
      <w:r>
        <w:rPr>
          <w:rFonts w:hint="eastAsia" w:ascii="仿宋_GB2312" w:eastAsia="仿宋_GB2312"/>
          <w:color w:val="000000"/>
          <w:sz w:val="32"/>
          <w:szCs w:val="32"/>
        </w:rPr>
        <w:t>病残吸毒人员被收治后，由政府承担对其进行有效医治，使其摆脱了居无定所、无依无靠、无力医治的生活窘境。</w:t>
      </w:r>
    </w:p>
    <w:p>
      <w:pPr>
        <w:adjustRightInd w:val="0"/>
        <w:snapToGrid w:val="0"/>
        <w:spacing w:line="560" w:lineRule="exact"/>
        <w:ind w:firstLine="629" w:firstLineChars="196"/>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五、评价结论及建议。</w:t>
      </w:r>
    </w:p>
    <w:p>
      <w:pPr>
        <w:adjustRightInd w:val="0"/>
        <w:snapToGrid w:val="0"/>
        <w:spacing w:line="560" w:lineRule="exact"/>
        <w:rPr>
          <w:rFonts w:ascii="仿宋_GB2312" w:hAnsi="宋体" w:eastAsia="仿宋_GB2312" w:cs="宋体"/>
          <w:b/>
          <w:color w:val="000000"/>
          <w:kern w:val="0"/>
          <w:sz w:val="32"/>
          <w:szCs w:val="32"/>
        </w:rPr>
      </w:pPr>
      <w:r>
        <w:rPr>
          <w:rFonts w:hint="eastAsia" w:ascii="仿宋_GB2312" w:hAnsi="宋体" w:eastAsia="仿宋_GB2312" w:cs="宋体"/>
          <w:b/>
          <w:color w:val="000000"/>
          <w:kern w:val="0"/>
          <w:sz w:val="32"/>
          <w:szCs w:val="32"/>
        </w:rPr>
        <w:t xml:space="preserve">    （一）评价和结论</w:t>
      </w:r>
    </w:p>
    <w:p>
      <w:pPr>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心严格按照专项资金的使用范围开支各项费用，严格执行资金管理、费用支出等制度，资金分配符合专项资金规定用途，资金支付依据合法合规，资金开支标准符合规定并按照要求进行申报、批复程序，财务制度健全，管理规范，不存在支出依据不合规、虚列项目支出的情况，不存在截留、挤占、挪用项目资金情况，不存在超标准开支情况。经对照《四川省项目支出绩效评价指标体系》逐项进行了评分，该项目绩效自</w:t>
      </w:r>
      <w:r>
        <w:rPr>
          <w:rFonts w:hint="eastAsia" w:ascii="仿宋_GB2312" w:hAnsi="宋体" w:eastAsia="仿宋_GB2312" w:cs="宋体"/>
          <w:kern w:val="0"/>
          <w:sz w:val="32"/>
          <w:szCs w:val="32"/>
        </w:rPr>
        <w:t>我评价指标评分98.97分。</w:t>
      </w:r>
    </w:p>
    <w:p>
      <w:pPr>
        <w:spacing w:line="560" w:lineRule="exact"/>
        <w:ind w:firstLine="642" w:firstLineChars="200"/>
        <w:rPr>
          <w:rFonts w:ascii="仿宋_GB2312" w:hAnsi="宋体" w:eastAsia="仿宋_GB2312" w:cs="宋体"/>
          <w:color w:val="000000"/>
          <w:kern w:val="0"/>
          <w:sz w:val="32"/>
          <w:szCs w:val="32"/>
        </w:rPr>
      </w:pPr>
      <w:r>
        <w:rPr>
          <w:rFonts w:hint="eastAsia" w:ascii="仿宋_GB2312" w:hAnsi="宋体" w:eastAsia="仿宋_GB2312" w:cs="宋体"/>
          <w:b/>
          <w:color w:val="000000"/>
          <w:kern w:val="0"/>
          <w:sz w:val="32"/>
          <w:szCs w:val="32"/>
        </w:rPr>
        <w:t>（二）存在的问题</w:t>
      </w:r>
    </w:p>
    <w:p>
      <w:pPr>
        <w:widowControl/>
        <w:spacing w:line="560" w:lineRule="exact"/>
        <w:jc w:val="left"/>
        <w:rPr>
          <w:rFonts w:ascii="仿宋" w:hAnsi="仿宋" w:eastAsia="仿宋"/>
          <w:color w:val="000000"/>
          <w:sz w:val="32"/>
          <w:szCs w:val="32"/>
        </w:rPr>
      </w:pPr>
      <w:r>
        <w:rPr>
          <w:rFonts w:hint="eastAsia" w:ascii="宋体" w:hAnsi="宋体" w:eastAsia="仿宋_GB2312" w:cs="宋体"/>
          <w:color w:val="000000"/>
          <w:kern w:val="0"/>
          <w:sz w:val="32"/>
          <w:szCs w:val="32"/>
        </w:rPr>
        <w:t xml:space="preserve">  </w:t>
      </w:r>
      <w:r>
        <w:rPr>
          <w:rFonts w:hint="eastAsia" w:ascii="仿宋_GB2312" w:hAnsi="宋体" w:eastAsia="仿宋_GB2312" w:cs="宋体"/>
          <w:color w:val="000000"/>
          <w:kern w:val="0"/>
          <w:sz w:val="32"/>
          <w:szCs w:val="32"/>
        </w:rPr>
        <w:t xml:space="preserve">  1.交通工具上有待进一步改善。康复救治中心目前只有一辆制式警车，其车况较差，不适合长途和山区道路，在一定程度上制约了工作的开展。</w:t>
      </w:r>
    </w:p>
    <w:p>
      <w:pPr>
        <w:widowControl/>
        <w:spacing w:line="560" w:lineRule="exact"/>
        <w:jc w:val="left"/>
        <w:rPr>
          <w:rFonts w:ascii="仿宋_GB2312" w:hAnsi="宋体" w:eastAsia="仿宋_GB2312" w:cs="宋体"/>
          <w:color w:val="000000"/>
          <w:kern w:val="0"/>
          <w:sz w:val="32"/>
          <w:szCs w:val="32"/>
        </w:rPr>
      </w:pPr>
      <w:r>
        <w:rPr>
          <w:rFonts w:hint="eastAsia" w:ascii="仿宋" w:hAnsi="仿宋" w:eastAsia="仿宋"/>
          <w:color w:val="000000"/>
          <w:sz w:val="32"/>
          <w:szCs w:val="32"/>
        </w:rPr>
        <w:t xml:space="preserve"> </w:t>
      </w:r>
      <w:r>
        <w:rPr>
          <w:rFonts w:hint="eastAsia" w:ascii="仿宋_GB2312" w:hAnsi="宋体" w:eastAsia="仿宋_GB2312" w:cs="宋体"/>
          <w:color w:val="000000"/>
          <w:kern w:val="0"/>
          <w:sz w:val="32"/>
          <w:szCs w:val="32"/>
        </w:rPr>
        <w:t xml:space="preserve">   2.监控系统不健全。现监控设备有九个屏24个探头，不能全面监控整个中心环节，实时管理存在隐患。</w:t>
      </w:r>
    </w:p>
    <w:p>
      <w:pPr>
        <w:widowControl/>
        <w:spacing w:line="560" w:lineRule="exact"/>
        <w:jc w:val="left"/>
        <w:rPr>
          <w:rFonts w:ascii="仿宋_GB2312" w:hAnsi="宋体" w:eastAsia="仿宋" w:cs="宋体"/>
          <w:color w:val="000000"/>
          <w:kern w:val="0"/>
          <w:sz w:val="32"/>
          <w:szCs w:val="32"/>
        </w:rPr>
      </w:pPr>
      <w:r>
        <w:rPr>
          <w:rFonts w:hint="eastAsia" w:ascii="仿宋_GB2312" w:hAnsi="宋体" w:eastAsia="仿宋_GB2312" w:cs="宋体"/>
          <w:color w:val="000000"/>
          <w:kern w:val="0"/>
          <w:sz w:val="32"/>
          <w:szCs w:val="32"/>
        </w:rPr>
        <w:t xml:space="preserve">    3.送餐升降电梯未审批，现康复中心为三层建筑，送餐人员需多人合力才能将其抬上楼，无形中增加了工作量，降低了工作效率。</w:t>
      </w:r>
    </w:p>
    <w:p>
      <w:pPr>
        <w:spacing w:line="560" w:lineRule="exact"/>
        <w:ind w:firstLine="642" w:firstLineChars="200"/>
        <w:rPr>
          <w:rFonts w:ascii="仿宋" w:hAnsi="仿宋" w:eastAsia="仿宋"/>
          <w:color w:val="000000"/>
          <w:sz w:val="32"/>
          <w:szCs w:val="32"/>
        </w:rPr>
      </w:pPr>
      <w:r>
        <w:rPr>
          <w:rFonts w:hint="eastAsia" w:ascii="仿宋_GB2312" w:hAnsi="宋体" w:eastAsia="仿宋_GB2312" w:cs="宋体"/>
          <w:b/>
          <w:color w:val="000000"/>
          <w:kern w:val="0"/>
          <w:sz w:val="32"/>
          <w:szCs w:val="32"/>
        </w:rPr>
        <w:t>（三）</w:t>
      </w:r>
      <w:r>
        <w:rPr>
          <w:rFonts w:hint="eastAsia" w:ascii="仿宋_GB2312" w:eastAsia="仿宋_GB2312"/>
          <w:b/>
          <w:color w:val="000000"/>
          <w:sz w:val="32"/>
          <w:szCs w:val="32"/>
        </w:rPr>
        <w:t>相关建议</w:t>
      </w:r>
    </w:p>
    <w:p>
      <w:pPr>
        <w:widowControl/>
        <w:spacing w:line="560" w:lineRule="exact"/>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1.康复中心配备一台工作用车，解决每月往返马边工作所需交通工具。</w:t>
      </w:r>
    </w:p>
    <w:p>
      <w:pPr>
        <w:widowControl/>
        <w:spacing w:line="560" w:lineRule="exact"/>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2.改善场所病区设施。尽快完成送餐电梯招标和视频监控升级改造工作。</w:t>
      </w:r>
    </w:p>
    <w:p>
      <w:pPr>
        <w:spacing w:line="560" w:lineRule="exact"/>
        <w:rPr>
          <w:rFonts w:ascii="方正小标宋简体" w:hAnsi="宋体" w:eastAsia="方正小标宋简体"/>
          <w:b/>
          <w:bCs/>
          <w:color w:val="000000"/>
          <w:kern w:val="0"/>
          <w:sz w:val="44"/>
          <w:szCs w:val="44"/>
        </w:rPr>
      </w:pPr>
    </w:p>
    <w:p>
      <w:pPr>
        <w:spacing w:line="560" w:lineRule="exact"/>
        <w:rPr>
          <w:rFonts w:ascii="方正小标宋简体" w:hAnsi="宋体" w:eastAsia="方正小标宋简体"/>
          <w:b/>
          <w:bCs/>
          <w:color w:val="000000"/>
          <w:kern w:val="0"/>
          <w:sz w:val="44"/>
          <w:szCs w:val="44"/>
        </w:rPr>
      </w:pPr>
    </w:p>
    <w:p>
      <w:pPr>
        <w:spacing w:line="560" w:lineRule="exact"/>
        <w:rPr>
          <w:rFonts w:ascii="方正小标宋简体" w:hAnsi="宋体" w:eastAsia="方正小标宋简体"/>
          <w:b/>
          <w:bCs/>
          <w:color w:val="000000"/>
          <w:kern w:val="0"/>
          <w:sz w:val="44"/>
          <w:szCs w:val="44"/>
        </w:rPr>
      </w:pPr>
    </w:p>
    <w:p>
      <w:pPr>
        <w:spacing w:line="560" w:lineRule="exact"/>
        <w:rPr>
          <w:rFonts w:ascii="方正小标宋简体" w:hAnsi="宋体" w:eastAsia="方正小标宋简体"/>
          <w:b/>
          <w:bCs/>
          <w:color w:val="000000"/>
          <w:kern w:val="0"/>
          <w:sz w:val="44"/>
          <w:szCs w:val="44"/>
        </w:rPr>
      </w:pPr>
    </w:p>
    <w:p>
      <w:pPr>
        <w:spacing w:line="560" w:lineRule="exact"/>
        <w:rPr>
          <w:rFonts w:ascii="方正小标宋简体" w:hAnsi="宋体" w:eastAsia="方正小标宋简体"/>
          <w:b/>
          <w:bCs/>
          <w:color w:val="000000"/>
          <w:kern w:val="0"/>
          <w:sz w:val="44"/>
          <w:szCs w:val="44"/>
        </w:rPr>
      </w:pPr>
    </w:p>
    <w:p>
      <w:pPr>
        <w:spacing w:line="560" w:lineRule="exact"/>
        <w:rPr>
          <w:rFonts w:ascii="方正小标宋简体" w:hAnsi="宋体" w:eastAsia="方正小标宋简体"/>
          <w:b/>
          <w:bCs/>
          <w:color w:val="000000"/>
          <w:kern w:val="0"/>
          <w:sz w:val="44"/>
          <w:szCs w:val="44"/>
        </w:rPr>
      </w:pPr>
    </w:p>
    <w:p>
      <w:pPr>
        <w:spacing w:line="560" w:lineRule="exact"/>
        <w:rPr>
          <w:rFonts w:ascii="方正小标宋简体" w:hAnsi="宋体" w:eastAsia="方正小标宋简体"/>
          <w:b/>
          <w:bCs/>
          <w:color w:val="000000"/>
          <w:kern w:val="0"/>
          <w:sz w:val="44"/>
          <w:szCs w:val="44"/>
        </w:rPr>
      </w:pPr>
    </w:p>
    <w:p>
      <w:pPr>
        <w:spacing w:line="560" w:lineRule="exact"/>
        <w:jc w:val="center"/>
        <w:rPr>
          <w:rFonts w:ascii="方正小标宋简体" w:hAnsi="宋体" w:eastAsia="方正小标宋简体"/>
          <w:b/>
          <w:bCs/>
          <w:color w:val="000000"/>
          <w:kern w:val="0"/>
          <w:sz w:val="44"/>
          <w:szCs w:val="44"/>
          <w:lang w:val="zh-CN"/>
        </w:rPr>
      </w:pPr>
      <w:r>
        <w:rPr>
          <w:rFonts w:hint="eastAsia" w:ascii="方正小标宋简体" w:hAnsi="宋体" w:eastAsia="方正小标宋简体"/>
          <w:b/>
          <w:bCs/>
          <w:color w:val="000000"/>
          <w:kern w:val="0"/>
          <w:sz w:val="44"/>
          <w:szCs w:val="44"/>
        </w:rPr>
        <w:t>高清“天网”</w:t>
      </w:r>
      <w:r>
        <w:rPr>
          <w:rFonts w:hint="eastAsia" w:ascii="方正小标宋简体" w:hAnsi="宋体" w:eastAsia="方正小标宋简体"/>
          <w:b/>
          <w:bCs/>
          <w:color w:val="000000"/>
          <w:kern w:val="0"/>
          <w:sz w:val="44"/>
          <w:szCs w:val="44"/>
          <w:lang w:val="zh-CN"/>
        </w:rPr>
        <w:t>项目</w:t>
      </w:r>
    </w:p>
    <w:p>
      <w:pPr>
        <w:spacing w:line="560" w:lineRule="exact"/>
        <w:jc w:val="center"/>
        <w:rPr>
          <w:rFonts w:ascii="方正小标宋简体" w:hAnsi="宋体" w:eastAsia="方正小标宋简体"/>
          <w:b/>
          <w:bCs/>
          <w:color w:val="000000"/>
          <w:kern w:val="0"/>
          <w:sz w:val="44"/>
          <w:szCs w:val="44"/>
          <w:lang w:val="zh-CN"/>
        </w:rPr>
      </w:pPr>
      <w:r>
        <w:rPr>
          <w:rFonts w:ascii="方正小标宋简体" w:hAnsi="宋体" w:eastAsia="方正小标宋简体"/>
          <w:b/>
          <w:bCs/>
          <w:color w:val="000000"/>
          <w:kern w:val="0"/>
          <w:sz w:val="44"/>
          <w:szCs w:val="44"/>
        </w:rPr>
        <w:t>20</w:t>
      </w:r>
      <w:r>
        <w:rPr>
          <w:rFonts w:hint="eastAsia" w:ascii="方正小标宋简体" w:hAnsi="宋体" w:eastAsia="方正小标宋简体"/>
          <w:b/>
          <w:bCs/>
          <w:color w:val="000000"/>
          <w:kern w:val="0"/>
          <w:sz w:val="44"/>
          <w:szCs w:val="44"/>
        </w:rPr>
        <w:t>20年</w:t>
      </w:r>
      <w:r>
        <w:rPr>
          <w:rFonts w:hint="eastAsia" w:ascii="方正小标宋简体" w:hAnsi="宋体" w:eastAsia="方正小标宋简体"/>
          <w:b/>
          <w:bCs/>
          <w:color w:val="000000"/>
          <w:kern w:val="0"/>
          <w:sz w:val="44"/>
          <w:szCs w:val="44"/>
          <w:lang w:val="zh-CN"/>
        </w:rPr>
        <w:t>绩效评价报告</w:t>
      </w:r>
    </w:p>
    <w:p>
      <w:pPr>
        <w:spacing w:line="560" w:lineRule="exact"/>
        <w:rPr>
          <w:rFonts w:ascii="宋体"/>
          <w:b/>
          <w:bCs/>
          <w:sz w:val="32"/>
          <w:szCs w:val="32"/>
          <w:lang w:val="zh-CN"/>
        </w:rPr>
      </w:pP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一、项目概况</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 xml:space="preserve">（一）项目主管部门（单位）在该项目管理中的职能 </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按照部、省统一建设规范标准，结合乐山实际，由乐山市公安局作为承建单位，分别于</w:t>
      </w:r>
      <w:r>
        <w:rPr>
          <w:rFonts w:ascii="仿宋_GB2312" w:hAnsi="宋体" w:eastAsia="仿宋_GB2312"/>
          <w:sz w:val="32"/>
          <w:szCs w:val="32"/>
          <w:lang w:val="zh-CN"/>
        </w:rPr>
        <w:t>2016</w:t>
      </w:r>
      <w:r>
        <w:rPr>
          <w:rFonts w:hint="eastAsia" w:ascii="仿宋_GB2312" w:hAnsi="宋体" w:eastAsia="仿宋_GB2312"/>
          <w:sz w:val="32"/>
          <w:szCs w:val="32"/>
          <w:lang w:val="zh-CN"/>
        </w:rPr>
        <w:t>年和</w:t>
      </w:r>
      <w:r>
        <w:rPr>
          <w:rFonts w:ascii="仿宋_GB2312" w:hAnsi="宋体" w:eastAsia="仿宋_GB2312"/>
          <w:sz w:val="32"/>
          <w:szCs w:val="32"/>
          <w:lang w:val="zh-CN"/>
        </w:rPr>
        <w:t>2017</w:t>
      </w:r>
      <w:r>
        <w:rPr>
          <w:rFonts w:hint="eastAsia" w:ascii="仿宋_GB2312" w:hAnsi="宋体" w:eastAsia="仿宋_GB2312"/>
          <w:sz w:val="32"/>
          <w:szCs w:val="32"/>
          <w:lang w:val="zh-CN"/>
        </w:rPr>
        <w:t>年开展了乐山高清“天网”建设项目（一期和二期）任务。现将各项工作开展情况报告如下：</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b/>
          <w:sz w:val="32"/>
          <w:szCs w:val="32"/>
          <w:lang w:val="zh-CN"/>
        </w:rPr>
        <w:t>（二）项目立项、资金申报的依据</w:t>
      </w:r>
    </w:p>
    <w:p>
      <w:pPr>
        <w:adjustRightInd w:val="0"/>
        <w:snapToGrid w:val="0"/>
        <w:spacing w:line="560" w:lineRule="exact"/>
        <w:ind w:firstLine="720"/>
        <w:rPr>
          <w:rFonts w:ascii="仿宋_GB2312" w:hAnsi="宋体" w:eastAsia="仿宋_GB2312"/>
          <w:sz w:val="32"/>
          <w:szCs w:val="32"/>
          <w:lang w:val="zh-CN"/>
        </w:rPr>
      </w:pPr>
      <w:r>
        <w:rPr>
          <w:rFonts w:ascii="仿宋_GB2312" w:hAnsi="宋体" w:eastAsia="仿宋_GB2312"/>
          <w:sz w:val="32"/>
          <w:szCs w:val="32"/>
          <w:lang w:val="zh-CN"/>
        </w:rPr>
        <w:t>2014</w:t>
      </w:r>
      <w:r>
        <w:rPr>
          <w:rFonts w:hint="eastAsia" w:ascii="仿宋_GB2312" w:hAnsi="宋体" w:eastAsia="仿宋_GB2312"/>
          <w:sz w:val="32"/>
          <w:szCs w:val="32"/>
          <w:lang w:val="zh-CN"/>
        </w:rPr>
        <w:t>年</w:t>
      </w:r>
      <w:r>
        <w:rPr>
          <w:rFonts w:ascii="仿宋_GB2312" w:hAnsi="宋体" w:eastAsia="仿宋_GB2312"/>
          <w:sz w:val="32"/>
          <w:szCs w:val="32"/>
          <w:lang w:val="zh-CN"/>
        </w:rPr>
        <w:t>6</w:t>
      </w:r>
      <w:r>
        <w:rPr>
          <w:rFonts w:hint="eastAsia" w:ascii="仿宋_GB2312" w:hAnsi="宋体" w:eastAsia="仿宋_GB2312"/>
          <w:sz w:val="32"/>
          <w:szCs w:val="32"/>
          <w:lang w:val="zh-CN"/>
        </w:rPr>
        <w:t>月</w:t>
      </w:r>
      <w:r>
        <w:rPr>
          <w:rFonts w:ascii="仿宋_GB2312" w:hAnsi="宋体" w:eastAsia="仿宋_GB2312"/>
          <w:sz w:val="32"/>
          <w:szCs w:val="32"/>
          <w:lang w:val="zh-CN"/>
        </w:rPr>
        <w:t>19</w:t>
      </w:r>
      <w:r>
        <w:rPr>
          <w:rFonts w:hint="eastAsia" w:ascii="仿宋_GB2312" w:hAnsi="宋体" w:eastAsia="仿宋_GB2312"/>
          <w:sz w:val="32"/>
          <w:szCs w:val="32"/>
          <w:lang w:val="zh-CN"/>
        </w:rPr>
        <w:t>日，市政府常务会批复了《关于加快启动高清“天网”建设的请示》：</w:t>
      </w:r>
      <w:r>
        <w:rPr>
          <w:rFonts w:ascii="仿宋_GB2312" w:hAnsi="宋体" w:eastAsia="仿宋_GB2312"/>
          <w:sz w:val="32"/>
          <w:szCs w:val="32"/>
          <w:lang w:val="zh-CN"/>
        </w:rPr>
        <w:t>1.</w:t>
      </w:r>
      <w:r>
        <w:rPr>
          <w:rFonts w:hint="eastAsia" w:ascii="仿宋_GB2312" w:hAnsi="宋体" w:eastAsia="仿宋_GB2312"/>
          <w:sz w:val="32"/>
          <w:szCs w:val="32"/>
          <w:lang w:val="zh-CN"/>
        </w:rPr>
        <w:t>同意高清“天网”系统建设规划和第一期建设方案；</w:t>
      </w:r>
      <w:r>
        <w:rPr>
          <w:rFonts w:ascii="仿宋_GB2312" w:hAnsi="宋体" w:eastAsia="仿宋_GB2312"/>
          <w:sz w:val="32"/>
          <w:szCs w:val="32"/>
          <w:lang w:val="zh-CN"/>
        </w:rPr>
        <w:t>2.</w:t>
      </w:r>
      <w:r>
        <w:rPr>
          <w:rFonts w:hint="eastAsia" w:ascii="仿宋_GB2312" w:hAnsi="宋体" w:eastAsia="仿宋_GB2312"/>
          <w:sz w:val="32"/>
          <w:szCs w:val="32"/>
          <w:lang w:val="zh-CN"/>
        </w:rPr>
        <w:t>第一期“天网”</w:t>
      </w:r>
      <w:r>
        <w:rPr>
          <w:rFonts w:ascii="仿宋_GB2312" w:hAnsi="宋体" w:eastAsia="仿宋_GB2312"/>
          <w:sz w:val="32"/>
          <w:szCs w:val="32"/>
          <w:lang w:val="zh-CN"/>
        </w:rPr>
        <w:t>2014</w:t>
      </w:r>
      <w:r>
        <w:rPr>
          <w:rFonts w:hint="eastAsia" w:ascii="仿宋_GB2312" w:hAnsi="宋体" w:eastAsia="仿宋_GB2312"/>
          <w:sz w:val="32"/>
          <w:szCs w:val="32"/>
          <w:lang w:val="zh-CN"/>
        </w:rPr>
        <w:t>年建设经费在市级财力中追加解决，按规定据实拨付，并从</w:t>
      </w:r>
      <w:r>
        <w:rPr>
          <w:rFonts w:ascii="仿宋_GB2312" w:hAnsi="宋体" w:eastAsia="仿宋_GB2312"/>
          <w:sz w:val="32"/>
          <w:szCs w:val="32"/>
          <w:lang w:val="zh-CN"/>
        </w:rPr>
        <w:t>2015</w:t>
      </w:r>
      <w:r>
        <w:rPr>
          <w:rFonts w:hint="eastAsia" w:ascii="仿宋_GB2312" w:hAnsi="宋体" w:eastAsia="仿宋_GB2312"/>
          <w:sz w:val="32"/>
          <w:szCs w:val="32"/>
          <w:lang w:val="zh-CN"/>
        </w:rPr>
        <w:t>年起列入财政预算；</w:t>
      </w:r>
      <w:r>
        <w:rPr>
          <w:rFonts w:ascii="仿宋_GB2312" w:hAnsi="宋体" w:eastAsia="仿宋_GB2312"/>
          <w:sz w:val="32"/>
          <w:szCs w:val="32"/>
          <w:lang w:val="zh-CN"/>
        </w:rPr>
        <w:t>3.</w:t>
      </w:r>
      <w:r>
        <w:rPr>
          <w:rFonts w:hint="eastAsia" w:ascii="仿宋_GB2312" w:hAnsi="宋体" w:eastAsia="仿宋_GB2312"/>
          <w:sz w:val="32"/>
          <w:szCs w:val="32"/>
          <w:lang w:val="zh-CN"/>
        </w:rPr>
        <w:t>由市公安局牵头，按规定程序扎实推进高清“天网”建设；</w:t>
      </w:r>
      <w:r>
        <w:rPr>
          <w:rFonts w:ascii="仿宋_GB2312" w:hAnsi="宋体" w:eastAsia="仿宋_GB2312"/>
          <w:sz w:val="32"/>
          <w:szCs w:val="32"/>
          <w:lang w:val="zh-CN"/>
        </w:rPr>
        <w:t>4.</w:t>
      </w:r>
      <w:r>
        <w:rPr>
          <w:rFonts w:hint="eastAsia" w:ascii="仿宋_GB2312" w:hAnsi="宋体" w:eastAsia="仿宋_GB2312"/>
          <w:sz w:val="32"/>
          <w:szCs w:val="32"/>
          <w:lang w:val="zh-CN"/>
        </w:rPr>
        <w:t>市公安局要注意人防、物防、技防结合，推动平安乐山建设。</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在一期建设完成的基础上，市局稳步推进高清“天网”二期建设任务，于</w:t>
      </w:r>
      <w:r>
        <w:rPr>
          <w:rFonts w:ascii="仿宋_GB2312" w:hAnsi="宋体" w:eastAsia="仿宋_GB2312"/>
          <w:sz w:val="32"/>
          <w:szCs w:val="32"/>
          <w:lang w:val="zh-CN"/>
        </w:rPr>
        <w:t>2017</w:t>
      </w:r>
      <w:r>
        <w:rPr>
          <w:rFonts w:hint="eastAsia" w:ascii="仿宋_GB2312" w:hAnsi="宋体" w:eastAsia="仿宋_GB2312"/>
          <w:sz w:val="32"/>
          <w:szCs w:val="32"/>
          <w:lang w:val="zh-CN"/>
        </w:rPr>
        <w:t>年</w:t>
      </w:r>
      <w:r>
        <w:rPr>
          <w:rFonts w:ascii="仿宋_GB2312" w:hAnsi="宋体" w:eastAsia="仿宋_GB2312"/>
          <w:sz w:val="32"/>
          <w:szCs w:val="32"/>
          <w:lang w:val="zh-CN"/>
        </w:rPr>
        <w:t>2</w:t>
      </w:r>
      <w:r>
        <w:rPr>
          <w:rFonts w:hint="eastAsia" w:ascii="仿宋_GB2312" w:hAnsi="宋体" w:eastAsia="仿宋_GB2312"/>
          <w:sz w:val="32"/>
          <w:szCs w:val="32"/>
          <w:lang w:val="zh-CN"/>
        </w:rPr>
        <w:t>月向市政府、市财政局提交建设请示报告，并根据市政府批复意见，开展二期建设任务。</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（三）项目绩效目标。</w:t>
      </w:r>
    </w:p>
    <w:p>
      <w:pPr>
        <w:adjustRightInd w:val="0"/>
        <w:snapToGrid w:val="0"/>
        <w:spacing w:line="560" w:lineRule="exact"/>
        <w:ind w:firstLine="720"/>
        <w:rPr>
          <w:rFonts w:ascii="仿宋_GB2312" w:hAnsi="宋体" w:eastAsia="仿宋_GB2312"/>
          <w:sz w:val="32"/>
          <w:szCs w:val="32"/>
          <w:lang w:val="zh-CN"/>
        </w:rPr>
      </w:pPr>
      <w:r>
        <w:rPr>
          <w:rFonts w:ascii="仿宋_GB2312" w:hAnsi="宋体" w:eastAsia="仿宋_GB2312"/>
          <w:sz w:val="32"/>
          <w:szCs w:val="32"/>
          <w:lang w:val="zh-CN"/>
        </w:rPr>
        <w:t>1</w:t>
      </w:r>
      <w:r>
        <w:rPr>
          <w:rFonts w:hint="eastAsia" w:ascii="仿宋_GB2312" w:hAnsi="宋体" w:eastAsia="仿宋_GB2312"/>
          <w:sz w:val="32"/>
          <w:szCs w:val="32"/>
          <w:lang w:val="zh-CN"/>
        </w:rPr>
        <w:t>.项目主要内容。</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天网“一期”完成了</w:t>
      </w:r>
      <w:r>
        <w:rPr>
          <w:rFonts w:ascii="仿宋_GB2312" w:hAnsi="宋体" w:eastAsia="仿宋_GB2312"/>
          <w:sz w:val="32"/>
          <w:szCs w:val="32"/>
          <w:lang w:val="zh-CN"/>
        </w:rPr>
        <w:t>300</w:t>
      </w:r>
      <w:r>
        <w:rPr>
          <w:rFonts w:hint="eastAsia" w:ascii="仿宋_GB2312" w:hAnsi="宋体" w:eastAsia="仿宋_GB2312"/>
          <w:sz w:val="32"/>
          <w:szCs w:val="32"/>
          <w:lang w:val="zh-CN"/>
        </w:rPr>
        <w:t>个点位，共计</w:t>
      </w:r>
      <w:r>
        <w:rPr>
          <w:rFonts w:ascii="仿宋_GB2312" w:hAnsi="宋体" w:eastAsia="仿宋_GB2312"/>
          <w:sz w:val="32"/>
          <w:szCs w:val="32"/>
          <w:lang w:val="zh-CN"/>
        </w:rPr>
        <w:t>600</w:t>
      </w:r>
      <w:r>
        <w:rPr>
          <w:rFonts w:hint="eastAsia" w:ascii="仿宋_GB2312" w:hAnsi="宋体" w:eastAsia="仿宋_GB2312"/>
          <w:sz w:val="32"/>
          <w:szCs w:val="32"/>
          <w:lang w:val="zh-CN"/>
        </w:rPr>
        <w:t>路高清视频监控建设。在城市新建高速路和城区主要出入口等位置建设</w:t>
      </w:r>
      <w:r>
        <w:rPr>
          <w:rFonts w:ascii="仿宋_GB2312" w:hAnsi="宋体" w:eastAsia="仿宋_GB2312"/>
          <w:sz w:val="32"/>
          <w:szCs w:val="32"/>
          <w:lang w:val="zh-CN"/>
        </w:rPr>
        <w:t>18</w:t>
      </w:r>
      <w:r>
        <w:rPr>
          <w:rFonts w:hint="eastAsia" w:ascii="仿宋_GB2312" w:hAnsi="宋体" w:eastAsia="仿宋_GB2312"/>
          <w:sz w:val="32"/>
          <w:szCs w:val="32"/>
          <w:lang w:val="zh-CN"/>
        </w:rPr>
        <w:t>个点位</w:t>
      </w:r>
      <w:r>
        <w:rPr>
          <w:rFonts w:ascii="仿宋_GB2312" w:hAnsi="宋体" w:eastAsia="仿宋_GB2312"/>
          <w:sz w:val="32"/>
          <w:szCs w:val="32"/>
          <w:lang w:val="zh-CN"/>
        </w:rPr>
        <w:t>72</w:t>
      </w:r>
      <w:r>
        <w:rPr>
          <w:rFonts w:hint="eastAsia" w:ascii="仿宋_GB2312" w:hAnsi="宋体" w:eastAsia="仿宋_GB2312"/>
          <w:sz w:val="32"/>
          <w:szCs w:val="32"/>
          <w:lang w:val="zh-CN"/>
        </w:rPr>
        <w:t>个车道高清治安卡口；对之前的</w:t>
      </w:r>
      <w:r>
        <w:rPr>
          <w:rFonts w:ascii="仿宋_GB2312" w:hAnsi="宋体" w:eastAsia="仿宋_GB2312"/>
          <w:sz w:val="32"/>
          <w:szCs w:val="32"/>
          <w:lang w:val="zh-CN"/>
        </w:rPr>
        <w:t>9</w:t>
      </w:r>
      <w:r>
        <w:rPr>
          <w:rFonts w:hint="eastAsia" w:ascii="仿宋_GB2312" w:hAnsi="宋体" w:eastAsia="仿宋_GB2312"/>
          <w:sz w:val="32"/>
          <w:szCs w:val="32"/>
          <w:lang w:val="zh-CN"/>
        </w:rPr>
        <w:t>个点位</w:t>
      </w:r>
      <w:r>
        <w:rPr>
          <w:rFonts w:ascii="仿宋_GB2312" w:hAnsi="宋体" w:eastAsia="仿宋_GB2312"/>
          <w:sz w:val="32"/>
          <w:szCs w:val="32"/>
          <w:lang w:val="zh-CN"/>
        </w:rPr>
        <w:t>36</w:t>
      </w:r>
      <w:r>
        <w:rPr>
          <w:rFonts w:hint="eastAsia" w:ascii="仿宋_GB2312" w:hAnsi="宋体" w:eastAsia="仿宋_GB2312"/>
          <w:sz w:val="32"/>
          <w:szCs w:val="32"/>
          <w:lang w:val="zh-CN"/>
        </w:rPr>
        <w:t>个车道的卡口进行升级改造并接入全省统一的缉查布控平台；部署中心机房和软硬件平台，接入新建点位并接入</w:t>
      </w:r>
      <w:r>
        <w:rPr>
          <w:rFonts w:ascii="仿宋_GB2312" w:hAnsi="宋体" w:eastAsia="仿宋_GB2312"/>
          <w:sz w:val="32"/>
          <w:szCs w:val="32"/>
          <w:lang w:val="zh-CN"/>
        </w:rPr>
        <w:t>11</w:t>
      </w:r>
      <w:r>
        <w:rPr>
          <w:rFonts w:hint="eastAsia" w:ascii="仿宋_GB2312" w:hAnsi="宋体" w:eastAsia="仿宋_GB2312"/>
          <w:sz w:val="32"/>
          <w:szCs w:val="32"/>
          <w:lang w:val="zh-CN"/>
        </w:rPr>
        <w:t>个区县视频资源，建设分控中心和开通视频专网。</w:t>
      </w:r>
      <w:r>
        <w:rPr>
          <w:rFonts w:ascii="仿宋_GB2312" w:hAnsi="宋体" w:eastAsia="仿宋_GB2312"/>
          <w:sz w:val="32"/>
          <w:szCs w:val="32"/>
          <w:lang w:val="zh-CN"/>
        </w:rPr>
        <w:t xml:space="preserve">   </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天网“二期”主要完成了主城区</w:t>
      </w:r>
      <w:r>
        <w:rPr>
          <w:rFonts w:ascii="仿宋_GB2312" w:hAnsi="宋体" w:eastAsia="仿宋_GB2312"/>
          <w:sz w:val="32"/>
          <w:szCs w:val="32"/>
          <w:lang w:val="zh-CN"/>
        </w:rPr>
        <w:t>420</w:t>
      </w:r>
      <w:r>
        <w:rPr>
          <w:rFonts w:hint="eastAsia" w:ascii="仿宋_GB2312" w:hAnsi="宋体" w:eastAsia="仿宋_GB2312"/>
          <w:sz w:val="32"/>
          <w:szCs w:val="32"/>
          <w:lang w:val="zh-CN"/>
        </w:rPr>
        <w:t>个标清点位的高清改造和市委、市政府、市人大、市政协高清视频监控的建设任务，共计建设高清视频监控点位</w:t>
      </w:r>
      <w:r>
        <w:rPr>
          <w:rFonts w:ascii="仿宋_GB2312" w:hAnsi="宋体" w:eastAsia="仿宋_GB2312"/>
          <w:sz w:val="32"/>
          <w:szCs w:val="32"/>
          <w:lang w:val="zh-CN"/>
        </w:rPr>
        <w:t>752</w:t>
      </w:r>
      <w:r>
        <w:rPr>
          <w:rFonts w:hint="eastAsia" w:ascii="仿宋_GB2312" w:hAnsi="宋体" w:eastAsia="仿宋_GB2312"/>
          <w:sz w:val="32"/>
          <w:szCs w:val="32"/>
          <w:lang w:val="zh-CN"/>
        </w:rPr>
        <w:t>路，改造升级17个治安卡口。</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绿心环线视频监控：45路高清视频监控，7套高清治安卡口建设以及存储等。</w:t>
      </w:r>
    </w:p>
    <w:p>
      <w:pPr>
        <w:adjustRightInd w:val="0"/>
        <w:snapToGrid w:val="0"/>
        <w:spacing w:line="560" w:lineRule="exact"/>
        <w:ind w:firstLine="720"/>
        <w:rPr>
          <w:rFonts w:ascii="仿宋_GB2312" w:hAnsi="宋体" w:eastAsia="仿宋_GB2312"/>
          <w:sz w:val="32"/>
          <w:szCs w:val="32"/>
          <w:lang w:val="zh-CN"/>
        </w:rPr>
      </w:pPr>
      <w:r>
        <w:rPr>
          <w:rFonts w:ascii="仿宋_GB2312" w:hAnsi="宋体" w:eastAsia="仿宋_GB2312"/>
          <w:sz w:val="32"/>
          <w:szCs w:val="32"/>
          <w:lang w:val="zh-CN"/>
        </w:rPr>
        <w:t>2</w:t>
      </w:r>
      <w:r>
        <w:rPr>
          <w:rFonts w:hint="eastAsia" w:ascii="仿宋_GB2312" w:hAnsi="宋体" w:eastAsia="仿宋_GB2312"/>
          <w:sz w:val="32"/>
          <w:szCs w:val="32"/>
          <w:lang w:val="zh-CN"/>
        </w:rPr>
        <w:t>.项目应实现的具体绩效目标，包括目标的量化、细化情况以及项目实施进度计划等。</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按照合同约定，“天网”一、二期项目均按时按量完成了建设内容，一期主要完成了</w:t>
      </w:r>
      <w:r>
        <w:rPr>
          <w:rFonts w:ascii="仿宋_GB2312" w:hAnsi="宋体" w:eastAsia="仿宋_GB2312"/>
          <w:sz w:val="32"/>
          <w:szCs w:val="32"/>
          <w:lang w:val="zh-CN"/>
        </w:rPr>
        <w:t>300</w:t>
      </w:r>
      <w:r>
        <w:rPr>
          <w:rFonts w:hint="eastAsia" w:ascii="仿宋_GB2312" w:hAnsi="宋体" w:eastAsia="仿宋_GB2312"/>
          <w:sz w:val="32"/>
          <w:szCs w:val="32"/>
          <w:lang w:val="zh-CN"/>
        </w:rPr>
        <w:t>个点位，共计</w:t>
      </w:r>
      <w:r>
        <w:rPr>
          <w:rFonts w:ascii="仿宋_GB2312" w:hAnsi="宋体" w:eastAsia="仿宋_GB2312"/>
          <w:sz w:val="32"/>
          <w:szCs w:val="32"/>
          <w:lang w:val="zh-CN"/>
        </w:rPr>
        <w:t>600</w:t>
      </w:r>
      <w:r>
        <w:rPr>
          <w:rFonts w:hint="eastAsia" w:ascii="仿宋_GB2312" w:hAnsi="宋体" w:eastAsia="仿宋_GB2312"/>
          <w:sz w:val="32"/>
          <w:szCs w:val="32"/>
          <w:lang w:val="zh-CN"/>
        </w:rPr>
        <w:t>路高清视频监控建设。在城市新建高速路和城区主要出入口等位置建设</w:t>
      </w:r>
      <w:r>
        <w:rPr>
          <w:rFonts w:ascii="仿宋_GB2312" w:hAnsi="宋体" w:eastAsia="仿宋_GB2312"/>
          <w:sz w:val="32"/>
          <w:szCs w:val="32"/>
          <w:lang w:val="zh-CN"/>
        </w:rPr>
        <w:t>18</w:t>
      </w:r>
      <w:r>
        <w:rPr>
          <w:rFonts w:hint="eastAsia" w:ascii="仿宋_GB2312" w:hAnsi="宋体" w:eastAsia="仿宋_GB2312"/>
          <w:sz w:val="32"/>
          <w:szCs w:val="32"/>
          <w:lang w:val="zh-CN"/>
        </w:rPr>
        <w:t>个点位</w:t>
      </w:r>
      <w:r>
        <w:rPr>
          <w:rFonts w:ascii="仿宋_GB2312" w:hAnsi="宋体" w:eastAsia="仿宋_GB2312"/>
          <w:sz w:val="32"/>
          <w:szCs w:val="32"/>
          <w:lang w:val="zh-CN"/>
        </w:rPr>
        <w:t>72</w:t>
      </w:r>
      <w:r>
        <w:rPr>
          <w:rFonts w:hint="eastAsia" w:ascii="仿宋_GB2312" w:hAnsi="宋体" w:eastAsia="仿宋_GB2312"/>
          <w:sz w:val="32"/>
          <w:szCs w:val="32"/>
          <w:lang w:val="zh-CN"/>
        </w:rPr>
        <w:t>个车道高清治安卡口；对之前的</w:t>
      </w:r>
      <w:r>
        <w:rPr>
          <w:rFonts w:ascii="仿宋_GB2312" w:hAnsi="宋体" w:eastAsia="仿宋_GB2312"/>
          <w:sz w:val="32"/>
          <w:szCs w:val="32"/>
          <w:lang w:val="zh-CN"/>
        </w:rPr>
        <w:t>9</w:t>
      </w:r>
      <w:r>
        <w:rPr>
          <w:rFonts w:hint="eastAsia" w:ascii="仿宋_GB2312" w:hAnsi="宋体" w:eastAsia="仿宋_GB2312"/>
          <w:sz w:val="32"/>
          <w:szCs w:val="32"/>
          <w:lang w:val="zh-CN"/>
        </w:rPr>
        <w:t>个点位</w:t>
      </w:r>
      <w:r>
        <w:rPr>
          <w:rFonts w:ascii="仿宋_GB2312" w:hAnsi="宋体" w:eastAsia="仿宋_GB2312"/>
          <w:sz w:val="32"/>
          <w:szCs w:val="32"/>
          <w:lang w:val="zh-CN"/>
        </w:rPr>
        <w:t>36</w:t>
      </w:r>
      <w:r>
        <w:rPr>
          <w:rFonts w:hint="eastAsia" w:ascii="仿宋_GB2312" w:hAnsi="宋体" w:eastAsia="仿宋_GB2312"/>
          <w:sz w:val="32"/>
          <w:szCs w:val="32"/>
          <w:lang w:val="zh-CN"/>
        </w:rPr>
        <w:t>个车道的卡口进行升级改造并接入全省统一的缉查布控平台；部署中心机房和软硬件平台，接入新建点位并接入</w:t>
      </w:r>
      <w:r>
        <w:rPr>
          <w:rFonts w:ascii="仿宋_GB2312" w:hAnsi="宋体" w:eastAsia="仿宋_GB2312"/>
          <w:sz w:val="32"/>
          <w:szCs w:val="32"/>
          <w:lang w:val="zh-CN"/>
        </w:rPr>
        <w:t>11</w:t>
      </w:r>
      <w:r>
        <w:rPr>
          <w:rFonts w:hint="eastAsia" w:ascii="仿宋_GB2312" w:hAnsi="宋体" w:eastAsia="仿宋_GB2312"/>
          <w:sz w:val="32"/>
          <w:szCs w:val="32"/>
          <w:lang w:val="zh-CN"/>
        </w:rPr>
        <w:t>个区县视频资源；建设分控中心和开通视频专网，包括</w:t>
      </w:r>
      <w:r>
        <w:rPr>
          <w:rFonts w:ascii="仿宋_GB2312" w:hAnsi="宋体" w:eastAsia="仿宋_GB2312"/>
          <w:sz w:val="32"/>
          <w:szCs w:val="32"/>
          <w:lang w:val="zh-CN"/>
        </w:rPr>
        <w:t>11</w:t>
      </w:r>
      <w:r>
        <w:rPr>
          <w:rFonts w:hint="eastAsia" w:ascii="仿宋_GB2312" w:hAnsi="宋体" w:eastAsia="仿宋_GB2312"/>
          <w:sz w:val="32"/>
          <w:szCs w:val="32"/>
          <w:lang w:val="zh-CN"/>
        </w:rPr>
        <w:t>个市局相关部门（交警、禁毒、治安、刑侦、巡警、国保、网监、技侦、科通、情报、景区分局）和</w:t>
      </w:r>
      <w:r>
        <w:rPr>
          <w:rFonts w:ascii="仿宋_GB2312" w:hAnsi="宋体" w:eastAsia="仿宋_GB2312"/>
          <w:sz w:val="32"/>
          <w:szCs w:val="32"/>
          <w:lang w:val="zh-CN"/>
        </w:rPr>
        <w:t>11</w:t>
      </w:r>
      <w:r>
        <w:rPr>
          <w:rFonts w:hint="eastAsia" w:ascii="仿宋_GB2312" w:hAnsi="宋体" w:eastAsia="仿宋_GB2312"/>
          <w:sz w:val="32"/>
          <w:szCs w:val="32"/>
          <w:lang w:val="zh-CN"/>
        </w:rPr>
        <w:t>个派出所（彭山路、张公桥、泊水街、上河街、通江、城东、人民西路、肖坝、苏稽、高新区）。天网“二期”主要完成了主城区</w:t>
      </w:r>
      <w:r>
        <w:rPr>
          <w:rFonts w:ascii="仿宋_GB2312" w:hAnsi="宋体" w:eastAsia="仿宋_GB2312"/>
          <w:sz w:val="32"/>
          <w:szCs w:val="32"/>
          <w:lang w:val="zh-CN"/>
        </w:rPr>
        <w:t>420</w:t>
      </w:r>
      <w:r>
        <w:rPr>
          <w:rFonts w:hint="eastAsia" w:ascii="仿宋_GB2312" w:hAnsi="宋体" w:eastAsia="仿宋_GB2312"/>
          <w:sz w:val="32"/>
          <w:szCs w:val="32"/>
          <w:lang w:val="zh-CN"/>
        </w:rPr>
        <w:t>个标清点位的高清改造和市委、市政府、市人大、市政协高清视频监控的建设任务，共计建设高清视频监控点位</w:t>
      </w:r>
      <w:r>
        <w:rPr>
          <w:rFonts w:ascii="仿宋_GB2312" w:hAnsi="宋体" w:eastAsia="仿宋_GB2312"/>
          <w:sz w:val="32"/>
          <w:szCs w:val="32"/>
          <w:lang w:val="zh-CN"/>
        </w:rPr>
        <w:t>752</w:t>
      </w:r>
      <w:r>
        <w:rPr>
          <w:rFonts w:hint="eastAsia" w:ascii="仿宋_GB2312" w:hAnsi="宋体" w:eastAsia="仿宋_GB2312"/>
          <w:sz w:val="32"/>
          <w:szCs w:val="32"/>
          <w:lang w:val="zh-CN"/>
        </w:rPr>
        <w:t>路，改造升级17个治安卡口。2014年建设绿心环线视频监控，其中高清视频监控45路，高清治安卡口7套以及存储和视频专线等。</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基于高清“天网”平台开展乐山市公安局自建人像大数据平台建设。</w:t>
      </w:r>
      <w:r>
        <w:rPr>
          <w:rFonts w:ascii="仿宋_GB2312" w:hAnsi="宋体" w:eastAsia="仿宋_GB2312"/>
          <w:sz w:val="32"/>
          <w:szCs w:val="32"/>
          <w:lang w:val="zh-CN"/>
        </w:rPr>
        <w:t>2018</w:t>
      </w:r>
      <w:r>
        <w:rPr>
          <w:rFonts w:hint="eastAsia" w:ascii="仿宋_GB2312" w:hAnsi="宋体" w:eastAsia="仿宋_GB2312"/>
          <w:sz w:val="32"/>
          <w:szCs w:val="32"/>
          <w:lang w:val="zh-CN"/>
        </w:rPr>
        <w:t>年</w:t>
      </w:r>
      <w:r>
        <w:rPr>
          <w:rFonts w:ascii="仿宋_GB2312" w:hAnsi="宋体" w:eastAsia="仿宋_GB2312"/>
          <w:sz w:val="32"/>
          <w:szCs w:val="32"/>
          <w:lang w:val="zh-CN"/>
        </w:rPr>
        <w:t>3</w:t>
      </w:r>
      <w:r>
        <w:rPr>
          <w:rFonts w:hint="eastAsia" w:ascii="仿宋_GB2312" w:hAnsi="宋体" w:eastAsia="仿宋_GB2312"/>
          <w:sz w:val="32"/>
          <w:szCs w:val="32"/>
          <w:lang w:val="zh-CN"/>
        </w:rPr>
        <w:t>月完成动态人像比对平台部署及新建前端人像设备联调工作，形成了动静结合的人像比对应用新模式，实现了前端相机视频图像实时获取人员面部信息，并与平台目标库完成高精度的比对和预警。截止</w:t>
      </w:r>
      <w:r>
        <w:rPr>
          <w:rFonts w:ascii="仿宋_GB2312" w:hAnsi="宋体" w:eastAsia="仿宋_GB2312"/>
          <w:sz w:val="32"/>
          <w:szCs w:val="32"/>
          <w:lang w:val="zh-CN"/>
        </w:rPr>
        <w:t>201</w:t>
      </w:r>
      <w:r>
        <w:rPr>
          <w:rFonts w:hint="eastAsia" w:ascii="仿宋_GB2312" w:hAnsi="宋体" w:eastAsia="仿宋_GB2312"/>
          <w:sz w:val="32"/>
          <w:szCs w:val="32"/>
          <w:lang w:val="zh-CN"/>
        </w:rPr>
        <w:t>9年底，通过视频人像比对分别在大佛景区、峨眉山景区、长途汽车站共抓获</w:t>
      </w:r>
      <w:r>
        <w:rPr>
          <w:rFonts w:ascii="仿宋_GB2312" w:hAnsi="宋体" w:eastAsia="仿宋_GB2312"/>
          <w:sz w:val="32"/>
          <w:szCs w:val="32"/>
          <w:lang w:val="zh-CN"/>
        </w:rPr>
        <w:t>22</w:t>
      </w:r>
      <w:r>
        <w:rPr>
          <w:rFonts w:hint="eastAsia" w:ascii="仿宋_GB2312" w:hAnsi="宋体" w:eastAsia="仿宋_GB2312"/>
          <w:sz w:val="32"/>
          <w:szCs w:val="32"/>
          <w:lang w:val="zh-CN"/>
        </w:rPr>
        <w:t>余名历年逃犯。</w:t>
      </w:r>
    </w:p>
    <w:p>
      <w:pPr>
        <w:adjustRightInd w:val="0"/>
        <w:snapToGrid w:val="0"/>
        <w:spacing w:line="560" w:lineRule="exact"/>
        <w:ind w:firstLine="720"/>
        <w:rPr>
          <w:rFonts w:ascii="仿宋_GB2312" w:hAnsi="宋体" w:eastAsia="仿宋_GB2312"/>
          <w:sz w:val="32"/>
          <w:szCs w:val="32"/>
          <w:lang w:val="zh-CN"/>
        </w:rPr>
      </w:pPr>
      <w:r>
        <w:rPr>
          <w:rFonts w:ascii="仿宋_GB2312" w:hAnsi="宋体" w:eastAsia="仿宋_GB2312"/>
          <w:sz w:val="32"/>
          <w:szCs w:val="32"/>
          <w:lang w:val="zh-CN"/>
        </w:rPr>
        <w:t>3</w:t>
      </w:r>
      <w:r>
        <w:rPr>
          <w:rFonts w:hint="eastAsia" w:ascii="仿宋_GB2312" w:hAnsi="宋体" w:eastAsia="仿宋_GB2312"/>
          <w:sz w:val="32"/>
          <w:szCs w:val="32"/>
          <w:lang w:val="zh-CN"/>
        </w:rPr>
        <w:t>.分析评价申报内容是否与实际相符，申报目标是否合理可行。</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申报内容均按照中标合同进度完成建设内容，与实际相符，申报目标合理可行。</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（四）项目自评步骤及方法。</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项目实施过程中，全程由第三方监理单位和检测单位进行项目施工的全程监理和项目检测，并出具监理报告和检测报告。项目竣工后，按照《四川省政府采购项目需求论证和履约验收管理办法》要求和步骤，分别邀请采购代理机构、第三方检测机构、四川省专家库中的相关专家以及业主方使用代表等人员参加履约评价验收工作。</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二、项目资金申报及使用情况</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（一）项目资金申报及批复情况。</w:t>
      </w:r>
    </w:p>
    <w:p>
      <w:pPr>
        <w:adjustRightInd w:val="0"/>
        <w:snapToGrid w:val="0"/>
        <w:spacing w:line="560" w:lineRule="exact"/>
        <w:ind w:firstLine="720"/>
        <w:rPr>
          <w:rFonts w:ascii="仿宋_GB2312" w:hAnsi="宋体" w:eastAsia="仿宋_GB2312"/>
          <w:sz w:val="32"/>
          <w:szCs w:val="32"/>
          <w:lang w:val="zh-CN"/>
        </w:rPr>
      </w:pPr>
      <w:r>
        <w:rPr>
          <w:rFonts w:ascii="仿宋_GB2312" w:hAnsi="宋体" w:eastAsia="仿宋_GB2312"/>
          <w:sz w:val="32"/>
          <w:szCs w:val="32"/>
          <w:lang w:val="zh-CN"/>
        </w:rPr>
        <w:t>2014</w:t>
      </w:r>
      <w:r>
        <w:rPr>
          <w:rFonts w:hint="eastAsia" w:ascii="仿宋_GB2312" w:hAnsi="宋体" w:eastAsia="仿宋_GB2312"/>
          <w:sz w:val="32"/>
          <w:szCs w:val="32"/>
          <w:lang w:val="zh-CN"/>
        </w:rPr>
        <w:t>年</w:t>
      </w:r>
      <w:r>
        <w:rPr>
          <w:rFonts w:ascii="仿宋_GB2312" w:hAnsi="宋体" w:eastAsia="仿宋_GB2312"/>
          <w:sz w:val="32"/>
          <w:szCs w:val="32"/>
          <w:lang w:val="zh-CN"/>
        </w:rPr>
        <w:t>6</w:t>
      </w:r>
      <w:r>
        <w:rPr>
          <w:rFonts w:hint="eastAsia" w:ascii="仿宋_GB2312" w:hAnsi="宋体" w:eastAsia="仿宋_GB2312"/>
          <w:sz w:val="32"/>
          <w:szCs w:val="32"/>
          <w:lang w:val="zh-CN"/>
        </w:rPr>
        <w:t>月</w:t>
      </w:r>
      <w:r>
        <w:rPr>
          <w:rFonts w:ascii="仿宋_GB2312" w:hAnsi="宋体" w:eastAsia="仿宋_GB2312"/>
          <w:sz w:val="32"/>
          <w:szCs w:val="32"/>
          <w:lang w:val="zh-CN"/>
        </w:rPr>
        <w:t>19</w:t>
      </w:r>
      <w:r>
        <w:rPr>
          <w:rFonts w:hint="eastAsia" w:ascii="仿宋_GB2312" w:hAnsi="宋体" w:eastAsia="仿宋_GB2312"/>
          <w:sz w:val="32"/>
          <w:szCs w:val="32"/>
          <w:lang w:val="zh-CN"/>
        </w:rPr>
        <w:t>日，市政府常务会批复了《关于加快启动高清“天网”建设的请示》：</w:t>
      </w:r>
      <w:r>
        <w:rPr>
          <w:rFonts w:ascii="仿宋_GB2312" w:hAnsi="宋体" w:eastAsia="仿宋_GB2312"/>
          <w:sz w:val="32"/>
          <w:szCs w:val="32"/>
          <w:lang w:val="zh-CN"/>
        </w:rPr>
        <w:t>1.</w:t>
      </w:r>
      <w:r>
        <w:rPr>
          <w:rFonts w:hint="eastAsia" w:ascii="仿宋_GB2312" w:hAnsi="宋体" w:eastAsia="仿宋_GB2312"/>
          <w:sz w:val="32"/>
          <w:szCs w:val="32"/>
          <w:lang w:val="zh-CN"/>
        </w:rPr>
        <w:t>同意高清“天网”系统建设规划和第一期建设方案；</w:t>
      </w:r>
      <w:r>
        <w:rPr>
          <w:rFonts w:ascii="仿宋_GB2312" w:hAnsi="宋体" w:eastAsia="仿宋_GB2312"/>
          <w:sz w:val="32"/>
          <w:szCs w:val="32"/>
          <w:lang w:val="zh-CN"/>
        </w:rPr>
        <w:t>2.</w:t>
      </w:r>
      <w:r>
        <w:rPr>
          <w:rFonts w:hint="eastAsia" w:ascii="仿宋_GB2312" w:hAnsi="宋体" w:eastAsia="仿宋_GB2312"/>
          <w:sz w:val="32"/>
          <w:szCs w:val="32"/>
          <w:lang w:val="zh-CN"/>
        </w:rPr>
        <w:t>第一期“天网”</w:t>
      </w:r>
      <w:r>
        <w:rPr>
          <w:rFonts w:ascii="仿宋_GB2312" w:hAnsi="宋体" w:eastAsia="仿宋_GB2312"/>
          <w:sz w:val="32"/>
          <w:szCs w:val="32"/>
          <w:lang w:val="zh-CN"/>
        </w:rPr>
        <w:t>2014</w:t>
      </w:r>
      <w:r>
        <w:rPr>
          <w:rFonts w:hint="eastAsia" w:ascii="仿宋_GB2312" w:hAnsi="宋体" w:eastAsia="仿宋_GB2312"/>
          <w:sz w:val="32"/>
          <w:szCs w:val="32"/>
          <w:lang w:val="zh-CN"/>
        </w:rPr>
        <w:t>年建设经费在市级财力中追加解决，按规定据实拨付，并从</w:t>
      </w:r>
      <w:r>
        <w:rPr>
          <w:rFonts w:ascii="仿宋_GB2312" w:hAnsi="宋体" w:eastAsia="仿宋_GB2312"/>
          <w:sz w:val="32"/>
          <w:szCs w:val="32"/>
          <w:lang w:val="zh-CN"/>
        </w:rPr>
        <w:t>2015</w:t>
      </w:r>
      <w:r>
        <w:rPr>
          <w:rFonts w:hint="eastAsia" w:ascii="仿宋_GB2312" w:hAnsi="宋体" w:eastAsia="仿宋_GB2312"/>
          <w:sz w:val="32"/>
          <w:szCs w:val="32"/>
          <w:lang w:val="zh-CN"/>
        </w:rPr>
        <w:t>年起列入财政预算；</w:t>
      </w:r>
      <w:r>
        <w:rPr>
          <w:rFonts w:ascii="仿宋_GB2312" w:hAnsi="宋体" w:eastAsia="仿宋_GB2312"/>
          <w:sz w:val="32"/>
          <w:szCs w:val="32"/>
          <w:lang w:val="zh-CN"/>
        </w:rPr>
        <w:t>3.</w:t>
      </w:r>
      <w:r>
        <w:rPr>
          <w:rFonts w:hint="eastAsia" w:ascii="仿宋_GB2312" w:hAnsi="宋体" w:eastAsia="仿宋_GB2312"/>
          <w:sz w:val="32"/>
          <w:szCs w:val="32"/>
          <w:lang w:val="zh-CN"/>
        </w:rPr>
        <w:t>由市公安局牵头，按规定程序扎实推进高清“天网”建设；</w:t>
      </w:r>
      <w:r>
        <w:rPr>
          <w:rFonts w:ascii="仿宋_GB2312" w:hAnsi="宋体" w:eastAsia="仿宋_GB2312"/>
          <w:sz w:val="32"/>
          <w:szCs w:val="32"/>
          <w:lang w:val="zh-CN"/>
        </w:rPr>
        <w:t>4.</w:t>
      </w:r>
      <w:r>
        <w:rPr>
          <w:rFonts w:hint="eastAsia" w:ascii="仿宋_GB2312" w:hAnsi="宋体" w:eastAsia="仿宋_GB2312"/>
          <w:sz w:val="32"/>
          <w:szCs w:val="32"/>
          <w:lang w:val="zh-CN"/>
        </w:rPr>
        <w:t>市公安局要注意人防、物防、技防结合，推动平安乐山建设。通过前期规划，预算为</w:t>
      </w:r>
      <w:r>
        <w:rPr>
          <w:rFonts w:ascii="仿宋_GB2312" w:hAnsi="宋体" w:eastAsia="仿宋_GB2312"/>
          <w:sz w:val="32"/>
          <w:szCs w:val="32"/>
          <w:lang w:val="zh-CN"/>
        </w:rPr>
        <w:t>58,970</w:t>
      </w:r>
      <w:r>
        <w:rPr>
          <w:rFonts w:hint="eastAsia" w:ascii="仿宋_GB2312" w:hAnsi="宋体" w:eastAsia="仿宋_GB2312"/>
          <w:sz w:val="32"/>
          <w:szCs w:val="32"/>
          <w:lang w:val="zh-CN"/>
        </w:rPr>
        <w:t>,</w:t>
      </w:r>
      <w:r>
        <w:rPr>
          <w:rFonts w:ascii="仿宋_GB2312" w:hAnsi="宋体" w:eastAsia="仿宋_GB2312"/>
          <w:sz w:val="32"/>
          <w:szCs w:val="32"/>
          <w:lang w:val="zh-CN"/>
        </w:rPr>
        <w:t>000.0</w:t>
      </w:r>
      <w:r>
        <w:rPr>
          <w:rFonts w:hint="eastAsia" w:ascii="仿宋_GB2312" w:hAnsi="宋体" w:eastAsia="仿宋_GB2312"/>
          <w:sz w:val="32"/>
          <w:szCs w:val="32"/>
          <w:lang w:val="zh-CN"/>
        </w:rPr>
        <w:t>元，通过送政府评审中心评审后，采购控制价为</w:t>
      </w:r>
      <w:r>
        <w:rPr>
          <w:rFonts w:ascii="仿宋_GB2312" w:hAnsi="宋体" w:eastAsia="仿宋_GB2312"/>
          <w:sz w:val="32"/>
          <w:szCs w:val="32"/>
          <w:lang w:val="zh-CN"/>
        </w:rPr>
        <w:t>57,670,028.48</w:t>
      </w:r>
      <w:r>
        <w:rPr>
          <w:rFonts w:hint="eastAsia" w:ascii="仿宋_GB2312" w:hAnsi="宋体" w:eastAsia="仿宋_GB2312"/>
          <w:sz w:val="32"/>
          <w:szCs w:val="32"/>
          <w:lang w:val="zh-CN"/>
        </w:rPr>
        <w:t>元。</w:t>
      </w:r>
      <w:r>
        <w:rPr>
          <w:rFonts w:ascii="仿宋_GB2312" w:hAnsi="宋体" w:eastAsia="仿宋_GB2312"/>
          <w:sz w:val="32"/>
          <w:szCs w:val="32"/>
          <w:lang w:val="zh-CN"/>
        </w:rPr>
        <w:t>2015</w:t>
      </w:r>
      <w:r>
        <w:rPr>
          <w:rFonts w:hint="eastAsia" w:ascii="仿宋_GB2312" w:hAnsi="宋体" w:eastAsia="仿宋_GB2312"/>
          <w:sz w:val="32"/>
          <w:szCs w:val="32"/>
          <w:lang w:val="zh-CN"/>
        </w:rPr>
        <w:t>年</w:t>
      </w:r>
      <w:r>
        <w:rPr>
          <w:rFonts w:ascii="仿宋_GB2312" w:hAnsi="宋体" w:eastAsia="仿宋_GB2312"/>
          <w:sz w:val="32"/>
          <w:szCs w:val="32"/>
          <w:lang w:val="zh-CN"/>
        </w:rPr>
        <w:t>6</w:t>
      </w:r>
      <w:r>
        <w:rPr>
          <w:rFonts w:hint="eastAsia" w:ascii="仿宋_GB2312" w:hAnsi="宋体" w:eastAsia="仿宋_GB2312"/>
          <w:sz w:val="32"/>
          <w:szCs w:val="32"/>
          <w:lang w:val="zh-CN"/>
        </w:rPr>
        <w:t>月，通过市政府采购中心公开招投标，确定中标方为中国联通，中标价为</w:t>
      </w:r>
      <w:r>
        <w:rPr>
          <w:rFonts w:ascii="仿宋_GB2312" w:hAnsi="宋体" w:eastAsia="仿宋_GB2312"/>
          <w:sz w:val="32"/>
          <w:szCs w:val="32"/>
          <w:lang w:val="zh-CN"/>
        </w:rPr>
        <w:t>4783.5</w:t>
      </w:r>
      <w:r>
        <w:rPr>
          <w:rFonts w:hint="eastAsia" w:ascii="仿宋_GB2312" w:hAnsi="宋体" w:eastAsia="仿宋_GB2312"/>
          <w:sz w:val="32"/>
          <w:szCs w:val="32"/>
          <w:lang w:val="zh-CN"/>
        </w:rPr>
        <w:t>万元。</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在一期建设完成的基础上，市局稳步推进高清“天网”二期建设任务，于</w:t>
      </w:r>
      <w:r>
        <w:rPr>
          <w:rFonts w:ascii="仿宋_GB2312" w:hAnsi="宋体" w:eastAsia="仿宋_GB2312"/>
          <w:sz w:val="32"/>
          <w:szCs w:val="32"/>
          <w:lang w:val="zh-CN"/>
        </w:rPr>
        <w:t>2017</w:t>
      </w:r>
      <w:r>
        <w:rPr>
          <w:rFonts w:hint="eastAsia" w:ascii="仿宋_GB2312" w:hAnsi="宋体" w:eastAsia="仿宋_GB2312"/>
          <w:sz w:val="32"/>
          <w:szCs w:val="32"/>
          <w:lang w:val="zh-CN"/>
        </w:rPr>
        <w:t>年</w:t>
      </w:r>
      <w:r>
        <w:rPr>
          <w:rFonts w:ascii="仿宋_GB2312" w:hAnsi="宋体" w:eastAsia="仿宋_GB2312"/>
          <w:sz w:val="32"/>
          <w:szCs w:val="32"/>
          <w:lang w:val="zh-CN"/>
        </w:rPr>
        <w:t>2</w:t>
      </w:r>
      <w:r>
        <w:rPr>
          <w:rFonts w:hint="eastAsia" w:ascii="仿宋_GB2312" w:hAnsi="宋体" w:eastAsia="仿宋_GB2312"/>
          <w:sz w:val="32"/>
          <w:szCs w:val="32"/>
          <w:lang w:val="zh-CN"/>
        </w:rPr>
        <w:t>月向市政府、市财政局提交建设请示报告，按照七年测算，申请预算约</w:t>
      </w:r>
      <w:r>
        <w:rPr>
          <w:rFonts w:ascii="仿宋_GB2312" w:hAnsi="宋体" w:eastAsia="仿宋_GB2312"/>
          <w:sz w:val="32"/>
          <w:szCs w:val="32"/>
          <w:lang w:val="zh-CN"/>
        </w:rPr>
        <w:t>33,067,465.0</w:t>
      </w:r>
      <w:r>
        <w:rPr>
          <w:rFonts w:hint="eastAsia" w:ascii="仿宋_GB2312" w:hAnsi="宋体" w:eastAsia="仿宋_GB2312"/>
          <w:sz w:val="32"/>
          <w:szCs w:val="32"/>
          <w:lang w:val="zh-CN"/>
        </w:rPr>
        <w:t>元。根据市政府批复意见，开展二期建设任务，通过公开招投标，最终确定中标方分别为中国电信乐山分公司和中国联通乐山分公司，中标价为</w:t>
      </w:r>
      <w:r>
        <w:rPr>
          <w:rFonts w:ascii="仿宋_GB2312" w:hAnsi="宋体" w:eastAsia="仿宋_GB2312"/>
          <w:sz w:val="32"/>
          <w:szCs w:val="32"/>
          <w:lang w:val="zh-CN"/>
        </w:rPr>
        <w:t>31,385,000.0</w:t>
      </w:r>
      <w:r>
        <w:rPr>
          <w:rFonts w:hint="eastAsia" w:ascii="仿宋_GB2312" w:hAnsi="宋体" w:eastAsia="仿宋_GB2312"/>
          <w:sz w:val="32"/>
          <w:szCs w:val="32"/>
          <w:lang w:val="zh-CN"/>
        </w:rPr>
        <w:t>元。</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（二）资金计划、到位及使用情况</w:t>
      </w:r>
    </w:p>
    <w:p>
      <w:pPr>
        <w:adjustRightInd w:val="0"/>
        <w:snapToGrid w:val="0"/>
        <w:spacing w:line="560" w:lineRule="exact"/>
        <w:ind w:firstLine="720"/>
        <w:rPr>
          <w:rFonts w:ascii="仿宋_GB2312" w:hAnsi="宋体" w:eastAsia="仿宋_GB2312"/>
          <w:sz w:val="32"/>
          <w:szCs w:val="32"/>
          <w:lang w:val="zh-CN"/>
        </w:rPr>
      </w:pPr>
      <w:r>
        <w:rPr>
          <w:rFonts w:ascii="仿宋_GB2312" w:hAnsi="宋体" w:eastAsia="仿宋_GB2312"/>
          <w:sz w:val="32"/>
          <w:szCs w:val="32"/>
          <w:lang w:val="zh-CN"/>
        </w:rPr>
        <w:t>1</w:t>
      </w:r>
      <w:r>
        <w:rPr>
          <w:rFonts w:hint="eastAsia" w:ascii="仿宋_GB2312" w:hAnsi="宋体" w:eastAsia="仿宋_GB2312"/>
          <w:sz w:val="32"/>
          <w:szCs w:val="32"/>
          <w:lang w:val="zh-CN"/>
        </w:rPr>
        <w:t>.资金计划。该项目通过正规程序上报、审批和实施，资金设有限制额，资金计划充足。项目合同约定按季度付款，每年所需资金均纳入年度财政预算，到位及时足额，支付准时，手续齐全。</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w:t>
      </w:r>
      <w:r>
        <w:rPr>
          <w:rFonts w:ascii="仿宋_GB2312" w:hAnsi="宋体" w:eastAsia="仿宋_GB2312"/>
          <w:sz w:val="32"/>
          <w:szCs w:val="32"/>
          <w:lang w:val="zh-CN"/>
        </w:rPr>
        <w:t>2.</w:t>
      </w:r>
      <w:r>
        <w:rPr>
          <w:rFonts w:hint="eastAsia" w:ascii="仿宋_GB2312" w:hAnsi="宋体" w:eastAsia="仿宋_GB2312"/>
          <w:sz w:val="32"/>
          <w:szCs w:val="32"/>
          <w:lang w:val="zh-CN"/>
        </w:rPr>
        <w:t>资金到位。根据合同约定，天网一期、天网二期按照季度付款的方式进行支付，全部资金由市财政拨款。</w:t>
      </w:r>
      <w:r>
        <w:rPr>
          <w:rFonts w:ascii="仿宋_GB2312" w:hAnsi="宋体" w:eastAsia="仿宋_GB2312"/>
          <w:sz w:val="32"/>
          <w:szCs w:val="32"/>
          <w:lang w:val="zh-CN"/>
        </w:rPr>
        <w:t>20</w:t>
      </w:r>
      <w:r>
        <w:rPr>
          <w:rFonts w:hint="eastAsia" w:ascii="仿宋_GB2312" w:hAnsi="宋体" w:eastAsia="仿宋_GB2312"/>
          <w:sz w:val="32"/>
          <w:szCs w:val="32"/>
          <w:lang w:val="zh-CN"/>
        </w:rPr>
        <w:t>20年天网一期、二期按时足额支付，预算1202.2141万元，实际支付服务费约</w:t>
      </w:r>
      <w:r>
        <w:rPr>
          <w:rFonts w:ascii="仿宋_GB2312" w:hAnsi="宋体" w:eastAsia="仿宋_GB2312"/>
          <w:sz w:val="32"/>
          <w:szCs w:val="32"/>
          <w:lang w:val="zh-CN"/>
        </w:rPr>
        <w:t>869.6428</w:t>
      </w:r>
      <w:r>
        <w:rPr>
          <w:rFonts w:hint="eastAsia" w:ascii="仿宋_GB2312" w:hAnsi="宋体" w:eastAsia="仿宋_GB2312"/>
          <w:sz w:val="32"/>
          <w:szCs w:val="32"/>
          <w:lang w:val="zh-CN"/>
        </w:rPr>
        <w:t>万元，资金到位率72.34%。</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w:t>
      </w:r>
      <w:r>
        <w:rPr>
          <w:rFonts w:ascii="仿宋_GB2312" w:hAnsi="宋体" w:eastAsia="仿宋_GB2312"/>
          <w:sz w:val="32"/>
          <w:szCs w:val="32"/>
          <w:lang w:val="zh-CN"/>
        </w:rPr>
        <w:t>3.</w:t>
      </w:r>
      <w:r>
        <w:rPr>
          <w:rFonts w:hint="eastAsia" w:ascii="仿宋_GB2312" w:hAnsi="宋体" w:eastAsia="仿宋_GB2312"/>
          <w:sz w:val="32"/>
          <w:szCs w:val="32"/>
          <w:lang w:val="zh-CN"/>
        </w:rPr>
        <w:t>资金使用。根据项目请示和批复内容，天网一期、二期列入乐山市财政专项经费。资金支付严格依据合同约定进行，按照季度支付的方式按时足额支付，每一季度的支付款项均严格依据单位大额支付流程进行资金使用备案、财务审核、审计部门审核等程序严格进行审批支付。</w:t>
      </w:r>
    </w:p>
    <w:p>
      <w:pPr>
        <w:adjustRightInd w:val="0"/>
        <w:snapToGrid w:val="0"/>
        <w:spacing w:line="560" w:lineRule="exact"/>
        <w:rPr>
          <w:rFonts w:ascii="仿宋_GB2312" w:hAnsi="宋体" w:eastAsia="仿宋_GB2312"/>
          <w:b/>
          <w:sz w:val="32"/>
          <w:szCs w:val="32"/>
          <w:lang w:val="zh-CN"/>
        </w:rPr>
      </w:pPr>
      <w:r>
        <w:rPr>
          <w:rFonts w:hint="eastAsia" w:ascii="仿宋_GB2312" w:hAnsi="宋体" w:eastAsia="仿宋_GB2312"/>
          <w:sz w:val="32"/>
          <w:szCs w:val="32"/>
          <w:lang w:val="zh-CN"/>
        </w:rPr>
        <w:t xml:space="preserve">    </w:t>
      </w:r>
      <w:r>
        <w:rPr>
          <w:rFonts w:hint="eastAsia" w:ascii="仿宋_GB2312" w:hAnsi="宋体" w:eastAsia="仿宋_GB2312"/>
          <w:b/>
          <w:sz w:val="32"/>
          <w:szCs w:val="32"/>
          <w:lang w:val="zh-CN"/>
        </w:rPr>
        <w:t>（三）项目财务管理情况。</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科通科在资金使用上一直按照国家财经法规和市局财务管理制度规定以及有关专项资金管理办法的规定收支，资金拨付有完整的审批程序和手续，按照财经制度的有关要求，做到专款专用，单位财务部门对专项资金的使用进行全程监督，单位审计部门对支付进行严格审计，保证资金使用的合法合规性。切实做到了财务管理制度健全，财务处理及时，会计核算规范、准确。</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三、项目实施及管理情况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乐山市高清“天网”项目采用购买服务方式，严格按照政府采购程序进行公开招投标和公示，无疑义后与中标单位进行合同的签订和履约验收工作。项目施工期间由市公安局通过公开招标方式采购第三方监理和检测单位对项目实施进行监理和检测，并按照四川省政府履约验收相关规定进行履约验收。后期，市公安局按照合同约定对乙方的运维进行监督管理，要求乙方达到合同要求约定的标准，保障系统正常运行，配合市公安局完成各项保障任务、考核指标和各类资源接入等工作。资金支付严格依据合同约定进行，按照季度支付的方式按时足额支付，每一季度的支付款项均严格依据单位大额支付流程进行资金使用备案、财务审核、审计审核等程序严格进行审批支付。</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四、项目绩效情况</w:t>
      </w:r>
      <w:r>
        <w:rPr>
          <w:rFonts w:ascii="仿宋_GB2312" w:hAnsi="宋体" w:eastAsia="仿宋_GB2312"/>
          <w:b/>
          <w:sz w:val="32"/>
          <w:szCs w:val="32"/>
          <w:lang w:val="zh-CN"/>
        </w:rPr>
        <w:tab/>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（一）项目完成情况。</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按照合同约定，“天网”一、二期项目均按时按量完成了建设内容，一期主要完成了</w:t>
      </w:r>
      <w:r>
        <w:rPr>
          <w:rFonts w:ascii="仿宋_GB2312" w:hAnsi="宋体" w:eastAsia="仿宋_GB2312"/>
          <w:sz w:val="32"/>
          <w:szCs w:val="32"/>
          <w:lang w:val="zh-CN"/>
        </w:rPr>
        <w:t>300</w:t>
      </w:r>
      <w:r>
        <w:rPr>
          <w:rFonts w:hint="eastAsia" w:ascii="仿宋_GB2312" w:hAnsi="宋体" w:eastAsia="仿宋_GB2312"/>
          <w:sz w:val="32"/>
          <w:szCs w:val="32"/>
          <w:lang w:val="zh-CN"/>
        </w:rPr>
        <w:t>个点位，共计</w:t>
      </w:r>
      <w:r>
        <w:rPr>
          <w:rFonts w:ascii="仿宋_GB2312" w:hAnsi="宋体" w:eastAsia="仿宋_GB2312"/>
          <w:sz w:val="32"/>
          <w:szCs w:val="32"/>
          <w:lang w:val="zh-CN"/>
        </w:rPr>
        <w:t>600</w:t>
      </w:r>
      <w:r>
        <w:rPr>
          <w:rFonts w:hint="eastAsia" w:ascii="仿宋_GB2312" w:hAnsi="宋体" w:eastAsia="仿宋_GB2312"/>
          <w:sz w:val="32"/>
          <w:szCs w:val="32"/>
          <w:lang w:val="zh-CN"/>
        </w:rPr>
        <w:t>路高清视频监控建设。在城市新建高速路和城区主要出入口等位置建设</w:t>
      </w:r>
      <w:r>
        <w:rPr>
          <w:rFonts w:ascii="仿宋_GB2312" w:hAnsi="宋体" w:eastAsia="仿宋_GB2312"/>
          <w:sz w:val="32"/>
          <w:szCs w:val="32"/>
          <w:lang w:val="zh-CN"/>
        </w:rPr>
        <w:t>18</w:t>
      </w:r>
      <w:r>
        <w:rPr>
          <w:rFonts w:hint="eastAsia" w:ascii="仿宋_GB2312" w:hAnsi="宋体" w:eastAsia="仿宋_GB2312"/>
          <w:sz w:val="32"/>
          <w:szCs w:val="32"/>
          <w:lang w:val="zh-CN"/>
        </w:rPr>
        <w:t>个点位</w:t>
      </w:r>
      <w:r>
        <w:rPr>
          <w:rFonts w:ascii="仿宋_GB2312" w:hAnsi="宋体" w:eastAsia="仿宋_GB2312"/>
          <w:sz w:val="32"/>
          <w:szCs w:val="32"/>
          <w:lang w:val="zh-CN"/>
        </w:rPr>
        <w:t>72</w:t>
      </w:r>
      <w:r>
        <w:rPr>
          <w:rFonts w:hint="eastAsia" w:ascii="仿宋_GB2312" w:hAnsi="宋体" w:eastAsia="仿宋_GB2312"/>
          <w:sz w:val="32"/>
          <w:szCs w:val="32"/>
          <w:lang w:val="zh-CN"/>
        </w:rPr>
        <w:t>个车道高清治安卡口；对之前的</w:t>
      </w:r>
      <w:r>
        <w:rPr>
          <w:rFonts w:ascii="仿宋_GB2312" w:hAnsi="宋体" w:eastAsia="仿宋_GB2312"/>
          <w:sz w:val="32"/>
          <w:szCs w:val="32"/>
          <w:lang w:val="zh-CN"/>
        </w:rPr>
        <w:t>9</w:t>
      </w:r>
      <w:r>
        <w:rPr>
          <w:rFonts w:hint="eastAsia" w:ascii="仿宋_GB2312" w:hAnsi="宋体" w:eastAsia="仿宋_GB2312"/>
          <w:sz w:val="32"/>
          <w:szCs w:val="32"/>
          <w:lang w:val="zh-CN"/>
        </w:rPr>
        <w:t>个点位</w:t>
      </w:r>
      <w:r>
        <w:rPr>
          <w:rFonts w:ascii="仿宋_GB2312" w:hAnsi="宋体" w:eastAsia="仿宋_GB2312"/>
          <w:sz w:val="32"/>
          <w:szCs w:val="32"/>
          <w:lang w:val="zh-CN"/>
        </w:rPr>
        <w:t>36</w:t>
      </w:r>
      <w:r>
        <w:rPr>
          <w:rFonts w:hint="eastAsia" w:ascii="仿宋_GB2312" w:hAnsi="宋体" w:eastAsia="仿宋_GB2312"/>
          <w:sz w:val="32"/>
          <w:szCs w:val="32"/>
          <w:lang w:val="zh-CN"/>
        </w:rPr>
        <w:t>个车道的卡口进行升级改造并接入全省统一的缉查布控平台；部署中心机房和软硬件平台，接入新建点位并接入</w:t>
      </w:r>
      <w:r>
        <w:rPr>
          <w:rFonts w:ascii="仿宋_GB2312" w:hAnsi="宋体" w:eastAsia="仿宋_GB2312"/>
          <w:sz w:val="32"/>
          <w:szCs w:val="32"/>
          <w:lang w:val="zh-CN"/>
        </w:rPr>
        <w:t>11</w:t>
      </w:r>
      <w:r>
        <w:rPr>
          <w:rFonts w:hint="eastAsia" w:ascii="仿宋_GB2312" w:hAnsi="宋体" w:eastAsia="仿宋_GB2312"/>
          <w:sz w:val="32"/>
          <w:szCs w:val="32"/>
          <w:lang w:val="zh-CN"/>
        </w:rPr>
        <w:t>个区县视频资源；建设分控中心和开通视频专网，包括</w:t>
      </w:r>
      <w:r>
        <w:rPr>
          <w:rFonts w:ascii="仿宋_GB2312" w:hAnsi="宋体" w:eastAsia="仿宋_GB2312"/>
          <w:sz w:val="32"/>
          <w:szCs w:val="32"/>
          <w:lang w:val="zh-CN"/>
        </w:rPr>
        <w:t>11</w:t>
      </w:r>
      <w:r>
        <w:rPr>
          <w:rFonts w:hint="eastAsia" w:ascii="仿宋_GB2312" w:hAnsi="宋体" w:eastAsia="仿宋_GB2312"/>
          <w:sz w:val="32"/>
          <w:szCs w:val="32"/>
          <w:lang w:val="zh-CN"/>
        </w:rPr>
        <w:t>个市局相关部门（交警、禁毒、治安、刑侦、巡警、国保、网监、技侦、科通、情报、景区分局）和</w:t>
      </w:r>
      <w:r>
        <w:rPr>
          <w:rFonts w:ascii="仿宋_GB2312" w:hAnsi="宋体" w:eastAsia="仿宋_GB2312"/>
          <w:sz w:val="32"/>
          <w:szCs w:val="32"/>
          <w:lang w:val="zh-CN"/>
        </w:rPr>
        <w:t>11</w:t>
      </w:r>
      <w:r>
        <w:rPr>
          <w:rFonts w:hint="eastAsia" w:ascii="仿宋_GB2312" w:hAnsi="宋体" w:eastAsia="仿宋_GB2312"/>
          <w:sz w:val="32"/>
          <w:szCs w:val="32"/>
          <w:lang w:val="zh-CN"/>
        </w:rPr>
        <w:t>个派出所（彭山路、张公桥、泊水街、上河街、通江、城东、人民西路、肖坝、苏稽、高新区）。二期主要完成了主城区</w:t>
      </w:r>
      <w:r>
        <w:rPr>
          <w:rFonts w:ascii="仿宋_GB2312" w:hAnsi="宋体" w:eastAsia="仿宋_GB2312"/>
          <w:sz w:val="32"/>
          <w:szCs w:val="32"/>
          <w:lang w:val="zh-CN"/>
        </w:rPr>
        <w:t>420</w:t>
      </w:r>
      <w:r>
        <w:rPr>
          <w:rFonts w:hint="eastAsia" w:ascii="仿宋_GB2312" w:hAnsi="宋体" w:eastAsia="仿宋_GB2312"/>
          <w:sz w:val="32"/>
          <w:szCs w:val="32"/>
          <w:lang w:val="zh-CN"/>
        </w:rPr>
        <w:t>个标清点位的高清改造和市委、市政府、市人大、市政协高清视频监控的建设任务，共计建设高清视频监控</w:t>
      </w:r>
      <w:r>
        <w:rPr>
          <w:rFonts w:ascii="仿宋_GB2312" w:hAnsi="宋体" w:eastAsia="仿宋_GB2312"/>
          <w:sz w:val="32"/>
          <w:szCs w:val="32"/>
          <w:lang w:val="zh-CN"/>
        </w:rPr>
        <w:t>752</w:t>
      </w:r>
      <w:r>
        <w:rPr>
          <w:rFonts w:hint="eastAsia" w:ascii="仿宋_GB2312" w:hAnsi="宋体" w:eastAsia="仿宋_GB2312"/>
          <w:sz w:val="32"/>
          <w:szCs w:val="32"/>
          <w:lang w:val="zh-CN"/>
        </w:rPr>
        <w:t>路，改造升级17个治安卡口。</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基于高清“天网”平台开展乐山市公安局自建人像大数据平台建设。</w:t>
      </w:r>
      <w:r>
        <w:rPr>
          <w:rFonts w:ascii="仿宋_GB2312" w:hAnsi="宋体" w:eastAsia="仿宋_GB2312"/>
          <w:sz w:val="32"/>
          <w:szCs w:val="32"/>
          <w:lang w:val="zh-CN"/>
        </w:rPr>
        <w:t>2018</w:t>
      </w:r>
      <w:r>
        <w:rPr>
          <w:rFonts w:hint="eastAsia" w:ascii="仿宋_GB2312" w:hAnsi="宋体" w:eastAsia="仿宋_GB2312"/>
          <w:sz w:val="32"/>
          <w:szCs w:val="32"/>
          <w:lang w:val="zh-CN"/>
        </w:rPr>
        <w:t>年</w:t>
      </w:r>
      <w:r>
        <w:rPr>
          <w:rFonts w:ascii="仿宋_GB2312" w:hAnsi="宋体" w:eastAsia="仿宋_GB2312"/>
          <w:sz w:val="32"/>
          <w:szCs w:val="32"/>
          <w:lang w:val="zh-CN"/>
        </w:rPr>
        <w:t>3</w:t>
      </w:r>
      <w:r>
        <w:rPr>
          <w:rFonts w:hint="eastAsia" w:ascii="仿宋_GB2312" w:hAnsi="宋体" w:eastAsia="仿宋_GB2312"/>
          <w:sz w:val="32"/>
          <w:szCs w:val="32"/>
          <w:lang w:val="zh-CN"/>
        </w:rPr>
        <w:t>月完成动态人像比对平台部署及新建前端人像设备联调工作，形成了动静结合的人像比对应用新模式，实现了前端相机视频图像实时获取人员面部信息，并与平台目标库完成高精度的比对和预警。</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（二）项目效益情况。</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自乐山高清“天网”运行以来，在交通肇事逃逸、派出所辖区治安管控以及侦查办案等方面发挥重要作用。</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w:t>
      </w:r>
      <w:r>
        <w:rPr>
          <w:rFonts w:ascii="仿宋_GB2312" w:hAnsi="宋体" w:eastAsia="仿宋_GB2312"/>
          <w:sz w:val="32"/>
          <w:szCs w:val="32"/>
          <w:lang w:val="zh-CN"/>
        </w:rPr>
        <w:t>2019</w:t>
      </w:r>
      <w:r>
        <w:rPr>
          <w:rFonts w:hint="eastAsia" w:ascii="仿宋_GB2312" w:hAnsi="宋体" w:eastAsia="仿宋_GB2312"/>
          <w:sz w:val="32"/>
          <w:szCs w:val="32"/>
          <w:lang w:val="zh-CN"/>
        </w:rPr>
        <w:t>年全年，在刑事侦查方面，共接案件</w:t>
      </w:r>
      <w:r>
        <w:rPr>
          <w:rFonts w:ascii="仿宋_GB2312" w:hAnsi="宋体" w:eastAsia="仿宋_GB2312"/>
          <w:sz w:val="32"/>
          <w:szCs w:val="32"/>
          <w:lang w:val="zh-CN"/>
        </w:rPr>
        <w:t>69</w:t>
      </w:r>
      <w:r>
        <w:rPr>
          <w:rFonts w:hint="eastAsia" w:ascii="仿宋_GB2312" w:hAnsi="宋体" w:eastAsia="仿宋_GB2312"/>
          <w:sz w:val="32"/>
          <w:szCs w:val="32"/>
          <w:lang w:val="zh-CN"/>
        </w:rPr>
        <w:t>起，通过视频侦查破案件</w:t>
      </w:r>
      <w:r>
        <w:rPr>
          <w:rFonts w:ascii="仿宋_GB2312" w:hAnsi="宋体" w:eastAsia="仿宋_GB2312"/>
          <w:sz w:val="32"/>
          <w:szCs w:val="32"/>
          <w:lang w:val="zh-CN"/>
        </w:rPr>
        <w:t>6</w:t>
      </w:r>
      <w:r>
        <w:rPr>
          <w:rFonts w:hint="eastAsia" w:ascii="仿宋_GB2312" w:hAnsi="宋体" w:eastAsia="仿宋_GB2312"/>
          <w:sz w:val="32"/>
          <w:szCs w:val="32"/>
          <w:lang w:val="zh-CN"/>
        </w:rPr>
        <w:t>起。在处理交通事故方面，通过视频监控认定交通事故责任</w:t>
      </w:r>
      <w:r>
        <w:rPr>
          <w:rFonts w:ascii="仿宋_GB2312" w:hAnsi="宋体" w:eastAsia="仿宋_GB2312"/>
          <w:sz w:val="32"/>
          <w:szCs w:val="32"/>
          <w:lang w:val="zh-CN"/>
        </w:rPr>
        <w:t>1200</w:t>
      </w:r>
      <w:r>
        <w:rPr>
          <w:rFonts w:hint="eastAsia" w:ascii="仿宋_GB2312" w:hAnsi="宋体" w:eastAsia="仿宋_GB2312"/>
          <w:sz w:val="32"/>
          <w:szCs w:val="32"/>
          <w:lang w:val="zh-CN"/>
        </w:rPr>
        <w:t>余起，查获交通肇事逃逸</w:t>
      </w:r>
      <w:r>
        <w:rPr>
          <w:rFonts w:ascii="仿宋_GB2312" w:hAnsi="宋体" w:eastAsia="仿宋_GB2312"/>
          <w:sz w:val="32"/>
          <w:szCs w:val="32"/>
          <w:lang w:val="zh-CN"/>
        </w:rPr>
        <w:t>500</w:t>
      </w:r>
      <w:r>
        <w:rPr>
          <w:rFonts w:hint="eastAsia" w:ascii="仿宋_GB2312" w:hAnsi="宋体" w:eastAsia="仿宋_GB2312"/>
          <w:sz w:val="32"/>
          <w:szCs w:val="32"/>
          <w:lang w:val="zh-CN"/>
        </w:rPr>
        <w:t>余起。在执行安保任务方面，用于峨眉旅博会、茶博会、马拉松赛、新中国成立</w:t>
      </w:r>
      <w:r>
        <w:rPr>
          <w:rFonts w:hint="eastAsia" w:ascii="仿宋_GB2312" w:hAnsi="宋体" w:eastAsia="仿宋_GB2312"/>
          <w:sz w:val="32"/>
          <w:szCs w:val="32"/>
          <w:lang w:val="en-US" w:eastAsia="zh-CN"/>
        </w:rPr>
        <w:t>70周年</w:t>
      </w:r>
      <w:r>
        <w:rPr>
          <w:rFonts w:hint="eastAsia" w:ascii="仿宋_GB2312" w:hAnsi="宋体" w:eastAsia="仿宋_GB2312"/>
          <w:sz w:val="32"/>
          <w:szCs w:val="32"/>
          <w:lang w:val="zh-CN"/>
        </w:rPr>
        <w:t>大庆以及重要领导来访视察等重大安保行动任务达到</w:t>
      </w:r>
      <w:r>
        <w:rPr>
          <w:rFonts w:ascii="仿宋_GB2312" w:hAnsi="宋体" w:eastAsia="仿宋_GB2312"/>
          <w:sz w:val="32"/>
          <w:szCs w:val="32"/>
          <w:lang w:val="zh-CN"/>
        </w:rPr>
        <w:t>70</w:t>
      </w:r>
      <w:r>
        <w:rPr>
          <w:rFonts w:hint="eastAsia" w:ascii="仿宋_GB2312" w:hAnsi="宋体" w:eastAsia="仿宋_GB2312"/>
          <w:sz w:val="32"/>
          <w:szCs w:val="32"/>
          <w:lang w:val="zh-CN"/>
        </w:rPr>
        <w:t>余起。</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 xml:space="preserve">2020年1月至12月底，在刑侦方面，共接案件41起，通过视频侦查破案件15起。在处理交通事故方面，通过视频监控认定交通事故责任150余起，查获交通肇事逃逸20余起。在执行安保任务方面，用于春节安保以及重要领导来访视察等重大安保行动任务10余起。 </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在资源共享方面，目前市委、市政府应急办、市国安局、市委政法委以及市交通局等部门都已接入乐山市“高清”天网，共享“天网”视频监控资源。</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五、评价结论及建议</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（一）评价结论。</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乐山高清“天网”项目采购程序上严格按照政府采购相关法律法规进行。项目属于公共安全基础性设施建设，按照建设计划完成相关建设任务，并在侦查取证、交通违法、社会治安、重大安保维稳等工作中发挥重要作用。</w:t>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（二）存在的问题。</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虽然乐山视频监控等感知源建设初具规模，并在工作中取得了一定实效，但也存在一些问题，主要体现在以下方面：</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一是建设缺乏统一领导和管理。虽然各级公安机关都成立了专管信息化建设的“科信委”和“科信办”，但大多都流于形式，在信息化项目的建设规划、建设标准上还是各警种、各区县各自为战，造成建设标准不统一，不能共享共用、使用设备参数低、服务实战效果差、建用脱节等问题。</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二是感知源建设种类和技术手段较单一。目前，乐山全市感知源的主力是视频监控和治安卡口</w:t>
      </w:r>
      <w:r>
        <w:rPr>
          <w:rFonts w:ascii="仿宋_GB2312" w:hAnsi="宋体" w:eastAsia="仿宋_GB2312"/>
          <w:sz w:val="32"/>
          <w:szCs w:val="32"/>
          <w:lang w:val="zh-CN"/>
        </w:rPr>
        <w:t>,</w:t>
      </w:r>
      <w:r>
        <w:rPr>
          <w:rFonts w:hint="eastAsia" w:ascii="仿宋_GB2312" w:hAnsi="宋体" w:eastAsia="仿宋_GB2312"/>
          <w:sz w:val="32"/>
          <w:szCs w:val="32"/>
          <w:lang w:val="zh-CN"/>
        </w:rPr>
        <w:t>种类单一，具备人脸识别功能的前端寥寥无几，量小力微。人脸识别、治安卡口、电子围栏、</w:t>
      </w:r>
      <w:r>
        <w:rPr>
          <w:rFonts w:ascii="仿宋_GB2312" w:hAnsi="宋体" w:eastAsia="仿宋_GB2312"/>
          <w:sz w:val="32"/>
          <w:szCs w:val="32"/>
          <w:lang w:val="zh-CN"/>
        </w:rPr>
        <w:t>WIFI</w:t>
      </w:r>
      <w:r>
        <w:rPr>
          <w:rFonts w:hint="eastAsia" w:ascii="仿宋_GB2312" w:hAnsi="宋体" w:eastAsia="仿宋_GB2312"/>
          <w:sz w:val="32"/>
          <w:szCs w:val="32"/>
          <w:lang w:val="zh-CN"/>
        </w:rPr>
        <w:t>探针等前端感知源设备的数据应用没有形成统一联动机制及合力，无法多维度刻画车辆、人员和物品的时空轨迹。</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三是整合社会视频资源难度大，运用效果差。一是由于没有统一的社会资源整合相关规定、制度和标准，使得将社会视频资源接入公安监控平台存在很多的阻力和困难；二是接入公安监控平台的数据，由于标准不一，设备不一，没有规范的建设和存储，导致社会视频资源在图像清晰度低和保存时间短、视频格式混乱的情况，造成实战应用难有成效。</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四是存在监控点位少，布局不合理，建设周期长等问题。截至目前，乐山全市公安自建天网监控共计</w:t>
      </w:r>
      <w:r>
        <w:rPr>
          <w:rFonts w:ascii="仿宋_GB2312" w:hAnsi="宋体" w:eastAsia="仿宋_GB2312"/>
          <w:sz w:val="32"/>
          <w:szCs w:val="32"/>
          <w:lang w:val="zh-CN"/>
        </w:rPr>
        <w:t>5000</w:t>
      </w:r>
      <w:r>
        <w:rPr>
          <w:rFonts w:hint="eastAsia" w:ascii="仿宋_GB2312" w:hAnsi="宋体" w:eastAsia="仿宋_GB2312"/>
          <w:sz w:val="32"/>
          <w:szCs w:val="32"/>
          <w:lang w:val="zh-CN"/>
        </w:rPr>
        <w:t>余路，中心城区仅</w:t>
      </w:r>
      <w:r>
        <w:rPr>
          <w:rFonts w:ascii="仿宋_GB2312" w:hAnsi="宋体" w:eastAsia="仿宋_GB2312"/>
          <w:sz w:val="32"/>
          <w:szCs w:val="32"/>
          <w:lang w:val="zh-CN"/>
        </w:rPr>
        <w:t>1400</w:t>
      </w:r>
      <w:r>
        <w:rPr>
          <w:rFonts w:hint="eastAsia" w:ascii="仿宋_GB2312" w:hAnsi="宋体" w:eastAsia="仿宋_GB2312"/>
          <w:sz w:val="32"/>
          <w:szCs w:val="32"/>
          <w:lang w:val="zh-CN"/>
        </w:rPr>
        <w:t>余路，针对城市扩建及道路交通的快速发展，“天网”监控点位仍然较少，覆盖率低，还未形成网格化布局，存在大量的盲区和死角，特别是一些治安复杂地段和新建城区。另外前端点位建设布局不合理，建设不合理。主要在摄像头清晰度还不够、杆体高度普遍偏高、布点位置规划不合理以及后期对问题点位的运维不及时等问题。同时、天网项目由于系统复杂，往往建设涉及金额较大，中间各级审批部门众多，审批环节复杂周期长，造成项目建设周期较长，从开始项目立项到竣工一般要一年时间。</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五是基础平台建设滞后，无视频结构化分析平台。在图侦应用方面，乐山没有自建的视频结构化分析平台，全市</w:t>
      </w:r>
      <w:r>
        <w:rPr>
          <w:rFonts w:ascii="仿宋_GB2312" w:hAnsi="宋体" w:eastAsia="仿宋_GB2312"/>
          <w:sz w:val="32"/>
          <w:szCs w:val="32"/>
          <w:lang w:val="zh-CN"/>
        </w:rPr>
        <w:t>5000</w:t>
      </w:r>
      <w:r>
        <w:rPr>
          <w:rFonts w:hint="eastAsia" w:ascii="仿宋_GB2312" w:hAnsi="宋体" w:eastAsia="仿宋_GB2312"/>
          <w:sz w:val="32"/>
          <w:szCs w:val="32"/>
          <w:lang w:val="zh-CN"/>
        </w:rPr>
        <w:t>路视频监控前端设备毎天约产生</w:t>
      </w:r>
      <w:r>
        <w:rPr>
          <w:rFonts w:ascii="仿宋_GB2312" w:hAnsi="宋体" w:eastAsia="仿宋_GB2312"/>
          <w:sz w:val="32"/>
          <w:szCs w:val="32"/>
          <w:lang w:val="zh-CN"/>
        </w:rPr>
        <w:t>108TB</w:t>
      </w:r>
      <w:r>
        <w:rPr>
          <w:rFonts w:hint="eastAsia" w:ascii="仿宋_GB2312" w:hAnsi="宋体" w:eastAsia="仿宋_GB2312"/>
          <w:sz w:val="32"/>
          <w:szCs w:val="32"/>
          <w:lang w:val="zh-CN"/>
        </w:rPr>
        <w:t>的海量非结构化视频数据，未能高效提取人、车、物、事件、时空等结构化要素信息和可视化展示，均需要人工干预，制约了综合应用效能。</w:t>
      </w:r>
      <w:r>
        <w:rPr>
          <w:rFonts w:ascii="仿宋_GB2312" w:hAnsi="宋体" w:eastAsia="仿宋_GB2312"/>
          <w:sz w:val="32"/>
          <w:szCs w:val="32"/>
          <w:lang w:val="zh-CN"/>
        </w:rPr>
        <w:tab/>
      </w:r>
    </w:p>
    <w:p>
      <w:pPr>
        <w:adjustRightInd w:val="0"/>
        <w:snapToGrid w:val="0"/>
        <w:spacing w:line="560" w:lineRule="exact"/>
        <w:ind w:firstLine="720"/>
        <w:rPr>
          <w:rFonts w:ascii="仿宋_GB2312" w:hAnsi="宋体" w:eastAsia="仿宋_GB2312"/>
          <w:b/>
          <w:sz w:val="32"/>
          <w:szCs w:val="32"/>
          <w:lang w:val="zh-CN"/>
        </w:rPr>
      </w:pPr>
      <w:r>
        <w:rPr>
          <w:rFonts w:hint="eastAsia" w:ascii="仿宋_GB2312" w:hAnsi="宋体" w:eastAsia="仿宋_GB2312"/>
          <w:b/>
          <w:sz w:val="32"/>
          <w:szCs w:val="32"/>
          <w:lang w:val="zh-CN"/>
        </w:rPr>
        <w:t>（三）相关建议。</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针对以上视频监控等感知源建设存在的问题，在下步工作中，我们有以下打算和建议：</w:t>
      </w:r>
    </w:p>
    <w:p>
      <w:pPr>
        <w:adjustRightInd w:val="0"/>
        <w:snapToGrid w:val="0"/>
        <w:spacing w:line="56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一是加强感知源建设的统一规划和管理。各级“科信委”和“科信办”要切实履职，做到凡未经审核和论证的项目一律不能开工建设，要统一规划、统一标准、统一管理，做好顶层设计，做到全市感知源建设一盘棋，真正杜绝重复建设和新的数据内部壁垒，把好钢用在刀刃上。</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二是积极争取各级党委、政府支持，完善整合社会视频资源等各项工作机制。“天网”工程作为一项公共安全的系统工程，仅靠公安一家难以完成建设，必须建立“党政领导、公安主导、部门配合”的工作格局，由党委政府牵头，其他职能部门协作配合，在整合社会视频资源上政府应出台文件，统一社会视频监控建设标准和接入规范，最理想为在建设初期公安就能介入，并按国标开展建设和资源整合。同时以“雪亮工程”建设为抓手，推动乐山教育、医疗、金融、商铺、景区、社区、出租车、公交车等社会视频资源、门禁资源、停车场车辆进出闸机等安防资源整合接入，实现全天候的实时视频能调阅，历史视频能回放。</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三是逐步扩大“天网”覆盖圈，全力推进天网三期建设。就乐山目前实际情况来看，应尽快推进高清“天网”三期的建设工作。拟在中心城区新建高清监控摄像头</w:t>
      </w:r>
      <w:r>
        <w:rPr>
          <w:rFonts w:ascii="仿宋_GB2312" w:hAnsi="宋体" w:eastAsia="仿宋_GB2312"/>
          <w:sz w:val="32"/>
          <w:szCs w:val="32"/>
          <w:lang w:val="zh-CN"/>
        </w:rPr>
        <w:t>8000</w:t>
      </w:r>
      <w:r>
        <w:rPr>
          <w:rFonts w:hint="eastAsia" w:ascii="仿宋_GB2312" w:hAnsi="宋体" w:eastAsia="仿宋_GB2312"/>
          <w:sz w:val="32"/>
          <w:szCs w:val="32"/>
          <w:lang w:val="zh-CN"/>
        </w:rPr>
        <w:t>路，新增</w:t>
      </w:r>
      <w:r>
        <w:rPr>
          <w:rFonts w:ascii="仿宋_GB2312" w:hAnsi="宋体" w:eastAsia="仿宋_GB2312"/>
          <w:sz w:val="32"/>
          <w:szCs w:val="32"/>
          <w:lang w:val="zh-CN"/>
        </w:rPr>
        <w:t>600</w:t>
      </w:r>
      <w:r>
        <w:rPr>
          <w:rFonts w:hint="eastAsia" w:ascii="仿宋_GB2312" w:hAnsi="宋体" w:eastAsia="仿宋_GB2312"/>
          <w:sz w:val="32"/>
          <w:szCs w:val="32"/>
          <w:lang w:val="zh-CN"/>
        </w:rPr>
        <w:t>套卡口前端和</w:t>
      </w:r>
      <w:r>
        <w:rPr>
          <w:rFonts w:ascii="仿宋_GB2312" w:hAnsi="宋体" w:eastAsia="仿宋_GB2312"/>
          <w:sz w:val="32"/>
          <w:szCs w:val="32"/>
          <w:lang w:val="zh-CN"/>
        </w:rPr>
        <w:t>1000</w:t>
      </w:r>
      <w:r>
        <w:rPr>
          <w:rFonts w:hint="eastAsia" w:ascii="仿宋_GB2312" w:hAnsi="宋体" w:eastAsia="仿宋_GB2312"/>
          <w:sz w:val="32"/>
          <w:szCs w:val="32"/>
          <w:lang w:val="zh-CN"/>
        </w:rPr>
        <w:t>套人像识别前端。提升图像资源服务实战的综合效能，根据省厅整体规划和接口标准，结合本地实际情况，搭建硬件环境，建设新一代图侦应用。建设网络安全管理平台，实现硬件设备的入网注册许可、终端监控管理、病毒防范和查杀等。同时，与乐山“雪亮工程”积极配合形成互补。</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四是积极探索新的技术手段，不断丰富感知源建设的内涵。一方面加大视频监控和治安卡口建设规模</w:t>
      </w:r>
      <w:r>
        <w:rPr>
          <w:rFonts w:ascii="仿宋_GB2312" w:hAnsi="宋体" w:eastAsia="仿宋_GB2312"/>
          <w:sz w:val="32"/>
          <w:szCs w:val="32"/>
          <w:lang w:val="zh-CN"/>
        </w:rPr>
        <w:t>,</w:t>
      </w:r>
      <w:r>
        <w:rPr>
          <w:rFonts w:hint="eastAsia" w:ascii="仿宋_GB2312" w:hAnsi="宋体" w:eastAsia="仿宋_GB2312"/>
          <w:sz w:val="32"/>
          <w:szCs w:val="32"/>
          <w:lang w:val="zh-CN"/>
        </w:rPr>
        <w:t>通过大数据分析等方式合理规划前端点位布局和选点，增加中心城区的点位覆盖率，逐步减少监控盲区。另一方面加强后台视频结构化系统建设，计划建设同时分析</w:t>
      </w:r>
      <w:r>
        <w:rPr>
          <w:rFonts w:ascii="仿宋_GB2312" w:hAnsi="宋体" w:eastAsia="仿宋_GB2312"/>
          <w:sz w:val="32"/>
          <w:szCs w:val="32"/>
          <w:lang w:val="zh-CN"/>
        </w:rPr>
        <w:t>500</w:t>
      </w:r>
      <w:r>
        <w:rPr>
          <w:rFonts w:hint="eastAsia" w:ascii="仿宋_GB2312" w:hAnsi="宋体" w:eastAsia="仿宋_GB2312"/>
          <w:sz w:val="32"/>
          <w:szCs w:val="32"/>
          <w:lang w:val="zh-CN"/>
        </w:rPr>
        <w:t>路视频的人像平台和同时分析</w:t>
      </w:r>
      <w:r>
        <w:rPr>
          <w:rFonts w:ascii="仿宋_GB2312" w:hAnsi="宋体" w:eastAsia="仿宋_GB2312"/>
          <w:sz w:val="32"/>
          <w:szCs w:val="32"/>
          <w:lang w:val="zh-CN"/>
        </w:rPr>
        <w:t>500</w:t>
      </w:r>
      <w:r>
        <w:rPr>
          <w:rFonts w:hint="eastAsia" w:ascii="仿宋_GB2312" w:hAnsi="宋体" w:eastAsia="仿宋_GB2312"/>
          <w:sz w:val="32"/>
          <w:szCs w:val="32"/>
          <w:lang w:val="zh-CN"/>
        </w:rPr>
        <w:t>路视频的结构化平台。将人、车、物纳入智能分析，并将人脸识别、治安卡口、电子围栏、</w:t>
      </w:r>
      <w:r>
        <w:rPr>
          <w:rFonts w:ascii="仿宋_GB2312" w:hAnsi="宋体" w:eastAsia="仿宋_GB2312"/>
          <w:sz w:val="32"/>
          <w:szCs w:val="32"/>
          <w:lang w:val="zh-CN"/>
        </w:rPr>
        <w:t>WIFI</w:t>
      </w:r>
      <w:r>
        <w:rPr>
          <w:rFonts w:hint="eastAsia" w:ascii="仿宋_GB2312" w:hAnsi="宋体" w:eastAsia="仿宋_GB2312"/>
          <w:sz w:val="32"/>
          <w:szCs w:val="32"/>
          <w:lang w:val="zh-CN"/>
        </w:rPr>
        <w:t>探针等感知源数据应用形成统一联动机制，多维度刻画车辆、人员和物品的时空轨迹，形成大数据智能化应用。同时，推进视图库建设。按照国家相关标准，结合乐山实际开展建设车辆库、人像库、视频结构化库以及案事件库，汇聚全市各区市县人像、车辆结构化数据和案件数据，并与省厅互联，上传省厅。</w:t>
      </w:r>
    </w:p>
    <w:p>
      <w:pPr>
        <w:adjustRightInd w:val="0"/>
        <w:snapToGrid w:val="0"/>
        <w:spacing w:line="560" w:lineRule="exact"/>
        <w:rPr>
          <w:rFonts w:ascii="仿宋_GB2312" w:hAnsi="宋体" w:eastAsia="仿宋_GB2312"/>
          <w:sz w:val="32"/>
          <w:szCs w:val="32"/>
          <w:lang w:val="zh-CN"/>
        </w:rPr>
      </w:pPr>
      <w:r>
        <w:rPr>
          <w:rFonts w:hint="eastAsia" w:ascii="仿宋_GB2312" w:hAnsi="宋体" w:eastAsia="仿宋_GB2312"/>
          <w:sz w:val="32"/>
          <w:szCs w:val="32"/>
          <w:lang w:val="zh-CN"/>
        </w:rPr>
        <w:t xml:space="preserve">    五是通过合成作战二期建设加强技战法的提炼和培训推广，增强实战部门的应用意识。一方面要加强合成作战建设，充分开展对技战法的收集、整理、归纳、提炼，在各实战部门和基层派出所开展推广、应用，另一方面要建立全警图侦应用定期培训制度。针对天网视频平台、缉查布控系统、人像比对系统、视频结构化分析应用系统等新平台、新领域、新技术组织专题培训，全面提升全警图侦实战化应用技能和专业能力。</w:t>
      </w:r>
    </w:p>
    <w:p>
      <w:pPr>
        <w:spacing w:line="560" w:lineRule="exact"/>
        <w:ind w:firstLine="640" w:firstLineChars="200"/>
        <w:jc w:val="left"/>
        <w:rPr>
          <w:rFonts w:ascii="仿宋_GB2312" w:hAnsi="仿宋_GB2312" w:eastAsia="仿宋_GB2312" w:cs="仿宋_GB2312"/>
          <w:color w:val="555555"/>
          <w:kern w:val="0"/>
          <w:sz w:val="32"/>
          <w:szCs w:val="32"/>
        </w:rPr>
      </w:pPr>
    </w:p>
    <w:p>
      <w:pPr>
        <w:adjustRightInd w:val="0"/>
        <w:snapToGrid w:val="0"/>
        <w:spacing w:line="560" w:lineRule="exact"/>
        <w:ind w:firstLine="720"/>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widowControl/>
        <w:spacing w:line="560" w:lineRule="exact"/>
        <w:jc w:val="left"/>
        <w:rPr>
          <w:rStyle w:val="25"/>
          <w:rFonts w:ascii="黑体" w:hAnsi="黑体" w:eastAsia="黑体"/>
          <w:b w:val="0"/>
        </w:rPr>
      </w:pPr>
    </w:p>
    <w:p>
      <w:pPr>
        <w:spacing w:line="560" w:lineRule="exact"/>
        <w:jc w:val="center"/>
        <w:outlineLvl w:val="0"/>
        <w:rPr>
          <w:rFonts w:ascii="仿宋" w:hAnsi="仿宋" w:eastAsia="仿宋"/>
          <w:b/>
          <w:color w:val="000000"/>
          <w:sz w:val="44"/>
          <w:szCs w:val="44"/>
        </w:rPr>
      </w:pPr>
      <w:bookmarkStart w:id="99" w:name="_Toc15396618"/>
      <w:bookmarkStart w:id="100" w:name="_Toc19739"/>
      <w:r>
        <w:rPr>
          <w:rFonts w:hint="eastAsia" w:ascii="黑体" w:hAnsi="黑体" w:eastAsia="黑体"/>
          <w:color w:val="000000"/>
          <w:sz w:val="44"/>
          <w:szCs w:val="44"/>
        </w:rPr>
        <w:t>第</w:t>
      </w:r>
      <w:r>
        <w:rPr>
          <w:rStyle w:val="25"/>
          <w:rFonts w:hint="eastAsia" w:ascii="黑体" w:hAnsi="黑体" w:eastAsia="黑体"/>
          <w:b w:val="0"/>
        </w:rPr>
        <w:t>五部分</w:t>
      </w:r>
      <w:r>
        <w:rPr>
          <w:rStyle w:val="25"/>
          <w:rFonts w:ascii="黑体" w:hAnsi="黑体" w:eastAsia="黑体"/>
          <w:b w:val="0"/>
        </w:rPr>
        <w:t xml:space="preserve"> </w:t>
      </w:r>
      <w:r>
        <w:rPr>
          <w:rStyle w:val="25"/>
          <w:rFonts w:hint="eastAsia" w:ascii="黑体" w:hAnsi="黑体" w:eastAsia="黑体"/>
          <w:b w:val="0"/>
        </w:rPr>
        <w:t>附表</w:t>
      </w:r>
      <w:bookmarkEnd w:id="68"/>
      <w:bookmarkEnd w:id="99"/>
      <w:bookmarkEnd w:id="100"/>
    </w:p>
    <w:p>
      <w:pPr>
        <w:pStyle w:val="3"/>
        <w:spacing w:line="460" w:lineRule="exact"/>
        <w:rPr>
          <w:rFonts w:ascii="仿宋" w:hAnsi="仿宋" w:eastAsia="仿宋"/>
          <w:color w:val="000000"/>
        </w:rPr>
      </w:pPr>
      <w:bookmarkStart w:id="101" w:name="_Toc15396619"/>
      <w:bookmarkStart w:id="102" w:name="_Toc2808"/>
      <w:r>
        <w:rPr>
          <w:rFonts w:hint="eastAsia" w:ascii="仿宋" w:hAnsi="仿宋" w:eastAsia="仿宋"/>
          <w:b w:val="0"/>
          <w:color w:val="000000"/>
        </w:rPr>
        <w:t>一、收</w:t>
      </w:r>
      <w:r>
        <w:rPr>
          <w:rStyle w:val="19"/>
          <w:rFonts w:hint="eastAsia" w:ascii="仿宋" w:hAnsi="仿宋" w:eastAsia="仿宋"/>
          <w:b w:val="0"/>
          <w:bCs w:val="0"/>
        </w:rPr>
        <w:t>入支出决算总表</w:t>
      </w:r>
      <w:bookmarkEnd w:id="101"/>
      <w:bookmarkEnd w:id="102"/>
    </w:p>
    <w:p>
      <w:pPr>
        <w:pStyle w:val="3"/>
        <w:spacing w:line="460" w:lineRule="exact"/>
        <w:rPr>
          <w:rFonts w:ascii="仿宋" w:hAnsi="仿宋" w:eastAsia="仿宋"/>
          <w:color w:val="000000"/>
        </w:rPr>
      </w:pPr>
      <w:bookmarkStart w:id="103" w:name="_Toc31540"/>
      <w:bookmarkStart w:id="104" w:name="_Toc15396620"/>
      <w:r>
        <w:rPr>
          <w:rFonts w:hint="eastAsia" w:ascii="仿宋" w:hAnsi="仿宋" w:eastAsia="仿宋"/>
          <w:b w:val="0"/>
          <w:color w:val="000000"/>
        </w:rPr>
        <w:t>二、收</w:t>
      </w:r>
      <w:r>
        <w:rPr>
          <w:rStyle w:val="19"/>
          <w:rFonts w:hint="eastAsia" w:ascii="仿宋" w:hAnsi="仿宋" w:eastAsia="仿宋"/>
          <w:b w:val="0"/>
          <w:bCs w:val="0"/>
        </w:rPr>
        <w:t>入决算表</w:t>
      </w:r>
      <w:bookmarkEnd w:id="103"/>
      <w:bookmarkEnd w:id="104"/>
    </w:p>
    <w:p>
      <w:pPr>
        <w:pStyle w:val="3"/>
        <w:spacing w:line="460" w:lineRule="exact"/>
        <w:rPr>
          <w:rFonts w:ascii="仿宋" w:hAnsi="仿宋" w:eastAsia="仿宋"/>
          <w:color w:val="000000"/>
        </w:rPr>
      </w:pPr>
      <w:bookmarkStart w:id="105" w:name="_Toc1909"/>
      <w:bookmarkStart w:id="106" w:name="_Toc15396621"/>
      <w:r>
        <w:rPr>
          <w:rStyle w:val="19"/>
          <w:rFonts w:hint="eastAsia" w:ascii="仿宋" w:hAnsi="仿宋" w:eastAsia="仿宋"/>
          <w:b w:val="0"/>
          <w:bCs w:val="0"/>
        </w:rPr>
        <w:t>三、</w:t>
      </w:r>
      <w:r>
        <w:rPr>
          <w:rFonts w:hint="eastAsia" w:ascii="仿宋" w:hAnsi="仿宋" w:eastAsia="仿宋"/>
          <w:b w:val="0"/>
          <w:color w:val="000000"/>
        </w:rPr>
        <w:t>支</w:t>
      </w:r>
      <w:r>
        <w:rPr>
          <w:rStyle w:val="19"/>
          <w:rFonts w:hint="eastAsia" w:ascii="仿宋" w:hAnsi="仿宋" w:eastAsia="仿宋"/>
          <w:b w:val="0"/>
          <w:bCs w:val="0"/>
        </w:rPr>
        <w:t>出决算表</w:t>
      </w:r>
      <w:bookmarkEnd w:id="105"/>
      <w:bookmarkEnd w:id="106"/>
    </w:p>
    <w:p>
      <w:pPr>
        <w:pStyle w:val="3"/>
        <w:spacing w:line="460" w:lineRule="exact"/>
        <w:rPr>
          <w:rFonts w:ascii="仿宋" w:hAnsi="仿宋" w:eastAsia="仿宋"/>
          <w:b w:val="0"/>
          <w:color w:val="000000"/>
        </w:rPr>
      </w:pPr>
      <w:bookmarkStart w:id="107" w:name="_Toc15396622"/>
      <w:bookmarkStart w:id="108" w:name="_Toc31878"/>
      <w:r>
        <w:rPr>
          <w:rStyle w:val="19"/>
          <w:rFonts w:hint="eastAsia" w:ascii="仿宋" w:hAnsi="仿宋" w:eastAsia="仿宋"/>
          <w:b w:val="0"/>
          <w:bCs w:val="0"/>
        </w:rPr>
        <w:t>四、</w:t>
      </w:r>
      <w:r>
        <w:rPr>
          <w:rFonts w:hint="eastAsia" w:ascii="仿宋" w:hAnsi="仿宋" w:eastAsia="仿宋"/>
          <w:b w:val="0"/>
          <w:color w:val="000000"/>
        </w:rPr>
        <w:t>财</w:t>
      </w:r>
      <w:r>
        <w:rPr>
          <w:rStyle w:val="19"/>
          <w:rFonts w:hint="eastAsia" w:ascii="仿宋" w:hAnsi="仿宋" w:eastAsia="仿宋"/>
          <w:b w:val="0"/>
          <w:bCs w:val="0"/>
        </w:rPr>
        <w:t>政拨款收入支出决算总表</w:t>
      </w:r>
      <w:bookmarkEnd w:id="107"/>
      <w:bookmarkEnd w:id="108"/>
    </w:p>
    <w:p>
      <w:pPr>
        <w:pStyle w:val="3"/>
        <w:spacing w:line="460" w:lineRule="exact"/>
        <w:rPr>
          <w:rStyle w:val="19"/>
          <w:rFonts w:ascii="仿宋" w:hAnsi="仿宋" w:eastAsia="仿宋"/>
          <w:b w:val="0"/>
          <w:bCs w:val="0"/>
        </w:rPr>
      </w:pPr>
      <w:bookmarkStart w:id="109" w:name="_Toc32202"/>
      <w:bookmarkStart w:id="110" w:name="_Toc15396623"/>
      <w:r>
        <w:rPr>
          <w:rStyle w:val="19"/>
          <w:rFonts w:hint="eastAsia" w:ascii="仿宋" w:hAnsi="仿宋" w:eastAsia="仿宋"/>
          <w:b w:val="0"/>
          <w:bCs w:val="0"/>
        </w:rPr>
        <w:t>五、</w:t>
      </w:r>
      <w:r>
        <w:rPr>
          <w:rFonts w:hint="eastAsia" w:ascii="仿宋" w:hAnsi="仿宋" w:eastAsia="仿宋"/>
          <w:b w:val="0"/>
          <w:color w:val="000000"/>
        </w:rPr>
        <w:t>财</w:t>
      </w:r>
      <w:r>
        <w:rPr>
          <w:rStyle w:val="19"/>
          <w:rFonts w:hint="eastAsia" w:ascii="仿宋" w:hAnsi="仿宋" w:eastAsia="仿宋"/>
          <w:b w:val="0"/>
          <w:bCs w:val="0"/>
        </w:rPr>
        <w:t>政拨款支出决算明细表</w:t>
      </w:r>
      <w:bookmarkEnd w:id="109"/>
      <w:bookmarkEnd w:id="110"/>
      <w:bookmarkStart w:id="111" w:name="_Toc15396624"/>
    </w:p>
    <w:p>
      <w:pPr>
        <w:pStyle w:val="3"/>
        <w:spacing w:line="460" w:lineRule="exact"/>
        <w:rPr>
          <w:rFonts w:ascii="仿宋" w:hAnsi="仿宋" w:eastAsia="仿宋"/>
          <w:color w:val="000000"/>
        </w:rPr>
      </w:pPr>
      <w:bookmarkStart w:id="112" w:name="_Toc3783"/>
      <w:r>
        <w:rPr>
          <w:rStyle w:val="19"/>
          <w:rFonts w:hint="eastAsia" w:ascii="仿宋" w:hAnsi="仿宋" w:eastAsia="仿宋"/>
          <w:b w:val="0"/>
          <w:bCs w:val="0"/>
        </w:rPr>
        <w:t>六、</w:t>
      </w:r>
      <w:r>
        <w:rPr>
          <w:rFonts w:hint="eastAsia" w:ascii="仿宋" w:hAnsi="仿宋" w:eastAsia="仿宋"/>
          <w:b w:val="0"/>
          <w:color w:val="000000"/>
        </w:rPr>
        <w:t>一</w:t>
      </w:r>
      <w:r>
        <w:rPr>
          <w:rStyle w:val="19"/>
          <w:rFonts w:hint="eastAsia" w:ascii="仿宋" w:hAnsi="仿宋" w:eastAsia="仿宋"/>
          <w:b w:val="0"/>
          <w:bCs w:val="0"/>
        </w:rPr>
        <w:t>般公共预算财政拨款支出决算表</w:t>
      </w:r>
      <w:bookmarkEnd w:id="111"/>
      <w:bookmarkEnd w:id="112"/>
    </w:p>
    <w:p>
      <w:pPr>
        <w:pStyle w:val="3"/>
        <w:spacing w:line="460" w:lineRule="exact"/>
        <w:rPr>
          <w:rFonts w:ascii="仿宋" w:hAnsi="仿宋" w:eastAsia="仿宋"/>
          <w:color w:val="000000"/>
        </w:rPr>
      </w:pPr>
      <w:bookmarkStart w:id="113" w:name="_Toc15396625"/>
      <w:bookmarkStart w:id="114" w:name="_Toc15079"/>
      <w:r>
        <w:rPr>
          <w:rStyle w:val="19"/>
          <w:rFonts w:hint="eastAsia" w:ascii="仿宋" w:hAnsi="仿宋" w:eastAsia="仿宋"/>
          <w:b w:val="0"/>
          <w:bCs w:val="0"/>
        </w:rPr>
        <w:t>七、</w:t>
      </w:r>
      <w:r>
        <w:rPr>
          <w:rFonts w:hint="eastAsia" w:ascii="仿宋" w:hAnsi="仿宋" w:eastAsia="仿宋"/>
          <w:b w:val="0"/>
          <w:color w:val="000000"/>
        </w:rPr>
        <w:t>一</w:t>
      </w:r>
      <w:r>
        <w:rPr>
          <w:rStyle w:val="19"/>
          <w:rFonts w:hint="eastAsia" w:ascii="仿宋" w:hAnsi="仿宋" w:eastAsia="仿宋"/>
          <w:b w:val="0"/>
          <w:bCs w:val="0"/>
        </w:rPr>
        <w:t>般公共预算财政拨款支出决算明细表</w:t>
      </w:r>
      <w:bookmarkEnd w:id="113"/>
      <w:bookmarkEnd w:id="114"/>
    </w:p>
    <w:p>
      <w:pPr>
        <w:pStyle w:val="3"/>
        <w:spacing w:line="460" w:lineRule="exact"/>
        <w:rPr>
          <w:rFonts w:ascii="仿宋" w:hAnsi="仿宋" w:eastAsia="仿宋"/>
          <w:color w:val="000000"/>
        </w:rPr>
      </w:pPr>
      <w:bookmarkStart w:id="115" w:name="_Toc15396626"/>
      <w:bookmarkStart w:id="116" w:name="_Toc243"/>
      <w:r>
        <w:rPr>
          <w:rStyle w:val="19"/>
          <w:rFonts w:hint="eastAsia" w:ascii="仿宋" w:hAnsi="仿宋" w:eastAsia="仿宋"/>
          <w:b w:val="0"/>
          <w:bCs w:val="0"/>
        </w:rPr>
        <w:t>八、</w:t>
      </w:r>
      <w:r>
        <w:rPr>
          <w:rFonts w:hint="eastAsia" w:ascii="仿宋" w:hAnsi="仿宋" w:eastAsia="仿宋"/>
          <w:b w:val="0"/>
          <w:color w:val="000000"/>
        </w:rPr>
        <w:t>一</w:t>
      </w:r>
      <w:r>
        <w:rPr>
          <w:rStyle w:val="19"/>
          <w:rFonts w:hint="eastAsia" w:ascii="仿宋" w:hAnsi="仿宋" w:eastAsia="仿宋"/>
          <w:b w:val="0"/>
          <w:bCs w:val="0"/>
        </w:rPr>
        <w:t>般公共预算财政拨款基本支出决算表</w:t>
      </w:r>
      <w:bookmarkEnd w:id="115"/>
      <w:bookmarkEnd w:id="116"/>
    </w:p>
    <w:p>
      <w:pPr>
        <w:pStyle w:val="3"/>
        <w:spacing w:line="460" w:lineRule="exact"/>
        <w:rPr>
          <w:rFonts w:ascii="仿宋" w:hAnsi="仿宋" w:eastAsia="仿宋"/>
          <w:color w:val="000000"/>
        </w:rPr>
      </w:pPr>
      <w:bookmarkStart w:id="117" w:name="_Toc15396627"/>
      <w:bookmarkStart w:id="118" w:name="_Toc22646"/>
      <w:r>
        <w:rPr>
          <w:rStyle w:val="19"/>
          <w:rFonts w:hint="eastAsia" w:ascii="仿宋" w:hAnsi="仿宋" w:eastAsia="仿宋"/>
          <w:b w:val="0"/>
          <w:bCs w:val="0"/>
        </w:rPr>
        <w:t>九、</w:t>
      </w:r>
      <w:r>
        <w:rPr>
          <w:rFonts w:hint="eastAsia" w:ascii="仿宋" w:hAnsi="仿宋" w:eastAsia="仿宋"/>
          <w:b w:val="0"/>
          <w:color w:val="000000"/>
        </w:rPr>
        <w:t>一</w:t>
      </w:r>
      <w:r>
        <w:rPr>
          <w:rStyle w:val="19"/>
          <w:rFonts w:hint="eastAsia" w:ascii="仿宋" w:hAnsi="仿宋" w:eastAsia="仿宋"/>
          <w:b w:val="0"/>
          <w:bCs w:val="0"/>
        </w:rPr>
        <w:t>般公共预算财政拨款项目支出决算表</w:t>
      </w:r>
      <w:bookmarkEnd w:id="117"/>
      <w:bookmarkEnd w:id="118"/>
    </w:p>
    <w:p>
      <w:pPr>
        <w:pStyle w:val="3"/>
        <w:spacing w:line="460" w:lineRule="exact"/>
        <w:rPr>
          <w:rFonts w:ascii="仿宋" w:hAnsi="仿宋" w:eastAsia="仿宋"/>
          <w:color w:val="000000"/>
        </w:rPr>
      </w:pPr>
      <w:bookmarkStart w:id="119" w:name="_Toc15396628"/>
      <w:bookmarkStart w:id="120" w:name="_Toc31271"/>
      <w:r>
        <w:rPr>
          <w:rStyle w:val="19"/>
          <w:rFonts w:hint="eastAsia" w:ascii="仿宋" w:hAnsi="仿宋" w:eastAsia="仿宋"/>
          <w:b w:val="0"/>
          <w:bCs w:val="0"/>
        </w:rPr>
        <w:t>十、</w:t>
      </w:r>
      <w:r>
        <w:rPr>
          <w:rFonts w:hint="eastAsia" w:ascii="仿宋" w:hAnsi="仿宋" w:eastAsia="仿宋"/>
          <w:b w:val="0"/>
          <w:color w:val="000000"/>
        </w:rPr>
        <w:t>一</w:t>
      </w:r>
      <w:r>
        <w:rPr>
          <w:rStyle w:val="19"/>
          <w:rFonts w:hint="eastAsia" w:ascii="仿宋" w:hAnsi="仿宋" w:eastAsia="仿宋"/>
          <w:b w:val="0"/>
          <w:bCs w:val="0"/>
        </w:rPr>
        <w:t>般公共预算财政拨款“三公”经费支出决算表</w:t>
      </w:r>
      <w:bookmarkEnd w:id="119"/>
      <w:bookmarkEnd w:id="120"/>
    </w:p>
    <w:p>
      <w:pPr>
        <w:pStyle w:val="3"/>
        <w:spacing w:line="460" w:lineRule="exact"/>
        <w:rPr>
          <w:rFonts w:ascii="仿宋" w:hAnsi="仿宋" w:eastAsia="仿宋"/>
          <w:color w:val="000000"/>
        </w:rPr>
      </w:pPr>
      <w:bookmarkStart w:id="121" w:name="_Toc15396629"/>
      <w:bookmarkStart w:id="122" w:name="_Toc27863"/>
      <w:r>
        <w:rPr>
          <w:rStyle w:val="19"/>
          <w:rFonts w:hint="eastAsia" w:ascii="仿宋" w:hAnsi="仿宋" w:eastAsia="仿宋"/>
          <w:b w:val="0"/>
          <w:bCs w:val="0"/>
        </w:rPr>
        <w:t>十一、</w:t>
      </w:r>
      <w:r>
        <w:rPr>
          <w:rFonts w:hint="eastAsia" w:ascii="仿宋" w:hAnsi="仿宋" w:eastAsia="仿宋"/>
          <w:b w:val="0"/>
          <w:color w:val="000000"/>
        </w:rPr>
        <w:t>政</w:t>
      </w:r>
      <w:r>
        <w:rPr>
          <w:rStyle w:val="19"/>
          <w:rFonts w:hint="eastAsia" w:ascii="仿宋" w:hAnsi="仿宋" w:eastAsia="仿宋"/>
          <w:b w:val="0"/>
          <w:bCs w:val="0"/>
        </w:rPr>
        <w:t>府性基金预算财政拨款收入支出决算表</w:t>
      </w:r>
      <w:bookmarkEnd w:id="121"/>
      <w:bookmarkEnd w:id="122"/>
    </w:p>
    <w:p>
      <w:pPr>
        <w:pStyle w:val="3"/>
        <w:spacing w:line="460" w:lineRule="exact"/>
        <w:rPr>
          <w:rFonts w:ascii="仿宋" w:hAnsi="仿宋" w:eastAsia="仿宋"/>
          <w:color w:val="000000"/>
        </w:rPr>
      </w:pPr>
      <w:bookmarkStart w:id="123" w:name="_Toc23596"/>
      <w:bookmarkStart w:id="124" w:name="_Toc15396630"/>
      <w:r>
        <w:rPr>
          <w:rStyle w:val="19"/>
          <w:rFonts w:hint="eastAsia" w:ascii="仿宋" w:hAnsi="仿宋" w:eastAsia="仿宋"/>
          <w:b w:val="0"/>
          <w:bCs w:val="0"/>
        </w:rPr>
        <w:t>十二、</w:t>
      </w:r>
      <w:r>
        <w:rPr>
          <w:rFonts w:hint="eastAsia" w:ascii="仿宋" w:hAnsi="仿宋" w:eastAsia="仿宋"/>
          <w:b w:val="0"/>
          <w:color w:val="000000"/>
        </w:rPr>
        <w:t>政</w:t>
      </w:r>
      <w:r>
        <w:rPr>
          <w:rStyle w:val="19"/>
          <w:rFonts w:hint="eastAsia" w:ascii="仿宋" w:hAnsi="仿宋" w:eastAsia="仿宋"/>
          <w:b w:val="0"/>
          <w:bCs w:val="0"/>
        </w:rPr>
        <w:t>府性基金预算财政拨款“三公”经费支出决算表</w:t>
      </w:r>
      <w:bookmarkEnd w:id="123"/>
      <w:bookmarkEnd w:id="124"/>
    </w:p>
    <w:p>
      <w:pPr>
        <w:pStyle w:val="3"/>
        <w:spacing w:line="460" w:lineRule="exact"/>
        <w:rPr>
          <w:rStyle w:val="19"/>
          <w:rFonts w:ascii="仿宋" w:hAnsi="仿宋" w:eastAsia="仿宋"/>
          <w:b w:val="0"/>
          <w:bCs w:val="0"/>
        </w:rPr>
      </w:pPr>
      <w:bookmarkStart w:id="125" w:name="_Toc15396631"/>
      <w:bookmarkStart w:id="126" w:name="_Toc3056"/>
      <w:r>
        <w:rPr>
          <w:rStyle w:val="19"/>
          <w:rFonts w:hint="eastAsia" w:ascii="仿宋" w:hAnsi="仿宋" w:eastAsia="仿宋"/>
          <w:b w:val="0"/>
          <w:bCs w:val="0"/>
        </w:rPr>
        <w:t>十三、</w:t>
      </w:r>
      <w:r>
        <w:rPr>
          <w:rFonts w:hint="eastAsia" w:ascii="仿宋" w:hAnsi="仿宋" w:eastAsia="仿宋"/>
          <w:b w:val="0"/>
          <w:color w:val="000000"/>
        </w:rPr>
        <w:t>国</w:t>
      </w:r>
      <w:r>
        <w:rPr>
          <w:rStyle w:val="19"/>
          <w:rFonts w:hint="eastAsia" w:ascii="仿宋" w:hAnsi="仿宋" w:eastAsia="仿宋"/>
          <w:b w:val="0"/>
          <w:bCs w:val="0"/>
        </w:rPr>
        <w:t>有资本经营预算财政拨款收入支出决算表</w:t>
      </w:r>
      <w:bookmarkEnd w:id="125"/>
      <w:bookmarkEnd w:id="126"/>
    </w:p>
    <w:p>
      <w:pPr>
        <w:pStyle w:val="3"/>
        <w:spacing w:line="460" w:lineRule="exact"/>
        <w:rPr>
          <w:rFonts w:ascii="仿宋" w:hAnsi="仿宋" w:eastAsia="仿宋"/>
          <w:color w:val="000000"/>
        </w:rPr>
      </w:pPr>
      <w:bookmarkStart w:id="127" w:name="_Toc18314"/>
      <w:r>
        <w:rPr>
          <w:rStyle w:val="19"/>
          <w:rFonts w:hint="eastAsia" w:ascii="仿宋" w:hAnsi="仿宋" w:eastAsia="仿宋"/>
          <w:b w:val="0"/>
          <w:bCs w:val="0"/>
        </w:rPr>
        <w:t>十四、</w:t>
      </w:r>
      <w:r>
        <w:rPr>
          <w:rFonts w:hint="eastAsia" w:ascii="仿宋" w:hAnsi="仿宋" w:eastAsia="仿宋"/>
          <w:b w:val="0"/>
          <w:color w:val="000000"/>
        </w:rPr>
        <w:t>国</w:t>
      </w:r>
      <w:r>
        <w:rPr>
          <w:rStyle w:val="19"/>
          <w:rFonts w:hint="eastAsia" w:ascii="仿宋" w:hAnsi="仿宋" w:eastAsia="仿宋"/>
          <w:b w:val="0"/>
          <w:bCs w:val="0"/>
        </w:rPr>
        <w:t>有资本经营预算财政拨款支出决算表</w:t>
      </w:r>
      <w:bookmarkEnd w:id="127"/>
    </w:p>
    <w:p>
      <w:pPr>
        <w:spacing w:line="560" w:lineRule="exact"/>
      </w:pPr>
    </w:p>
    <w:sectPr>
      <w:headerReference r:id="rId3" w:type="default"/>
      <w:footerReference r:id="rId4" w:type="default"/>
      <w:pgSz w:w="11906" w:h="16838"/>
      <w:pgMar w:top="851" w:right="1134" w:bottom="992" w:left="1701"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Noto Sans CJK SC"/>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Noto Sans CJK SC"/>
    <w:panose1 w:val="020B0503020204020204"/>
    <w:charset w:val="86"/>
    <w:family w:val="swiss"/>
    <w:pitch w:val="default"/>
    <w:sig w:usb0="00000000" w:usb1="00000000" w:usb2="00000016" w:usb3="00000000" w:csb0="0004001F" w:csb1="00000000"/>
  </w:font>
  <w:font w:name="Cambria">
    <w:altName w:val="Noto Sans Syriac Eastern"/>
    <w:panose1 w:val="02040503050406030204"/>
    <w:charset w:val="00"/>
    <w:family w:val="roman"/>
    <w:pitch w:val="default"/>
    <w:sig w:usb0="00000000" w:usb1="00000000" w:usb2="02000000" w:usb3="00000000" w:csb0="2000019F" w:csb1="00000000"/>
  </w:font>
  <w:font w:name="仿宋_GB2312">
    <w:altName w:val="宋体"/>
    <w:panose1 w:val="02010609030101010101"/>
    <w:charset w:val="86"/>
    <w:family w:val="modern"/>
    <w:pitch w:val="default"/>
    <w:sig w:usb0="00000000" w:usb1="00000000" w:usb2="0000001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
    <w:altName w:val="宋体"/>
    <w:panose1 w:val="00000000000000000000"/>
    <w:charset w:val="00"/>
    <w:family w:val="auto"/>
    <w:pitch w:val="default"/>
    <w:sig w:usb0="00000000" w:usb1="00000000" w:usb2="00000000" w:usb3="00000000" w:csb0="00040001" w:csb1="00000000"/>
  </w:font>
  <w:font w:name="方正小标宋简体">
    <w:altName w:val="宋体"/>
    <w:panose1 w:val="02010601030101010101"/>
    <w:charset w:val="86"/>
    <w:family w:val="auto"/>
    <w:pitch w:val="default"/>
    <w:sig w:usb0="00000000" w:usb1="00000000" w:usb2="00000010" w:usb3="00000000" w:csb0="00040000" w:csb1="00000000"/>
  </w:font>
  <w:font w:name="楷体_GB2312">
    <w:altName w:val="宋体"/>
    <w:panose1 w:val="00000000000000000000"/>
    <w:charset w:val="86"/>
    <w:family w:val="modern"/>
    <w:pitch w:val="default"/>
    <w:sig w:usb0="00000000" w:usb1="00000000" w:usb2="00000000" w:usb3="00000000" w:csb0="00040000" w:csb1="00000000"/>
  </w:font>
  <w:font w:name="Helvetica">
    <w:altName w:val="DejaVu Sans"/>
    <w:panose1 w:val="020B0604020202020204"/>
    <w:charset w:val="00"/>
    <w:family w:val="swiss"/>
    <w:pitch w:val="default"/>
    <w:sig w:usb0="00000000" w:usb1="00000000" w:usb2="00000000" w:usb3="00000000" w:csb0="00000001" w:csb1="00000000"/>
  </w:font>
  <w:font w:name="楷体">
    <w:altName w:val="Noto Sans CJK SC"/>
    <w:panose1 w:val="02010609060101010101"/>
    <w:charset w:val="86"/>
    <w:family w:val="auto"/>
    <w:pitch w:val="default"/>
    <w:sig w:usb0="00000000" w:usb1="00000000" w:usb2="00000016" w:usb3="00000000" w:csb0="00040001" w:csb1="00000000"/>
  </w:font>
  <w:font w:name="Noto Sans CJK SC">
    <w:panose1 w:val="020B0500000000000000"/>
    <w:charset w:val="86"/>
    <w:family w:val="auto"/>
    <w:pitch w:val="default"/>
    <w:sig w:usb0="3000000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7</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3"/>
      <w:numFmt w:val="chineseCounting"/>
      <w:suff w:val="nothing"/>
      <w:lvlText w:val="（%1）"/>
      <w:lvlJc w:val="left"/>
      <w:rPr>
        <w:rFonts w:hint="eastAsia"/>
      </w:rPr>
    </w:lvl>
  </w:abstractNum>
  <w:abstractNum w:abstractNumId="1">
    <w:nsid w:val="00000003"/>
    <w:multiLevelType w:val="singleLevel"/>
    <w:tmpl w:val="00000003"/>
    <w:lvl w:ilvl="0" w:tentative="0">
      <w:start w:val="2"/>
      <w:numFmt w:val="chineseCounting"/>
      <w:suff w:val="nothing"/>
      <w:lvlText w:val="%1、"/>
      <w:lvlJc w:val="left"/>
    </w:lvl>
  </w:abstractNum>
  <w:abstractNum w:abstractNumId="2">
    <w:nsid w:val="00000006"/>
    <w:multiLevelType w:val="singleLevel"/>
    <w:tmpl w:val="00000006"/>
    <w:lvl w:ilvl="0" w:tentative="0">
      <w:start w:val="2"/>
      <w:numFmt w:val="chineseCounting"/>
      <w:suff w:val="nothing"/>
      <w:lvlText w:val="（%1）"/>
      <w:lvlJc w:val="left"/>
    </w:lvl>
  </w:abstractNum>
  <w:abstractNum w:abstractNumId="3">
    <w:nsid w:val="0000000B"/>
    <w:multiLevelType w:val="singleLevel"/>
    <w:tmpl w:val="0000000B"/>
    <w:lvl w:ilvl="0" w:tentative="0">
      <w:start w:val="9"/>
      <w:numFmt w:val="chineseCounting"/>
      <w:suff w:val="nothing"/>
      <w:lvlText w:val="%1、"/>
      <w:lvlJc w:val="left"/>
      <w:rPr>
        <w:rFonts w:hint="eastAsia" w:cs="Times New Roman"/>
      </w:rPr>
    </w:lvl>
  </w:abstractNum>
  <w:abstractNum w:abstractNumId="4">
    <w:nsid w:val="0000000C"/>
    <w:multiLevelType w:val="multilevel"/>
    <w:tmpl w:val="0000000C"/>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5">
    <w:nsid w:val="0000000D"/>
    <w:multiLevelType w:val="singleLevel"/>
    <w:tmpl w:val="0000000D"/>
    <w:lvl w:ilvl="0" w:tentative="0">
      <w:start w:val="3"/>
      <w:numFmt w:val="chineseCounting"/>
      <w:suff w:val="space"/>
      <w:lvlText w:val="第%1部分"/>
      <w:lvlJc w:val="left"/>
      <w:rPr>
        <w:rFonts w:hint="eastAsia" w:cs="Times New Roman"/>
      </w:rPr>
    </w:lvl>
  </w:abstractNum>
  <w:abstractNum w:abstractNumId="6">
    <w:nsid w:val="00000010"/>
    <w:multiLevelType w:val="multilevel"/>
    <w:tmpl w:val="00000010"/>
    <w:lvl w:ilvl="0" w:tentative="0">
      <w:start w:val="2"/>
      <w:numFmt w:val="japaneseCounting"/>
      <w:lvlText w:val="%1、"/>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4"/>
  </w:num>
  <w:num w:numId="2">
    <w:abstractNumId w:val="3"/>
  </w:num>
  <w:num w:numId="3">
    <w:abstractNumId w:val="5"/>
  </w:num>
  <w:num w:numId="4">
    <w:abstractNumId w:val="1"/>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5NjM4ODBmNTkxZWU1MjkxMDM4NGE0ODQwNWQ2ODUifQ=="/>
  </w:docVars>
  <w:rsids>
    <w:rsidRoot w:val="00172A27"/>
    <w:rsid w:val="000B166F"/>
    <w:rsid w:val="00172A27"/>
    <w:rsid w:val="001D0E79"/>
    <w:rsid w:val="005A06CD"/>
    <w:rsid w:val="0063006E"/>
    <w:rsid w:val="00722C22"/>
    <w:rsid w:val="007F31CE"/>
    <w:rsid w:val="007F4384"/>
    <w:rsid w:val="008377EF"/>
    <w:rsid w:val="00AF31B0"/>
    <w:rsid w:val="00D86AB5"/>
    <w:rsid w:val="48E5102B"/>
    <w:rsid w:val="7DEE1181"/>
    <w:rsid w:val="FAAF847C"/>
    <w:rsid w:val="FB5F0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微软雅黑" w:cs="Times New Roman"/>
      <w:kern w:val="2"/>
      <w:sz w:val="21"/>
      <w:szCs w:val="24"/>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4"/>
    <w:qFormat/>
    <w:uiPriority w:val="0"/>
    <w:pPr>
      <w:keepNext/>
      <w:keepLines/>
      <w:spacing w:before="260" w:after="260" w:line="416" w:lineRule="auto"/>
      <w:outlineLvl w:val="1"/>
    </w:pPr>
    <w:rPr>
      <w:rFonts w:ascii="Cambria" w:hAnsi="Cambria" w:eastAsia="宋体"/>
      <w:b/>
      <w:bCs/>
      <w:sz w:val="32"/>
      <w:szCs w:val="32"/>
    </w:rPr>
  </w:style>
  <w:style w:type="paragraph" w:styleId="4">
    <w:name w:val="heading 3"/>
    <w:basedOn w:val="1"/>
    <w:next w:val="1"/>
    <w:link w:val="17"/>
    <w:qFormat/>
    <w:uiPriority w:val="0"/>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8"/>
    <w:qFormat/>
    <w:uiPriority w:val="0"/>
    <w:pPr>
      <w:spacing w:beforeLines="30"/>
    </w:pPr>
    <w:rPr>
      <w:rFonts w:ascii="仿宋_GB2312" w:eastAsia="仿宋_GB2312"/>
      <w:kern w:val="0"/>
      <w:sz w:val="24"/>
      <w:szCs w:val="20"/>
    </w:rPr>
  </w:style>
  <w:style w:type="paragraph" w:styleId="6">
    <w:name w:val="toc 3"/>
    <w:basedOn w:val="1"/>
    <w:next w:val="1"/>
    <w:qFormat/>
    <w:uiPriority w:val="0"/>
    <w:pPr>
      <w:tabs>
        <w:tab w:val="right" w:leader="dot" w:pos="8296"/>
      </w:tabs>
      <w:ind w:left="840" w:leftChars="400"/>
    </w:pPr>
  </w:style>
  <w:style w:type="paragraph" w:styleId="7">
    <w:name w:val="Balloon Text"/>
    <w:basedOn w:val="1"/>
    <w:link w:val="18"/>
    <w:qFormat/>
    <w:uiPriority w:val="0"/>
    <w:rPr>
      <w:sz w:val="18"/>
      <w:szCs w:val="18"/>
    </w:rPr>
  </w:style>
  <w:style w:type="paragraph" w:styleId="8">
    <w:name w:val="footer"/>
    <w:basedOn w:val="1"/>
    <w:link w:val="23"/>
    <w:qFormat/>
    <w:uiPriority w:val="0"/>
    <w:pPr>
      <w:tabs>
        <w:tab w:val="center" w:pos="4153"/>
        <w:tab w:val="right" w:pos="8306"/>
      </w:tabs>
      <w:snapToGrid w:val="0"/>
      <w:jc w:val="left"/>
    </w:pPr>
    <w:rPr>
      <w:rFonts w:ascii="Calibri" w:hAnsi="Calibri"/>
      <w:kern w:val="0"/>
      <w:sz w:val="18"/>
      <w:szCs w:val="20"/>
    </w:rPr>
  </w:style>
  <w:style w:type="paragraph" w:styleId="9">
    <w:name w:val="header"/>
    <w:basedOn w:val="1"/>
    <w:link w:val="20"/>
    <w:qFormat/>
    <w:uiPriority w:val="0"/>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0">
    <w:name w:val="toc 1"/>
    <w:basedOn w:val="1"/>
    <w:next w:val="1"/>
    <w:qFormat/>
    <w:uiPriority w:val="0"/>
    <w:pPr>
      <w:tabs>
        <w:tab w:val="right" w:leader="dot" w:pos="8296"/>
      </w:tabs>
      <w:spacing w:before="93"/>
      <w:jc w:val="center"/>
    </w:pPr>
    <w:rPr>
      <w:rFonts w:ascii="仿宋" w:hAnsi="仿宋" w:eastAsia="仿宋"/>
      <w:sz w:val="28"/>
      <w:szCs w:val="28"/>
    </w:rPr>
  </w:style>
  <w:style w:type="paragraph" w:styleId="11">
    <w:name w:val="toc 2"/>
    <w:basedOn w:val="1"/>
    <w:next w:val="1"/>
    <w:qFormat/>
    <w:uiPriority w:val="0"/>
    <w:pPr>
      <w:tabs>
        <w:tab w:val="right" w:leader="dot" w:pos="8296"/>
      </w:tabs>
      <w:ind w:left="420" w:leftChars="200"/>
    </w:pPr>
  </w:style>
  <w:style w:type="character" w:styleId="14">
    <w:name w:val="Strong"/>
    <w:qFormat/>
    <w:uiPriority w:val="0"/>
    <w:rPr>
      <w:rFonts w:cs="Times New Roman"/>
      <w:b/>
    </w:rPr>
  </w:style>
  <w:style w:type="character" w:styleId="15">
    <w:name w:val="Hyperlink"/>
    <w:qFormat/>
    <w:uiPriority w:val="0"/>
    <w:rPr>
      <w:rFonts w:cs="Times New Roman"/>
      <w:color w:val="0000FF"/>
      <w:u w:val="single"/>
    </w:rPr>
  </w:style>
  <w:style w:type="character" w:customStyle="1" w:styleId="16">
    <w:name w:val="Body Text Char"/>
    <w:qFormat/>
    <w:uiPriority w:val="0"/>
    <w:rPr>
      <w:rFonts w:ascii="Times New Roman" w:hAnsi="Times New Roman" w:cs="Times New Roman"/>
      <w:sz w:val="24"/>
      <w:szCs w:val="24"/>
    </w:rPr>
  </w:style>
  <w:style w:type="character" w:customStyle="1" w:styleId="17">
    <w:name w:val="标题 3 Char"/>
    <w:link w:val="4"/>
    <w:qFormat/>
    <w:uiPriority w:val="0"/>
    <w:rPr>
      <w:rFonts w:ascii="Times New Roman" w:hAnsi="Times New Roman" w:cs="Times New Roman"/>
      <w:b/>
      <w:bCs/>
      <w:kern w:val="2"/>
      <w:sz w:val="32"/>
      <w:szCs w:val="32"/>
    </w:rPr>
  </w:style>
  <w:style w:type="character" w:customStyle="1" w:styleId="18">
    <w:name w:val="批注框文本 Char"/>
    <w:link w:val="7"/>
    <w:qFormat/>
    <w:uiPriority w:val="0"/>
    <w:rPr>
      <w:rFonts w:ascii="Times New Roman" w:hAnsi="Times New Roman" w:cs="Times New Roman"/>
      <w:kern w:val="2"/>
      <w:sz w:val="18"/>
      <w:szCs w:val="18"/>
    </w:rPr>
  </w:style>
  <w:style w:type="character" w:customStyle="1" w:styleId="19">
    <w:name w:val="标题 2 Char Char"/>
    <w:link w:val="3"/>
    <w:qFormat/>
    <w:uiPriority w:val="0"/>
    <w:rPr>
      <w:rFonts w:ascii="Cambria" w:hAnsi="Cambria" w:eastAsia="宋体" w:cs="Times New Roman"/>
      <w:b/>
      <w:bCs/>
      <w:kern w:val="2"/>
      <w:sz w:val="32"/>
      <w:szCs w:val="32"/>
    </w:rPr>
  </w:style>
  <w:style w:type="character" w:customStyle="1" w:styleId="20">
    <w:name w:val="页眉 Char"/>
    <w:link w:val="9"/>
    <w:qFormat/>
    <w:uiPriority w:val="0"/>
    <w:rPr>
      <w:sz w:val="18"/>
    </w:rPr>
  </w:style>
  <w:style w:type="character" w:customStyle="1" w:styleId="21">
    <w:name w:val="四号正文 Char Char"/>
    <w:link w:val="22"/>
    <w:qFormat/>
    <w:uiPriority w:val="0"/>
    <w:rPr>
      <w:rFonts w:ascii="??" w:hAnsi="??"/>
      <w:color w:val="000000"/>
      <w:sz w:val="28"/>
      <w:szCs w:val="21"/>
    </w:rPr>
  </w:style>
  <w:style w:type="paragraph" w:customStyle="1" w:styleId="22">
    <w:name w:val="四号正文"/>
    <w:basedOn w:val="1"/>
    <w:link w:val="21"/>
    <w:qFormat/>
    <w:uiPriority w:val="0"/>
    <w:pPr>
      <w:spacing w:line="360" w:lineRule="auto"/>
    </w:pPr>
    <w:rPr>
      <w:rFonts w:ascii="??" w:hAnsi="??"/>
      <w:color w:val="000000"/>
      <w:sz w:val="28"/>
      <w:szCs w:val="21"/>
    </w:rPr>
  </w:style>
  <w:style w:type="character" w:customStyle="1" w:styleId="23">
    <w:name w:val="页脚 Char"/>
    <w:link w:val="8"/>
    <w:qFormat/>
    <w:uiPriority w:val="0"/>
    <w:rPr>
      <w:sz w:val="18"/>
    </w:rPr>
  </w:style>
  <w:style w:type="character" w:customStyle="1" w:styleId="24">
    <w:name w:val="标题 2 Char"/>
    <w:link w:val="3"/>
    <w:qFormat/>
    <w:uiPriority w:val="0"/>
    <w:rPr>
      <w:rFonts w:ascii="Cambria" w:hAnsi="Cambria" w:eastAsia="宋体" w:cs="Times New Roman"/>
      <w:b/>
      <w:bCs/>
      <w:kern w:val="2"/>
      <w:sz w:val="32"/>
      <w:szCs w:val="32"/>
    </w:rPr>
  </w:style>
  <w:style w:type="character" w:customStyle="1" w:styleId="25">
    <w:name w:val="标题 1 Char"/>
    <w:link w:val="2"/>
    <w:qFormat/>
    <w:uiPriority w:val="0"/>
    <w:rPr>
      <w:rFonts w:ascii="Times New Roman" w:hAnsi="Times New Roman" w:cs="Times New Roman"/>
      <w:b/>
      <w:bCs/>
      <w:kern w:val="44"/>
      <w:sz w:val="44"/>
      <w:szCs w:val="44"/>
    </w:rPr>
  </w:style>
  <w:style w:type="character" w:customStyle="1" w:styleId="26">
    <w:name w:val="Footer Char"/>
    <w:qFormat/>
    <w:uiPriority w:val="0"/>
    <w:rPr>
      <w:rFonts w:ascii="Times New Roman" w:hAnsi="Times New Roman" w:cs="Times New Roman"/>
      <w:sz w:val="18"/>
      <w:szCs w:val="18"/>
    </w:rPr>
  </w:style>
  <w:style w:type="character" w:customStyle="1" w:styleId="27">
    <w:name w:val="Header Char"/>
    <w:qFormat/>
    <w:uiPriority w:val="0"/>
    <w:rPr>
      <w:rFonts w:ascii="Times New Roman" w:hAnsi="Times New Roman" w:cs="Times New Roman"/>
      <w:sz w:val="18"/>
      <w:szCs w:val="18"/>
    </w:rPr>
  </w:style>
  <w:style w:type="character" w:customStyle="1" w:styleId="28">
    <w:name w:val="正文文本 Char"/>
    <w:link w:val="5"/>
    <w:qFormat/>
    <w:uiPriority w:val="0"/>
    <w:rPr>
      <w:rFonts w:ascii="仿宋_GB2312" w:hAnsi="Times New Roman" w:eastAsia="仿宋_GB2312"/>
      <w:sz w:val="24"/>
    </w:rPr>
  </w:style>
  <w:style w:type="paragraph" w:customStyle="1" w:styleId="29">
    <w:name w:val="TOC Heading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30">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31">
    <w:name w:val="列出段落1"/>
    <w:basedOn w:val="1"/>
    <w:qFormat/>
    <w:uiPriority w:val="0"/>
    <w:pPr>
      <w:ind w:firstLine="420" w:firstLineChars="200"/>
    </w:pPr>
  </w:style>
  <w:style w:type="paragraph" w:customStyle="1" w:styleId="32">
    <w:name w:val="普通(网站)1"/>
    <w:basedOn w:val="1"/>
    <w:qFormat/>
    <w:uiPriority w:val="0"/>
    <w:pPr>
      <w:widowControl/>
      <w:spacing w:before="100" w:beforeAutospacing="1" w:after="100" w:afterAutospacing="1"/>
      <w:jc w:val="left"/>
    </w:pPr>
    <w:rPr>
      <w:rFonts w:ascii="宋体" w:hAnsi="宋体" w:cs="宋体"/>
      <w:kern w:val="0"/>
      <w:sz w:val="24"/>
      <w:szCs w:val="21"/>
    </w:rPr>
  </w:style>
  <w:style w:type="paragraph" w:customStyle="1" w:styleId="33">
    <w:name w:val="〖C01〗正文"/>
    <w:basedOn w:val="1"/>
    <w:qFormat/>
    <w:uiPriority w:val="0"/>
    <w:pPr>
      <w:topLinePunct/>
      <w:spacing w:line="600" w:lineRule="exact"/>
      <w:ind w:firstLine="637" w:firstLineChars="200"/>
    </w:pPr>
    <w:rPr>
      <w:rFonts w:ascii="仿宋_GB2312" w:hAnsi="Calibri" w:eastAsia="仿宋_GB2312"/>
      <w:sz w:val="32"/>
      <w:szCs w:val="32"/>
    </w:rPr>
  </w:style>
  <w:style w:type="paragraph" w:customStyle="1" w:styleId="34">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81</Pages>
  <Words>38094</Words>
  <Characters>40324</Characters>
  <Lines>309</Lines>
  <Paragraphs>87</Paragraphs>
  <TotalTime>33</TotalTime>
  <ScaleCrop>false</ScaleCrop>
  <LinksUpToDate>false</LinksUpToDate>
  <CharactersWithSpaces>40898</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2022-04-27T16:32:00Z</dcterms:created>
  <dc:creator>曹颖</dc:creator>
  <cp:lastModifiedBy>user</cp:lastModifiedBy>
  <cp:lastPrinted>2022-04-27T16:52:00Z</cp:lastPrinted>
  <dcterms:modified xsi:type="dcterms:W3CDTF">2022-10-21T09:57:05Z</dcterms:modified>
  <dc:title>四川省***</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y fmtid="{D5CDD505-2E9C-101B-9397-08002B2CF9AE}" pid="3" name="ICV">
    <vt:lpwstr>2279A224E9374525941CF2B4EA745DC1</vt:lpwstr>
  </property>
</Properties>
</file>