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96597"/>
      <w:bookmarkStart w:id="2" w:name="_Toc15377425"/>
      <w:bookmarkStart w:id="3" w:name="_Toc15396475"/>
      <w:bookmarkStart w:id="4" w:name="_Toc15378441"/>
      <w:bookmarkStart w:id="5" w:name="_Toc15377193"/>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78442"/>
      <w:bookmarkStart w:id="7" w:name="_Toc15396476"/>
      <w:bookmarkStart w:id="8" w:name="_Toc15377426"/>
      <w:bookmarkStart w:id="9" w:name="_Toc15377194"/>
      <w:bookmarkStart w:id="10" w:name="_Toc15396598"/>
      <w:r>
        <w:rPr>
          <w:rFonts w:hint="eastAsia" w:ascii="方正小标宋简体" w:hAnsi="方正小标宋简体" w:eastAsia="方正小标宋简体" w:cs="方正小标宋简体"/>
          <w:sz w:val="72"/>
          <w:szCs w:val="72"/>
        </w:rPr>
        <w:t>四川</w:t>
      </w:r>
      <w:bookmarkEnd w:id="0"/>
      <w:bookmarkStart w:id="11" w:name="_Toc15306268"/>
      <w:r>
        <w:rPr>
          <w:rFonts w:hint="eastAsia" w:ascii="方正小标宋简体" w:hAnsi="方正小标宋简体" w:eastAsia="方正小标宋简体" w:cs="方正小标宋简体"/>
          <w:sz w:val="72"/>
          <w:szCs w:val="72"/>
          <w:lang w:eastAsia="zh-CN"/>
        </w:rPr>
        <w:t>省乐山市公安信息中心</w:t>
      </w:r>
      <w:r>
        <w:rPr>
          <w:rFonts w:hint="eastAsia" w:ascii="方正小标宋简体" w:hAnsi="方正小标宋简体" w:eastAsia="方正小标宋简体" w:cs="方正小标宋简体"/>
          <w:sz w:val="72"/>
          <w:szCs w:val="72"/>
        </w:rPr>
        <w:t>单位决算</w:t>
      </w:r>
      <w:bookmarkEnd w:id="6"/>
      <w:bookmarkEnd w:id="7"/>
      <w:bookmarkEnd w:id="8"/>
      <w:bookmarkEnd w:id="9"/>
      <w:bookmarkEnd w:id="10"/>
      <w:bookmarkEnd w:id="11"/>
    </w:p>
    <w:p>
      <w:pPr>
        <w:adjustRightInd w:val="0"/>
        <w:snapToGrid w:val="0"/>
        <w:spacing w:line="360" w:lineRule="auto"/>
        <w:jc w:val="center"/>
        <w:outlineLvl w:val="0"/>
        <w:rPr>
          <w:rFonts w:ascii="方正小标宋简体" w:hAnsi="宋体" w:eastAsia="方正小标宋简体"/>
          <w:sz w:val="52"/>
          <w:szCs w:val="52"/>
        </w:rPr>
      </w:pP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0"/>
      </w:pPr>
      <w:r>
        <w:rPr>
          <w:rFonts w:hint="eastAsia"/>
        </w:rPr>
        <w:t>公开时间：2022年9月9日</w:t>
      </w:r>
    </w:p>
    <w:p/>
    <w:p>
      <w:pPr>
        <w:pStyle w:val="10"/>
        <w:adjustRightInd w:val="0"/>
        <w:snapToGrid w:val="0"/>
        <w:spacing w:before="0" w:line="440" w:lineRule="exact"/>
        <w:jc w:val="left"/>
        <w:rPr>
          <w:rFonts w:cstheme="minorBidi"/>
          <w:sz w:val="24"/>
          <w:szCs w:val="24"/>
        </w:rPr>
      </w:pPr>
      <w:r>
        <w:rPr>
          <w:rFonts w:hint="eastAsia"/>
          <w:sz w:val="24"/>
        </w:rPr>
        <w:t>第一部分</w:t>
      </w:r>
      <w:r>
        <w:rPr>
          <w:sz w:val="24"/>
        </w:rPr>
        <w:t xml:space="preserve"> </w:t>
      </w:r>
      <w:r>
        <w:rPr>
          <w:rFonts w:hint="eastAsia"/>
          <w:sz w:val="24"/>
        </w:rPr>
        <w:t>单位概况</w:t>
      </w:r>
      <w:r>
        <w:rPr>
          <w:rFonts w:hint="eastAsia"/>
          <w:sz w:val="24"/>
          <w:lang w:val="en-US" w:eastAsia="zh-CN"/>
        </w:rPr>
        <w:t>-----------------------------------------  4</w:t>
      </w:r>
    </w:p>
    <w:p>
      <w:pPr>
        <w:pStyle w:val="11"/>
        <w:adjustRightInd w:val="0"/>
        <w:snapToGrid w:val="0"/>
        <w:spacing w:line="440" w:lineRule="exact"/>
        <w:jc w:val="left"/>
        <w:rPr>
          <w:sz w:val="24"/>
        </w:rPr>
      </w:pPr>
      <w:r>
        <w:rPr>
          <w:rFonts w:hint="eastAsia"/>
          <w:sz w:val="24"/>
        </w:rPr>
        <w:t>一、职能简介</w:t>
      </w:r>
      <w:r>
        <w:rPr>
          <w:rFonts w:hint="eastAsia"/>
          <w:sz w:val="24"/>
          <w:lang w:val="en-US" w:eastAsia="zh-CN"/>
        </w:rPr>
        <w:t>----------------------------------------------------------------  4</w:t>
      </w:r>
    </w:p>
    <w:p>
      <w:pPr>
        <w:pStyle w:val="11"/>
        <w:adjustRightInd w:val="0"/>
        <w:snapToGrid w:val="0"/>
        <w:spacing w:line="44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二、2021年重点工作完成情况</w:t>
      </w:r>
      <w:r>
        <w:rPr>
          <w:rFonts w:hint="eastAsia" w:asciiTheme="minorEastAsia" w:hAnsiTheme="minorEastAsia" w:eastAsiaTheme="minorEastAsia" w:cstheme="minorEastAsia"/>
          <w:sz w:val="24"/>
          <w:lang w:val="en-US" w:eastAsia="zh-CN"/>
        </w:rPr>
        <w:t>----------------------------  4</w:t>
      </w:r>
    </w:p>
    <w:p>
      <w:pPr>
        <w:pStyle w:val="10"/>
        <w:adjustRightInd w:val="0"/>
        <w:snapToGrid w:val="0"/>
        <w:spacing w:before="0" w:line="440" w:lineRule="exact"/>
        <w:jc w:val="left"/>
        <w:rPr>
          <w:sz w:val="24"/>
          <w:szCs w:val="24"/>
        </w:rPr>
      </w:pPr>
      <w:r>
        <w:rPr>
          <w:rFonts w:hint="eastAsia"/>
          <w:sz w:val="24"/>
        </w:rPr>
        <w:t>第二部分 2021年度单位决算情况说明</w:t>
      </w:r>
      <w:r>
        <w:rPr>
          <w:rFonts w:hint="eastAsia"/>
          <w:sz w:val="24"/>
          <w:lang w:val="en-US" w:eastAsia="zh-CN"/>
        </w:rPr>
        <w:t>------------------------   5</w:t>
      </w:r>
    </w:p>
    <w:p>
      <w:pPr>
        <w:pStyle w:val="11"/>
        <w:adjustRightInd w:val="0"/>
        <w:snapToGrid w:val="0"/>
        <w:spacing w:line="440" w:lineRule="exact"/>
        <w:jc w:val="left"/>
        <w:rPr>
          <w:rFonts w:ascii="仿宋" w:hAnsi="仿宋" w:eastAsia="仿宋" w:cstheme="minorBidi"/>
          <w:sz w:val="24"/>
        </w:rPr>
      </w:pPr>
      <w:r>
        <w:rPr>
          <w:rFonts w:hint="eastAsia"/>
          <w:sz w:val="24"/>
        </w:rPr>
        <w:t>一、收入支出决算总体情况说明</w:t>
      </w:r>
      <w:r>
        <w:rPr>
          <w:rFonts w:hint="eastAsia"/>
          <w:sz w:val="24"/>
          <w:lang w:val="en-US" w:eastAsia="zh-CN"/>
        </w:rPr>
        <w:t>-----------------------------------------  5</w:t>
      </w:r>
    </w:p>
    <w:p>
      <w:pPr>
        <w:pStyle w:val="11"/>
        <w:adjustRightInd w:val="0"/>
        <w:snapToGrid w:val="0"/>
        <w:spacing w:line="440" w:lineRule="exact"/>
        <w:jc w:val="left"/>
        <w:rPr>
          <w:rFonts w:ascii="仿宋" w:hAnsi="仿宋" w:eastAsia="仿宋" w:cstheme="minorBidi"/>
          <w:sz w:val="24"/>
        </w:rPr>
      </w:pPr>
      <w:r>
        <w:rPr>
          <w:rFonts w:hint="eastAsia"/>
          <w:sz w:val="24"/>
        </w:rPr>
        <w:t>二、收入决算情况说明</w:t>
      </w:r>
      <w:r>
        <w:rPr>
          <w:rFonts w:hint="eastAsia"/>
          <w:sz w:val="24"/>
          <w:lang w:val="en-US" w:eastAsia="zh-CN"/>
        </w:rPr>
        <w:t>-----------------------------------------------------  6</w:t>
      </w:r>
    </w:p>
    <w:p>
      <w:pPr>
        <w:pStyle w:val="11"/>
        <w:adjustRightInd w:val="0"/>
        <w:snapToGrid w:val="0"/>
        <w:spacing w:line="440" w:lineRule="exact"/>
        <w:jc w:val="left"/>
        <w:rPr>
          <w:rFonts w:ascii="仿宋" w:hAnsi="仿宋" w:eastAsia="仿宋" w:cstheme="minorBidi"/>
          <w:sz w:val="24"/>
        </w:rPr>
      </w:pPr>
      <w:r>
        <w:rPr>
          <w:rFonts w:hint="eastAsia"/>
          <w:sz w:val="24"/>
        </w:rPr>
        <w:t>三、支出决算情况说明</w:t>
      </w:r>
      <w:r>
        <w:rPr>
          <w:rFonts w:hint="eastAsia"/>
          <w:sz w:val="24"/>
          <w:lang w:val="en-US" w:eastAsia="zh-CN"/>
        </w:rPr>
        <w:t>-----------------------------------------------------  6</w:t>
      </w:r>
    </w:p>
    <w:p>
      <w:pPr>
        <w:pStyle w:val="11"/>
        <w:adjustRightInd w:val="0"/>
        <w:snapToGrid w:val="0"/>
        <w:spacing w:line="440" w:lineRule="exact"/>
        <w:jc w:val="left"/>
        <w:rPr>
          <w:rFonts w:ascii="仿宋" w:hAnsi="仿宋" w:eastAsia="仿宋" w:cstheme="minorBidi"/>
          <w:sz w:val="24"/>
        </w:rPr>
      </w:pPr>
      <w:r>
        <w:rPr>
          <w:rFonts w:hint="eastAsia"/>
          <w:sz w:val="24"/>
        </w:rPr>
        <w:t>四、财政拨款收入支出决算总体情况说明</w:t>
      </w:r>
      <w:r>
        <w:rPr>
          <w:rFonts w:hint="eastAsia"/>
          <w:sz w:val="24"/>
          <w:lang w:val="en-US" w:eastAsia="zh-CN"/>
        </w:rPr>
        <w:t>-----------------------------  7</w:t>
      </w:r>
    </w:p>
    <w:p>
      <w:pPr>
        <w:pStyle w:val="11"/>
        <w:adjustRightInd w:val="0"/>
        <w:snapToGrid w:val="0"/>
        <w:spacing w:line="440" w:lineRule="exact"/>
        <w:jc w:val="left"/>
        <w:rPr>
          <w:rFonts w:ascii="仿宋" w:hAnsi="仿宋" w:eastAsia="仿宋" w:cstheme="minorBidi"/>
          <w:sz w:val="24"/>
        </w:rPr>
      </w:pPr>
      <w:r>
        <w:rPr>
          <w:rFonts w:hint="eastAsia"/>
          <w:sz w:val="24"/>
        </w:rPr>
        <w:t>五、一般公共预算财政拨款支出决算情况说明</w:t>
      </w:r>
      <w:r>
        <w:rPr>
          <w:rFonts w:hint="eastAsia"/>
          <w:sz w:val="24"/>
          <w:lang w:val="en-US" w:eastAsia="zh-CN"/>
        </w:rPr>
        <w:t>-----------------------  8</w:t>
      </w:r>
    </w:p>
    <w:p>
      <w:pPr>
        <w:pStyle w:val="11"/>
        <w:adjustRightInd w:val="0"/>
        <w:snapToGrid w:val="0"/>
        <w:spacing w:line="440" w:lineRule="exact"/>
        <w:jc w:val="left"/>
        <w:rPr>
          <w:rFonts w:ascii="仿宋" w:hAnsi="仿宋" w:eastAsia="仿宋" w:cstheme="minorBidi"/>
          <w:sz w:val="24"/>
        </w:rPr>
      </w:pPr>
      <w:r>
        <w:rPr>
          <w:rFonts w:hint="eastAsia"/>
          <w:sz w:val="24"/>
        </w:rPr>
        <w:t>六、一般公共预算财政拨款基本支出决算情况说明</w:t>
      </w:r>
      <w:r>
        <w:rPr>
          <w:rFonts w:hint="eastAsia"/>
          <w:sz w:val="24"/>
          <w:lang w:val="en-US" w:eastAsia="zh-CN"/>
        </w:rPr>
        <w:t>-----------------  10</w:t>
      </w:r>
    </w:p>
    <w:p>
      <w:pPr>
        <w:pStyle w:val="11"/>
        <w:adjustRightInd w:val="0"/>
        <w:snapToGrid w:val="0"/>
        <w:spacing w:line="440" w:lineRule="exact"/>
        <w:jc w:val="left"/>
        <w:rPr>
          <w:rFonts w:ascii="仿宋" w:hAnsi="仿宋" w:eastAsia="仿宋" w:cstheme="minorBidi"/>
          <w:sz w:val="24"/>
        </w:rPr>
      </w:pPr>
      <w:r>
        <w:rPr>
          <w:rFonts w:hint="eastAsia"/>
          <w:sz w:val="24"/>
        </w:rPr>
        <w:t>七、“三公”经费财政拨款支出决算情况说明</w:t>
      </w:r>
      <w:r>
        <w:rPr>
          <w:rFonts w:hint="eastAsia"/>
          <w:sz w:val="24"/>
          <w:lang w:val="en-US" w:eastAsia="zh-CN"/>
        </w:rPr>
        <w:t>------------------------  10</w:t>
      </w:r>
    </w:p>
    <w:p>
      <w:pPr>
        <w:pStyle w:val="11"/>
        <w:adjustRightInd w:val="0"/>
        <w:snapToGrid w:val="0"/>
        <w:spacing w:line="440" w:lineRule="exact"/>
        <w:jc w:val="left"/>
        <w:rPr>
          <w:rFonts w:ascii="仿宋" w:hAnsi="仿宋" w:eastAsia="仿宋" w:cstheme="minorBidi"/>
          <w:sz w:val="24"/>
        </w:rPr>
      </w:pPr>
      <w:r>
        <w:rPr>
          <w:rFonts w:hint="eastAsia"/>
          <w:sz w:val="24"/>
        </w:rPr>
        <w:t>八、政府性基金预算支出决算情况说明</w:t>
      </w:r>
      <w:r>
        <w:rPr>
          <w:rFonts w:hint="eastAsia"/>
          <w:sz w:val="24"/>
          <w:lang w:val="en-US" w:eastAsia="zh-CN"/>
        </w:rPr>
        <w:t>--------------------------------  11</w:t>
      </w:r>
    </w:p>
    <w:p>
      <w:pPr>
        <w:pStyle w:val="11"/>
        <w:adjustRightInd w:val="0"/>
        <w:snapToGrid w:val="0"/>
        <w:spacing w:line="440" w:lineRule="exact"/>
        <w:jc w:val="left"/>
        <w:rPr>
          <w:sz w:val="24"/>
        </w:rPr>
      </w:pPr>
      <w:r>
        <w:rPr>
          <w:rFonts w:hint="eastAsia"/>
          <w:sz w:val="24"/>
        </w:rPr>
        <w:t>九、国有资本经营预算支出决算情况说明</w:t>
      </w:r>
      <w:r>
        <w:rPr>
          <w:rFonts w:hint="eastAsia"/>
          <w:sz w:val="24"/>
          <w:lang w:val="en-US" w:eastAsia="zh-CN"/>
        </w:rPr>
        <w:t>-----------------------------  12</w:t>
      </w:r>
    </w:p>
    <w:p>
      <w:pPr>
        <w:pStyle w:val="11"/>
        <w:adjustRightInd w:val="0"/>
        <w:snapToGrid w:val="0"/>
        <w:spacing w:line="440" w:lineRule="exact"/>
        <w:jc w:val="left"/>
        <w:rPr>
          <w:sz w:val="24"/>
        </w:rPr>
      </w:pPr>
      <w:r>
        <w:rPr>
          <w:rFonts w:hint="eastAsia"/>
          <w:sz w:val="24"/>
        </w:rPr>
        <w:t>十、其他重要事项的情况说明</w:t>
      </w:r>
      <w:r>
        <w:rPr>
          <w:rFonts w:hint="eastAsia"/>
          <w:sz w:val="24"/>
          <w:lang w:val="en-US" w:eastAsia="zh-CN"/>
        </w:rPr>
        <w:t>--------------------------------------------  12</w:t>
      </w:r>
    </w:p>
    <w:p>
      <w:pPr>
        <w:pStyle w:val="10"/>
        <w:adjustRightInd w:val="0"/>
        <w:snapToGrid w:val="0"/>
        <w:spacing w:before="0" w:line="440" w:lineRule="exact"/>
        <w:jc w:val="left"/>
        <w:rPr>
          <w:rFonts w:cstheme="minorBidi"/>
          <w:sz w:val="24"/>
          <w:szCs w:val="24"/>
        </w:rPr>
      </w:pPr>
      <w:r>
        <w:rPr>
          <w:rFonts w:hint="eastAsia"/>
          <w:sz w:val="24"/>
        </w:rPr>
        <w:t>第三部分</w:t>
      </w:r>
      <w:r>
        <w:rPr>
          <w:sz w:val="24"/>
        </w:rPr>
        <w:t xml:space="preserve"> </w:t>
      </w:r>
      <w:r>
        <w:rPr>
          <w:rFonts w:hint="eastAsia"/>
          <w:sz w:val="24"/>
        </w:rPr>
        <w:t>名词解释</w:t>
      </w:r>
      <w:r>
        <w:rPr>
          <w:rFonts w:hint="eastAsia"/>
          <w:sz w:val="24"/>
          <w:lang w:val="en-US" w:eastAsia="zh-CN"/>
        </w:rPr>
        <w:t>------------------------------------------  13</w:t>
      </w:r>
    </w:p>
    <w:p>
      <w:pPr>
        <w:pStyle w:val="10"/>
        <w:adjustRightInd w:val="0"/>
        <w:snapToGrid w:val="0"/>
        <w:spacing w:before="0" w:line="440" w:lineRule="exact"/>
        <w:jc w:val="left"/>
        <w:rPr>
          <w:rFonts w:cstheme="minorBidi"/>
          <w:sz w:val="24"/>
          <w:szCs w:val="24"/>
        </w:rPr>
      </w:pPr>
      <w:r>
        <w:rPr>
          <w:rFonts w:hint="eastAsia"/>
          <w:sz w:val="24"/>
        </w:rPr>
        <w:t>第四部分</w:t>
      </w:r>
      <w:r>
        <w:rPr>
          <w:sz w:val="24"/>
        </w:rPr>
        <w:t xml:space="preserve"> </w:t>
      </w:r>
      <w:r>
        <w:rPr>
          <w:rFonts w:hint="eastAsia"/>
          <w:sz w:val="24"/>
        </w:rPr>
        <w:t>附件</w:t>
      </w:r>
      <w:r>
        <w:rPr>
          <w:rFonts w:hint="eastAsia"/>
          <w:sz w:val="24"/>
          <w:lang w:val="en-US" w:eastAsia="zh-CN"/>
        </w:rPr>
        <w:t>----------------------------------------------  14</w:t>
      </w:r>
    </w:p>
    <w:p>
      <w:pPr>
        <w:pStyle w:val="10"/>
        <w:adjustRightInd w:val="0"/>
        <w:snapToGrid w:val="0"/>
        <w:spacing w:before="0" w:line="440" w:lineRule="exact"/>
        <w:jc w:val="left"/>
        <w:rPr>
          <w:rFonts w:cstheme="minorBidi"/>
          <w:sz w:val="24"/>
          <w:szCs w:val="24"/>
        </w:rPr>
      </w:pPr>
      <w:r>
        <w:rPr>
          <w:rFonts w:hint="eastAsia"/>
          <w:sz w:val="24"/>
        </w:rPr>
        <w:t>第五部分</w:t>
      </w:r>
      <w:r>
        <w:rPr>
          <w:sz w:val="24"/>
        </w:rPr>
        <w:t xml:space="preserve"> </w:t>
      </w:r>
      <w:r>
        <w:rPr>
          <w:rFonts w:hint="eastAsia"/>
          <w:sz w:val="24"/>
        </w:rPr>
        <w:t>附表</w:t>
      </w:r>
      <w:r>
        <w:rPr>
          <w:rFonts w:hint="eastAsia"/>
          <w:sz w:val="24"/>
          <w:lang w:val="en-US" w:eastAsia="zh-CN"/>
        </w:rPr>
        <w:t>----------------------------------------------  15</w:t>
      </w:r>
    </w:p>
    <w:p>
      <w:pPr>
        <w:pStyle w:val="11"/>
        <w:adjustRightInd w:val="0"/>
        <w:snapToGrid w:val="0"/>
        <w:spacing w:line="440" w:lineRule="exact"/>
        <w:jc w:val="left"/>
        <w:rPr>
          <w:sz w:val="24"/>
        </w:rPr>
      </w:pPr>
      <w:r>
        <w:rPr>
          <w:rFonts w:hint="eastAsia"/>
          <w:sz w:val="24"/>
        </w:rPr>
        <w:t>一、收入支出决算总表</w:t>
      </w:r>
      <w:r>
        <w:rPr>
          <w:rFonts w:hint="eastAsia"/>
          <w:sz w:val="24"/>
          <w:lang w:val="en-US" w:eastAsia="zh-CN"/>
        </w:rPr>
        <w:t>-----------------------------------------------------  16</w:t>
      </w:r>
    </w:p>
    <w:p>
      <w:pPr>
        <w:pStyle w:val="11"/>
        <w:adjustRightInd w:val="0"/>
        <w:snapToGrid w:val="0"/>
        <w:spacing w:line="440" w:lineRule="exact"/>
        <w:jc w:val="left"/>
        <w:rPr>
          <w:sz w:val="24"/>
        </w:rPr>
      </w:pPr>
      <w:r>
        <w:rPr>
          <w:rFonts w:hint="eastAsia"/>
          <w:sz w:val="24"/>
        </w:rPr>
        <w:t>二、收入决算表</w:t>
      </w:r>
      <w:r>
        <w:rPr>
          <w:rFonts w:hint="eastAsia"/>
          <w:sz w:val="24"/>
          <w:lang w:val="en-US" w:eastAsia="zh-CN"/>
        </w:rPr>
        <w:t>--------------------------------------------------------------  17</w:t>
      </w:r>
    </w:p>
    <w:p>
      <w:pPr>
        <w:pStyle w:val="11"/>
        <w:adjustRightInd w:val="0"/>
        <w:snapToGrid w:val="0"/>
        <w:spacing w:line="440" w:lineRule="exact"/>
        <w:jc w:val="left"/>
        <w:rPr>
          <w:sz w:val="24"/>
        </w:rPr>
      </w:pPr>
      <w:r>
        <w:rPr>
          <w:rFonts w:hint="eastAsia"/>
          <w:sz w:val="24"/>
        </w:rPr>
        <w:t>三、支出决算表</w:t>
      </w:r>
      <w:r>
        <w:rPr>
          <w:rFonts w:hint="eastAsia"/>
          <w:sz w:val="24"/>
          <w:lang w:val="en-US" w:eastAsia="zh-CN"/>
        </w:rPr>
        <w:t>-------------------------------------------------------------   18</w:t>
      </w:r>
    </w:p>
    <w:p>
      <w:pPr>
        <w:pStyle w:val="11"/>
        <w:adjustRightInd w:val="0"/>
        <w:snapToGrid w:val="0"/>
        <w:spacing w:line="440" w:lineRule="exact"/>
        <w:jc w:val="left"/>
        <w:rPr>
          <w:sz w:val="24"/>
        </w:rPr>
      </w:pPr>
      <w:r>
        <w:rPr>
          <w:rFonts w:hint="eastAsia"/>
          <w:sz w:val="24"/>
        </w:rPr>
        <w:t>四、财政拨款收入支出决算总表</w:t>
      </w:r>
      <w:r>
        <w:rPr>
          <w:rFonts w:hint="eastAsia"/>
          <w:sz w:val="24"/>
          <w:lang w:val="en-US" w:eastAsia="zh-CN"/>
        </w:rPr>
        <w:t>----------------------------------------   19</w:t>
      </w:r>
    </w:p>
    <w:p>
      <w:pPr>
        <w:pStyle w:val="11"/>
        <w:adjustRightInd w:val="0"/>
        <w:snapToGrid w:val="0"/>
        <w:spacing w:line="440" w:lineRule="exact"/>
        <w:jc w:val="left"/>
        <w:rPr>
          <w:sz w:val="24"/>
        </w:rPr>
      </w:pPr>
      <w:r>
        <w:rPr>
          <w:rFonts w:hint="eastAsia"/>
          <w:sz w:val="24"/>
        </w:rPr>
        <w:t>五、财政拨款支出决算明细表</w:t>
      </w:r>
      <w:r>
        <w:rPr>
          <w:rFonts w:hint="eastAsia"/>
          <w:sz w:val="24"/>
          <w:lang w:val="en-US" w:eastAsia="zh-CN"/>
        </w:rPr>
        <w:t>-------------------------------------------   20</w:t>
      </w:r>
    </w:p>
    <w:p>
      <w:pPr>
        <w:pStyle w:val="11"/>
        <w:adjustRightInd w:val="0"/>
        <w:snapToGrid w:val="0"/>
        <w:spacing w:line="440" w:lineRule="exact"/>
        <w:jc w:val="left"/>
        <w:rPr>
          <w:sz w:val="24"/>
        </w:rPr>
      </w:pPr>
      <w:r>
        <w:rPr>
          <w:rFonts w:hint="eastAsia"/>
          <w:sz w:val="24"/>
        </w:rPr>
        <w:t>六、一般公共预算财政拨款支出决算表</w:t>
      </w:r>
      <w:r>
        <w:rPr>
          <w:rFonts w:hint="eastAsia"/>
          <w:sz w:val="24"/>
          <w:lang w:val="en-US" w:eastAsia="zh-CN"/>
        </w:rPr>
        <w:t>-------------------------------   21</w:t>
      </w:r>
    </w:p>
    <w:p>
      <w:pPr>
        <w:pStyle w:val="11"/>
        <w:adjustRightInd w:val="0"/>
        <w:snapToGrid w:val="0"/>
        <w:spacing w:line="440" w:lineRule="exact"/>
        <w:jc w:val="left"/>
        <w:rPr>
          <w:sz w:val="24"/>
        </w:rPr>
      </w:pPr>
      <w:r>
        <w:rPr>
          <w:rFonts w:hint="eastAsia"/>
          <w:sz w:val="24"/>
        </w:rPr>
        <w:t>七、一般公共预算财政拨款支出决算明细表</w:t>
      </w:r>
      <w:r>
        <w:rPr>
          <w:rFonts w:hint="eastAsia"/>
          <w:sz w:val="24"/>
          <w:lang w:val="en-US" w:eastAsia="zh-CN"/>
        </w:rPr>
        <w:t>-------------------------   22</w:t>
      </w:r>
    </w:p>
    <w:p>
      <w:pPr>
        <w:pStyle w:val="11"/>
        <w:adjustRightInd w:val="0"/>
        <w:snapToGrid w:val="0"/>
        <w:spacing w:line="440" w:lineRule="exact"/>
        <w:jc w:val="left"/>
        <w:rPr>
          <w:sz w:val="24"/>
        </w:rPr>
      </w:pPr>
      <w:r>
        <w:rPr>
          <w:rFonts w:hint="eastAsia"/>
          <w:sz w:val="24"/>
        </w:rPr>
        <w:t>八、一般公共预算财政拨款基本支出决算表</w:t>
      </w:r>
      <w:r>
        <w:rPr>
          <w:rFonts w:hint="eastAsia"/>
          <w:sz w:val="24"/>
          <w:lang w:val="en-US" w:eastAsia="zh-CN"/>
        </w:rPr>
        <w:t>-------------------------   23</w:t>
      </w:r>
    </w:p>
    <w:p>
      <w:pPr>
        <w:pStyle w:val="11"/>
        <w:adjustRightInd w:val="0"/>
        <w:snapToGrid w:val="0"/>
        <w:spacing w:line="440" w:lineRule="exact"/>
        <w:jc w:val="left"/>
        <w:rPr>
          <w:sz w:val="24"/>
        </w:rPr>
      </w:pPr>
      <w:r>
        <w:rPr>
          <w:rFonts w:hint="eastAsia"/>
          <w:sz w:val="24"/>
        </w:rPr>
        <w:t>九、一般公共预算财政拨款项目支出决算表</w:t>
      </w:r>
      <w:r>
        <w:rPr>
          <w:rFonts w:hint="eastAsia"/>
          <w:sz w:val="24"/>
          <w:lang w:val="en-US" w:eastAsia="zh-CN"/>
        </w:rPr>
        <w:t>-------------------------   24</w:t>
      </w:r>
    </w:p>
    <w:p>
      <w:pPr>
        <w:pStyle w:val="11"/>
        <w:adjustRightInd w:val="0"/>
        <w:snapToGrid w:val="0"/>
        <w:spacing w:line="440" w:lineRule="exact"/>
        <w:jc w:val="left"/>
        <w:rPr>
          <w:sz w:val="24"/>
        </w:rPr>
      </w:pPr>
      <w:r>
        <w:rPr>
          <w:rFonts w:hint="eastAsia"/>
          <w:sz w:val="24"/>
        </w:rPr>
        <w:t>十、一般公共预算财政拨款“三公”经费支出决算表</w:t>
      </w:r>
      <w:r>
        <w:rPr>
          <w:rFonts w:hint="eastAsia"/>
          <w:sz w:val="24"/>
          <w:lang w:val="en-US" w:eastAsia="zh-CN"/>
        </w:rPr>
        <w:t>--------------  25</w:t>
      </w:r>
    </w:p>
    <w:p>
      <w:pPr>
        <w:pStyle w:val="11"/>
        <w:adjustRightInd w:val="0"/>
        <w:snapToGrid w:val="0"/>
        <w:spacing w:line="440" w:lineRule="exact"/>
        <w:jc w:val="left"/>
        <w:rPr>
          <w:sz w:val="24"/>
        </w:rPr>
      </w:pPr>
      <w:r>
        <w:rPr>
          <w:rFonts w:hint="eastAsia"/>
          <w:sz w:val="24"/>
        </w:rPr>
        <w:t>十一、政府性基金预算财政拨款收入支出决算表</w:t>
      </w:r>
      <w:r>
        <w:rPr>
          <w:rFonts w:hint="eastAsia"/>
          <w:sz w:val="24"/>
          <w:lang w:val="en-US" w:eastAsia="zh-CN"/>
        </w:rPr>
        <w:t>-------------------   26</w:t>
      </w:r>
    </w:p>
    <w:p>
      <w:pPr>
        <w:pStyle w:val="11"/>
        <w:adjustRightInd w:val="0"/>
        <w:snapToGrid w:val="0"/>
        <w:spacing w:line="440" w:lineRule="exact"/>
        <w:jc w:val="left"/>
        <w:rPr>
          <w:sz w:val="24"/>
        </w:rPr>
      </w:pPr>
      <w:r>
        <w:rPr>
          <w:rFonts w:hint="eastAsia"/>
          <w:sz w:val="24"/>
        </w:rPr>
        <w:t>十二、政府性基金预算财政拨款“三公”经费支出决算表</w:t>
      </w:r>
      <w:r>
        <w:rPr>
          <w:rFonts w:hint="eastAsia"/>
          <w:sz w:val="24"/>
          <w:lang w:val="en-US" w:eastAsia="zh-CN"/>
        </w:rPr>
        <w:t>-------   27</w:t>
      </w:r>
    </w:p>
    <w:p>
      <w:pPr>
        <w:pStyle w:val="11"/>
        <w:adjustRightInd w:val="0"/>
        <w:snapToGrid w:val="0"/>
        <w:spacing w:line="440" w:lineRule="exact"/>
        <w:jc w:val="left"/>
        <w:rPr>
          <w:sz w:val="24"/>
        </w:rPr>
      </w:pPr>
      <w:r>
        <w:rPr>
          <w:rFonts w:hint="eastAsia"/>
          <w:sz w:val="24"/>
        </w:rPr>
        <w:t>十三、国有资本经营预算财政拨款收入支出决算表</w:t>
      </w:r>
      <w:r>
        <w:rPr>
          <w:rFonts w:hint="eastAsia"/>
          <w:sz w:val="24"/>
          <w:lang w:val="en-US" w:eastAsia="zh-CN"/>
        </w:rPr>
        <w:t>----------------   28</w:t>
      </w:r>
    </w:p>
    <w:p>
      <w:pPr>
        <w:pStyle w:val="11"/>
        <w:adjustRightInd w:val="0"/>
        <w:snapToGrid w:val="0"/>
        <w:spacing w:line="440" w:lineRule="exact"/>
        <w:jc w:val="left"/>
        <w:rPr>
          <w:sz w:val="24"/>
        </w:rPr>
      </w:pPr>
      <w:r>
        <w:rPr>
          <w:rFonts w:hint="eastAsia"/>
          <w:sz w:val="24"/>
        </w:rPr>
        <w:t>十四、国有资本经营预算财政拨款支出决算表</w:t>
      </w:r>
      <w:r>
        <w:rPr>
          <w:rFonts w:hint="eastAsia"/>
          <w:sz w:val="24"/>
          <w:lang w:val="en-US" w:eastAsia="zh-CN"/>
        </w:rPr>
        <w:t>----------------------   29</w:t>
      </w:r>
    </w:p>
    <w:p>
      <w:pPr>
        <w:widowControl/>
        <w:adjustRightInd w:val="0"/>
        <w:snapToGrid w:val="0"/>
        <w:spacing w:line="440" w:lineRule="exact"/>
        <w:ind w:firstLine="1320" w:firstLineChars="550"/>
        <w:jc w:val="left"/>
        <w:rPr>
          <w:rFonts w:ascii="仿宋" w:hAnsi="仿宋" w:eastAsia="仿宋"/>
          <w:sz w:val="24"/>
        </w:rPr>
      </w:pPr>
    </w:p>
    <w:p>
      <w:pPr>
        <w:widowControl/>
        <w:spacing w:line="440" w:lineRule="exact"/>
        <w:jc w:val="left"/>
        <w:rPr>
          <w:rFonts w:ascii="仿宋" w:hAnsi="仿宋" w:eastAsia="仿宋"/>
          <w:bCs/>
          <w:kern w:val="44"/>
          <w:sz w:val="24"/>
        </w:rPr>
      </w:pPr>
      <w:bookmarkStart w:id="12" w:name="_Toc15396599"/>
      <w:bookmarkStart w:id="13" w:name="_Toc15377196"/>
      <w:r>
        <w:rPr>
          <w:rFonts w:ascii="仿宋" w:hAnsi="仿宋" w:eastAsia="仿宋"/>
          <w:b/>
          <w:sz w:val="24"/>
        </w:rPr>
        <w:br w:type="page"/>
      </w:r>
    </w:p>
    <w:p>
      <w:pPr>
        <w:pStyle w:val="3"/>
        <w:pageBreakBefore w:val="0"/>
        <w:kinsoku/>
        <w:overflowPunct/>
        <w:topLinePunct w:val="0"/>
        <w:autoSpaceDN/>
        <w:bidi w:val="0"/>
        <w:adjustRightInd/>
        <w:snapToGrid/>
        <w:spacing w:before="0" w:after="0" w:line="600" w:lineRule="exact"/>
        <w:ind w:left="0" w:leftChars="0" w:right="0" w:rightChars="0"/>
        <w:jc w:val="center"/>
        <w:textAlignment w:val="auto"/>
        <w:rPr>
          <w:rStyle w:val="25"/>
          <w:rFonts w:ascii="黑体" w:hAnsi="黑体" w:eastAsia="黑体"/>
          <w:b/>
          <w:bCs w:val="0"/>
        </w:rPr>
      </w:pPr>
      <w:r>
        <w:rPr>
          <w:rFonts w:hint="eastAsia" w:ascii="黑体" w:hAnsi="黑体" w:eastAsia="黑体"/>
          <w:b w:val="0"/>
        </w:rPr>
        <w:t>第一部分 单位</w:t>
      </w:r>
      <w:r>
        <w:rPr>
          <w:rStyle w:val="25"/>
          <w:rFonts w:hint="eastAsia" w:ascii="黑体" w:hAnsi="黑体" w:eastAsia="黑体"/>
          <w:b w:val="0"/>
          <w:bCs w:val="0"/>
        </w:rPr>
        <w:t>概况</w:t>
      </w:r>
      <w:bookmarkEnd w:id="12"/>
      <w:bookmarkEnd w:id="13"/>
    </w:p>
    <w:p>
      <w:pPr>
        <w:pStyle w:val="4"/>
        <w:pageBreakBefore w:val="0"/>
        <w:numPr>
          <w:ilvl w:val="0"/>
          <w:numId w:val="1"/>
        </w:numPr>
        <w:kinsoku/>
        <w:overflowPunct/>
        <w:topLinePunct w:val="0"/>
        <w:autoSpaceDN/>
        <w:bidi w:val="0"/>
        <w:adjustRightInd/>
        <w:snapToGrid/>
        <w:spacing w:before="0" w:after="0" w:line="600" w:lineRule="exact"/>
        <w:ind w:left="0" w:leftChars="0" w:right="0" w:rightChars="0"/>
        <w:textAlignment w:val="auto"/>
      </w:pPr>
      <w:bookmarkStart w:id="14" w:name="_Toc15396600"/>
      <w:bookmarkStart w:id="15" w:name="_Toc15377197"/>
      <w:r>
        <w:rPr>
          <w:rStyle w:val="26"/>
          <w:rFonts w:hint="eastAsia" w:ascii="黑体" w:hAnsi="黑体" w:eastAsia="黑体"/>
          <w:b w:val="0"/>
          <w:bCs w:val="0"/>
        </w:rPr>
        <w:t>职能简介</w:t>
      </w:r>
    </w:p>
    <w:p>
      <w:pPr>
        <w:pageBreakBefore w:val="0"/>
        <w:numPr>
          <w:ilvl w:val="0"/>
          <w:numId w:val="0"/>
        </w:numPr>
        <w:kinsoku/>
        <w:overflowPunct/>
        <w:topLinePunct w:val="0"/>
        <w:autoSpaceDN/>
        <w:bidi w:val="0"/>
        <w:adjustRightInd/>
        <w:snapToGrid/>
        <w:spacing w:line="600" w:lineRule="exact"/>
        <w:ind w:left="0" w:leftChars="0" w:right="0" w:rightChars="0" w:firstLine="640" w:firstLineChars="200"/>
        <w:textAlignment w:val="auto"/>
        <w:rPr>
          <w:rFonts w:hint="eastAsia"/>
          <w:sz w:val="32"/>
          <w:szCs w:val="32"/>
          <w:lang w:val="en-US" w:eastAsia="zh-CN"/>
        </w:rPr>
      </w:pPr>
      <w:r>
        <w:rPr>
          <w:rFonts w:hint="eastAsia"/>
          <w:sz w:val="32"/>
          <w:szCs w:val="32"/>
          <w:lang w:val="en-US" w:eastAsia="zh-CN"/>
        </w:rPr>
        <w:t>乐山市公安信息中心是乐山市公安局下属的公益一类正科级事业单位，编制10人，实有人数10人,无内设机构。</w:t>
      </w:r>
      <w:bookmarkStart w:id="67" w:name="_GoBack"/>
      <w:bookmarkEnd w:id="67"/>
      <w:r>
        <w:rPr>
          <w:rFonts w:hint="eastAsia"/>
          <w:sz w:val="32"/>
          <w:szCs w:val="32"/>
          <w:lang w:val="en-US" w:eastAsia="zh-CN"/>
        </w:rPr>
        <w:t>主要负责全市第二代居民身份证件信息的采集、核对、修正，上传和反馈人口信息，领取分发证件，系统的管理和维护；负责全市范围内的公安信息通讯网络和设备的运行维护和管理，为各类业务应用提供网络传输及系统运行平台；负责本级公安机关各类计算机系统运行管理和数据备份；负责应用数据库的整合及综合开发利用与信息服务；负责承担公安机关部分应用系统和办公应用软件的开发；负责公安信息通信网络身份认证和授权访问控制系统的运行管理及网络与信息安全运行的监测。</w:t>
      </w:r>
    </w:p>
    <w:p>
      <w:pPr>
        <w:pStyle w:val="4"/>
        <w:pageBreakBefore w:val="0"/>
        <w:kinsoku/>
        <w:overflowPunct/>
        <w:topLinePunct w:val="0"/>
        <w:autoSpaceDN/>
        <w:bidi w:val="0"/>
        <w:adjustRightInd/>
        <w:snapToGrid/>
        <w:spacing w:before="0" w:after="0" w:line="600" w:lineRule="exact"/>
        <w:ind w:left="0" w:leftChars="0" w:right="0" w:rightChars="0"/>
        <w:textAlignment w:val="auto"/>
        <w:rPr>
          <w:rFonts w:ascii="黑体" w:hAnsi="黑体" w:eastAsia="黑体"/>
          <w:b w:val="0"/>
        </w:rPr>
      </w:pPr>
      <w:r>
        <w:rPr>
          <w:rFonts w:hint="eastAsia" w:ascii="黑体" w:hAnsi="黑体" w:eastAsia="黑体"/>
          <w:b w:val="0"/>
        </w:rPr>
        <w:t>二、2021年重点工作</w:t>
      </w:r>
      <w:bookmarkEnd w:id="14"/>
      <w:bookmarkEnd w:id="15"/>
      <w:r>
        <w:rPr>
          <w:rFonts w:hint="eastAsia" w:ascii="黑体" w:hAnsi="黑体" w:eastAsia="黑体"/>
          <w:b w:val="0"/>
        </w:rPr>
        <w:t>完成情况</w:t>
      </w:r>
    </w:p>
    <w:p>
      <w:pPr>
        <w:pStyle w:val="12"/>
        <w:pageBreakBefore w:val="0"/>
        <w:kinsoku/>
        <w:wordWrap w:val="0"/>
        <w:overflowPunct/>
        <w:topLinePunct w:val="0"/>
        <w:autoSpaceDE w:val="0"/>
        <w:autoSpaceDN/>
        <w:bidi w:val="0"/>
        <w:adjustRightInd/>
        <w:snapToGrid/>
        <w:spacing w:before="0" w:beforeAutospacing="0" w:after="0" w:afterAutospacing="0" w:line="600" w:lineRule="exact"/>
        <w:ind w:left="0" w:leftChars="0" w:right="0" w:rightChars="0" w:firstLine="645"/>
        <w:jc w:val="both"/>
        <w:textAlignment w:val="auto"/>
        <w:rPr>
          <w:rFonts w:hint="eastAsia" w:ascii="Times New Roman" w:hAnsi="Times New Roman" w:eastAsia="宋体" w:cs="Times New Roman"/>
          <w:kern w:val="2"/>
          <w:sz w:val="32"/>
          <w:szCs w:val="32"/>
          <w:lang w:val="en" w:eastAsia="zh-CN" w:bidi="ar-SA"/>
        </w:rPr>
      </w:pPr>
      <w:r>
        <w:rPr>
          <w:rFonts w:hint="eastAsia" w:ascii="Times New Roman" w:hAnsi="Times New Roman" w:eastAsia="宋体" w:cs="Times New Roman"/>
          <w:kern w:val="2"/>
          <w:sz w:val="32"/>
          <w:szCs w:val="32"/>
          <w:lang w:val="en" w:eastAsia="zh-CN" w:bidi="ar-SA"/>
        </w:rPr>
        <w:t>2021年，按需完成了全市居民身份证的制作、修正、上传及领取；紧紧围绕庆祝建党百年安保维稳工作主题，对全市公安信息通信网络身份认证和授权访问、控制及网络与信息运行进行了有效的检测。突出抓好了党史学习教育、圆满完成了各项工作任务。</w:t>
      </w:r>
    </w:p>
    <w:p>
      <w:pPr>
        <w:widowControl/>
        <w:jc w:val="left"/>
        <w:rPr>
          <w:rFonts w:ascii="仿宋" w:hAnsi="仿宋" w:eastAsia="仿宋"/>
          <w:kern w:val="0"/>
          <w:sz w:val="32"/>
          <w:szCs w:val="32"/>
        </w:rPr>
      </w:pPr>
    </w:p>
    <w:p>
      <w:pPr>
        <w:pStyle w:val="2"/>
        <w:rPr>
          <w:rFonts w:ascii="仿宋" w:hAnsi="仿宋" w:eastAsia="仿宋"/>
          <w:kern w:val="0"/>
          <w:sz w:val="32"/>
          <w:szCs w:val="32"/>
        </w:rPr>
      </w:pPr>
    </w:p>
    <w:p>
      <w:pPr>
        <w:pStyle w:val="2"/>
        <w:rPr>
          <w:rFonts w:ascii="仿宋" w:hAnsi="仿宋" w:eastAsia="仿宋"/>
          <w:kern w:val="0"/>
          <w:sz w:val="32"/>
          <w:szCs w:val="32"/>
        </w:rPr>
      </w:pPr>
    </w:p>
    <w:p>
      <w:pPr>
        <w:pStyle w:val="3"/>
        <w:ind w:right="440"/>
        <w:jc w:val="center"/>
        <w:rPr>
          <w:rStyle w:val="25"/>
          <w:rFonts w:ascii="黑体" w:hAnsi="黑体" w:eastAsia="黑体"/>
          <w:b w:val="0"/>
          <w:bCs/>
        </w:rPr>
      </w:pPr>
      <w:bookmarkStart w:id="16" w:name="_Toc15396602"/>
      <w:bookmarkStart w:id="17" w:name="_Toc15377204"/>
      <w:r>
        <w:rPr>
          <w:rFonts w:hint="eastAsia" w:ascii="黑体" w:hAnsi="黑体" w:eastAsia="黑体"/>
          <w:b w:val="0"/>
        </w:rPr>
        <w:t>第二部分 2021年度</w:t>
      </w:r>
      <w:r>
        <w:rPr>
          <w:rStyle w:val="25"/>
          <w:rFonts w:hint="eastAsia" w:ascii="黑体" w:hAnsi="黑体" w:eastAsia="黑体"/>
          <w:b w:val="0"/>
          <w:bCs/>
        </w:rPr>
        <w:t>单位决算情况说明</w:t>
      </w:r>
      <w:bookmarkEnd w:id="16"/>
      <w:bookmarkEnd w:id="17"/>
    </w:p>
    <w:p>
      <w:pPr>
        <w:pStyle w:val="24"/>
        <w:numPr>
          <w:ilvl w:val="0"/>
          <w:numId w:val="2"/>
        </w:numPr>
        <w:spacing w:line="600" w:lineRule="exact"/>
        <w:ind w:firstLineChars="0"/>
        <w:outlineLvl w:val="1"/>
        <w:rPr>
          <w:rStyle w:val="26"/>
          <w:rFonts w:ascii="黑体" w:hAnsi="黑体" w:eastAsia="黑体"/>
          <w:b w:val="0"/>
        </w:rPr>
      </w:pPr>
      <w:bookmarkStart w:id="18" w:name="_Toc15396603"/>
      <w:bookmarkStart w:id="19" w:name="_Toc15377205"/>
      <w:r>
        <w:rPr>
          <w:rFonts w:hint="eastAsia" w:ascii="黑体" w:hAnsi="黑体" w:eastAsia="黑体"/>
          <w:sz w:val="32"/>
          <w:szCs w:val="32"/>
        </w:rPr>
        <w:t>收</w:t>
      </w:r>
      <w:r>
        <w:rPr>
          <w:rStyle w:val="26"/>
          <w:rFonts w:hint="eastAsia" w:ascii="黑体" w:hAnsi="黑体" w:eastAsia="黑体"/>
          <w:b w:val="0"/>
        </w:rPr>
        <w:t>入支出决算总体情况说明</w:t>
      </w:r>
      <w:bookmarkEnd w:id="18"/>
      <w:bookmarkEnd w:id="19"/>
    </w:p>
    <w:p>
      <w:pPr>
        <w:spacing w:line="600" w:lineRule="exact"/>
        <w:ind w:firstLine="640" w:firstLineChars="200"/>
        <w:rPr>
          <w:rFonts w:hint="eastAsia" w:ascii="仿宋" w:hAnsi="仿宋" w:eastAsia="仿宋" w:cs="仿宋"/>
          <w:sz w:val="32"/>
          <w:szCs w:val="32"/>
          <w:lang w:eastAsia="zh-CN"/>
        </w:rPr>
      </w:pPr>
      <w:r>
        <w:rPr>
          <w:rFonts w:hint="eastAsia" w:ascii="仿宋" w:hAnsi="仿宋" w:eastAsia="仿宋"/>
          <w:sz w:val="32"/>
          <w:szCs w:val="32"/>
        </w:rPr>
        <w:t>2021年度收、支总计</w:t>
      </w:r>
      <w:r>
        <w:rPr>
          <w:rFonts w:hint="eastAsia" w:ascii="仿宋" w:hAnsi="仿宋" w:eastAsia="仿宋"/>
          <w:sz w:val="32"/>
          <w:szCs w:val="32"/>
          <w:lang w:val="en-US" w:eastAsia="zh-CN"/>
        </w:rPr>
        <w:t>152.47</w:t>
      </w:r>
      <w:r>
        <w:rPr>
          <w:rFonts w:hint="eastAsia" w:ascii="仿宋" w:hAnsi="仿宋" w:eastAsia="仿宋"/>
          <w:sz w:val="32"/>
          <w:szCs w:val="32"/>
        </w:rPr>
        <w:t>万元。与2020年相比，收、支总计各增加</w:t>
      </w:r>
      <w:r>
        <w:rPr>
          <w:rFonts w:hint="eastAsia" w:ascii="仿宋" w:hAnsi="仿宋" w:eastAsia="仿宋"/>
          <w:sz w:val="32"/>
          <w:szCs w:val="32"/>
          <w:lang w:val="en-US" w:eastAsia="zh-CN"/>
        </w:rPr>
        <w:t>3.21</w:t>
      </w:r>
      <w:r>
        <w:rPr>
          <w:rFonts w:hint="eastAsia" w:ascii="仿宋" w:hAnsi="仿宋" w:eastAsia="仿宋"/>
          <w:sz w:val="32"/>
          <w:szCs w:val="32"/>
        </w:rPr>
        <w:t>万元，增长</w:t>
      </w:r>
      <w:r>
        <w:rPr>
          <w:rFonts w:hint="eastAsia" w:ascii="仿宋" w:hAnsi="仿宋" w:eastAsia="仿宋"/>
          <w:sz w:val="32"/>
          <w:szCs w:val="32"/>
          <w:lang w:val="en-US" w:eastAsia="zh-CN"/>
        </w:rPr>
        <w:t>2.10</w:t>
      </w:r>
      <w:r>
        <w:rPr>
          <w:rFonts w:ascii="仿宋" w:hAnsi="仿宋" w:eastAsia="仿宋"/>
          <w:sz w:val="32"/>
          <w:szCs w:val="32"/>
        </w:rPr>
        <w:t>%</w:t>
      </w:r>
      <w:r>
        <w:rPr>
          <w:rFonts w:hint="eastAsia" w:ascii="仿宋" w:hAnsi="仿宋" w:eastAsia="仿宋"/>
          <w:sz w:val="32"/>
          <w:szCs w:val="32"/>
        </w:rPr>
        <w:t>。主要变动原因是</w:t>
      </w:r>
      <w:r>
        <w:rPr>
          <w:rFonts w:ascii="仿宋" w:hAnsi="仿宋" w:eastAsia="仿宋" w:cs="仿宋"/>
          <w:sz w:val="32"/>
          <w:szCs w:val="32"/>
        </w:rPr>
        <w:t>2021</w:t>
      </w:r>
      <w:r>
        <w:rPr>
          <w:rFonts w:hint="eastAsia" w:ascii="仿宋" w:hAnsi="仿宋" w:eastAsia="仿宋" w:cs="仿宋"/>
          <w:sz w:val="32"/>
          <w:szCs w:val="32"/>
        </w:rPr>
        <w:t>年</w:t>
      </w:r>
      <w:r>
        <w:rPr>
          <w:rFonts w:hint="eastAsia" w:ascii="仿宋" w:hAnsi="仿宋" w:eastAsia="仿宋" w:cs="仿宋"/>
          <w:sz w:val="32"/>
          <w:szCs w:val="32"/>
          <w:lang w:eastAsia="zh-CN"/>
        </w:rPr>
        <w:t>基本</w:t>
      </w:r>
      <w:r>
        <w:rPr>
          <w:rFonts w:hint="eastAsia" w:ascii="仿宋" w:hAnsi="仿宋" w:eastAsia="仿宋" w:cs="仿宋"/>
          <w:sz w:val="32"/>
          <w:szCs w:val="32"/>
        </w:rPr>
        <w:t>支出</w:t>
      </w:r>
      <w:r>
        <w:rPr>
          <w:rFonts w:hint="eastAsia" w:ascii="仿宋" w:hAnsi="仿宋" w:eastAsia="仿宋" w:cs="仿宋"/>
          <w:sz w:val="32"/>
          <w:szCs w:val="32"/>
          <w:lang w:eastAsia="zh-CN"/>
        </w:rPr>
        <w:t>的人员薪级工资和绩效工资正常晋升。</w:t>
      </w:r>
    </w:p>
    <w:p>
      <w:pPr>
        <w:pStyle w:val="2"/>
        <w:rPr>
          <w:rFonts w:hint="eastAsia"/>
          <w:lang w:val="en-US" w:eastAsia="zh-CN"/>
        </w:rPr>
      </w:pPr>
      <w:r>
        <w:rPr>
          <w:rFonts w:hint="eastAsia"/>
          <w:lang w:eastAsia="zh-CN"/>
        </w:rPr>
        <w:drawing>
          <wp:anchor distT="0" distB="0" distL="114300" distR="114300" simplePos="0" relativeHeight="251661312" behindDoc="1" locked="0" layoutInCell="1" allowOverlap="1">
            <wp:simplePos x="0" y="0"/>
            <wp:positionH relativeFrom="column">
              <wp:posOffset>394970</wp:posOffset>
            </wp:positionH>
            <wp:positionV relativeFrom="paragraph">
              <wp:posOffset>92710</wp:posOffset>
            </wp:positionV>
            <wp:extent cx="4756785" cy="3467100"/>
            <wp:effectExtent l="5080" t="4445" r="57785" b="71755"/>
            <wp:wrapTight wrapText="bothSides">
              <wp:wrapPolygon>
                <wp:start x="-23" y="-28"/>
                <wp:lineTo x="-23" y="21572"/>
                <wp:lineTo x="21516" y="21572"/>
                <wp:lineTo x="21516" y="-28"/>
                <wp:lineTo x="-23" y="-28"/>
              </wp:wrapPolygon>
            </wp:wrapTight>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pPr>
        <w:spacing w:line="600" w:lineRule="exact"/>
        <w:ind w:firstLine="640" w:firstLineChars="200"/>
        <w:rPr>
          <w:rFonts w:hint="eastAsia" w:ascii="仿宋" w:hAnsi="仿宋" w:eastAsia="仿宋"/>
          <w:sz w:val="32"/>
          <w:szCs w:val="32"/>
        </w:rPr>
      </w:pPr>
    </w:p>
    <w:p>
      <w:pPr>
        <w:pStyle w:val="2"/>
        <w:rPr>
          <w:rFonts w:hint="eastAsia" w:ascii="仿宋" w:hAnsi="仿宋" w:eastAsia="仿宋"/>
          <w:sz w:val="32"/>
          <w:szCs w:val="32"/>
        </w:rPr>
      </w:pPr>
    </w:p>
    <w:p>
      <w:pPr>
        <w:pStyle w:val="2"/>
        <w:rPr>
          <w:rFonts w:hint="eastAsia" w:ascii="仿宋" w:hAnsi="仿宋" w:eastAsia="仿宋"/>
          <w:sz w:val="32"/>
          <w:szCs w:val="32"/>
        </w:rPr>
      </w:pPr>
    </w:p>
    <w:p>
      <w:pPr>
        <w:pStyle w:val="2"/>
        <w:rPr>
          <w:rFonts w:hint="eastAsia" w:ascii="仿宋" w:hAnsi="仿宋" w:eastAsia="仿宋"/>
          <w:sz w:val="32"/>
          <w:szCs w:val="32"/>
        </w:rPr>
      </w:pPr>
    </w:p>
    <w:p>
      <w:pPr>
        <w:pStyle w:val="2"/>
        <w:rPr>
          <w:rFonts w:hint="eastAsia" w:ascii="仿宋" w:hAnsi="仿宋" w:eastAsia="仿宋"/>
          <w:sz w:val="32"/>
          <w:szCs w:val="32"/>
        </w:rPr>
      </w:pPr>
    </w:p>
    <w:p>
      <w:pPr>
        <w:pStyle w:val="2"/>
        <w:rPr>
          <w:rFonts w:hint="eastAsia" w:ascii="仿宋" w:hAnsi="仿宋" w:eastAsia="仿宋"/>
          <w:sz w:val="32"/>
          <w:szCs w:val="32"/>
        </w:rPr>
      </w:pPr>
    </w:p>
    <w:p>
      <w:pPr>
        <w:pStyle w:val="2"/>
        <w:rPr>
          <w:rFonts w:hint="eastAsia" w:ascii="仿宋" w:hAnsi="仿宋" w:eastAsia="仿宋"/>
          <w:sz w:val="32"/>
          <w:szCs w:val="32"/>
        </w:rPr>
      </w:pPr>
    </w:p>
    <w:p>
      <w:pPr>
        <w:pStyle w:val="24"/>
        <w:numPr>
          <w:ilvl w:val="0"/>
          <w:numId w:val="2"/>
        </w:numPr>
        <w:spacing w:line="600" w:lineRule="exact"/>
        <w:ind w:firstLineChars="0"/>
        <w:outlineLvl w:val="1"/>
        <w:rPr>
          <w:rStyle w:val="26"/>
          <w:rFonts w:ascii="黑体" w:hAnsi="黑体" w:eastAsia="黑体"/>
          <w:b w:val="0"/>
        </w:rPr>
      </w:pPr>
      <w:bookmarkStart w:id="20" w:name="_Toc15377206"/>
      <w:bookmarkStart w:id="21" w:name="_Toc15396604"/>
      <w:r>
        <w:rPr>
          <w:rFonts w:hint="eastAsia" w:ascii="黑体" w:hAnsi="黑体" w:eastAsia="黑体"/>
          <w:sz w:val="32"/>
          <w:szCs w:val="32"/>
        </w:rPr>
        <w:t>收</w:t>
      </w:r>
      <w:r>
        <w:rPr>
          <w:rStyle w:val="26"/>
          <w:rFonts w:hint="eastAsia" w:ascii="黑体" w:hAnsi="黑体" w:eastAsia="黑体"/>
          <w:b w:val="0"/>
        </w:rPr>
        <w:t>入决算情况说明</w:t>
      </w:r>
      <w:bookmarkEnd w:id="20"/>
      <w:bookmarkEnd w:id="21"/>
    </w:p>
    <w:p>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21年本年收入合计</w:t>
      </w:r>
      <w:r>
        <w:rPr>
          <w:rFonts w:hint="eastAsia" w:ascii="仿宋" w:hAnsi="仿宋" w:eastAsia="仿宋"/>
          <w:sz w:val="32"/>
          <w:szCs w:val="32"/>
          <w:lang w:val="en-US" w:eastAsia="zh-CN"/>
        </w:rPr>
        <w:t>152.47</w:t>
      </w:r>
      <w:r>
        <w:rPr>
          <w:rFonts w:hint="eastAsia" w:ascii="仿宋" w:hAnsi="仿宋" w:eastAsia="仿宋"/>
          <w:sz w:val="32"/>
          <w:szCs w:val="32"/>
        </w:rPr>
        <w:t>万元，其中：一般公共预算财政拨款收入</w:t>
      </w:r>
      <w:r>
        <w:rPr>
          <w:rFonts w:hint="eastAsia" w:ascii="仿宋" w:hAnsi="仿宋" w:eastAsia="仿宋"/>
          <w:sz w:val="32"/>
          <w:szCs w:val="32"/>
          <w:lang w:val="en-US" w:eastAsia="zh-CN"/>
        </w:rPr>
        <w:t>152.47</w:t>
      </w:r>
      <w:r>
        <w:rPr>
          <w:rFonts w:hint="eastAsia" w:ascii="仿宋" w:hAnsi="仿宋" w:eastAsia="仿宋"/>
          <w:sz w:val="32"/>
          <w:szCs w:val="32"/>
        </w:rPr>
        <w:t>万元，占</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；其他收入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0.00</w:t>
      </w:r>
      <w:r>
        <w:rPr>
          <w:rFonts w:ascii="仿宋" w:hAnsi="仿宋" w:eastAsia="仿宋"/>
          <w:sz w:val="32"/>
          <w:szCs w:val="32"/>
        </w:rPr>
        <w:t>%</w:t>
      </w:r>
      <w:r>
        <w:rPr>
          <w:rFonts w:hint="eastAsia" w:ascii="仿宋" w:hAnsi="仿宋" w:eastAsia="仿宋"/>
          <w:sz w:val="32"/>
          <w:szCs w:val="32"/>
        </w:rPr>
        <w:t>。</w:t>
      </w:r>
    </w:p>
    <w:p>
      <w:pPr>
        <w:pStyle w:val="24"/>
        <w:numPr>
          <w:ilvl w:val="0"/>
          <w:numId w:val="0"/>
        </w:numPr>
        <w:spacing w:line="600" w:lineRule="exact"/>
        <w:ind w:left="640" w:leftChars="0"/>
        <w:outlineLvl w:val="1"/>
        <w:rPr>
          <w:rFonts w:hint="eastAsia" w:ascii="黑体" w:hAnsi="黑体" w:eastAsia="黑体"/>
          <w:sz w:val="32"/>
          <w:szCs w:val="32"/>
          <w:lang w:val="en-US" w:eastAsia="zh-CN"/>
        </w:rPr>
      </w:pPr>
      <w:bookmarkStart w:id="22" w:name="_Toc15377207"/>
      <w:bookmarkStart w:id="23" w:name="_Toc15396605"/>
      <w:r>
        <w:rPr>
          <w:rFonts w:hint="eastAsia" w:ascii="黑体" w:hAnsi="黑体" w:eastAsia="黑体"/>
          <w:sz w:val="32"/>
          <w:szCs w:val="32"/>
          <w:lang w:eastAsia="zh-CN"/>
        </w:rPr>
        <w:drawing>
          <wp:anchor distT="0" distB="0" distL="114300" distR="114300" simplePos="0" relativeHeight="251667456" behindDoc="1" locked="0" layoutInCell="1" allowOverlap="1">
            <wp:simplePos x="0" y="0"/>
            <wp:positionH relativeFrom="column">
              <wp:posOffset>347345</wp:posOffset>
            </wp:positionH>
            <wp:positionV relativeFrom="paragraph">
              <wp:posOffset>375920</wp:posOffset>
            </wp:positionV>
            <wp:extent cx="4498975" cy="2924175"/>
            <wp:effectExtent l="4445" t="4445" r="49530" b="81280"/>
            <wp:wrapTight wrapText="bothSides">
              <wp:wrapPolygon>
                <wp:start x="-21" y="-33"/>
                <wp:lineTo x="-21" y="21497"/>
                <wp:lineTo x="21563" y="21497"/>
                <wp:lineTo x="21563" y="-33"/>
                <wp:lineTo x="-21" y="-33"/>
              </wp:wrapPolygon>
            </wp:wrapTight>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pPr>
        <w:pStyle w:val="24"/>
        <w:numPr>
          <w:ilvl w:val="0"/>
          <w:numId w:val="0"/>
        </w:numPr>
        <w:spacing w:line="600" w:lineRule="exact"/>
        <w:ind w:left="640" w:leftChars="0"/>
        <w:outlineLvl w:val="1"/>
        <w:rPr>
          <w:rFonts w:hint="eastAsia" w:ascii="黑体" w:hAnsi="黑体" w:eastAsia="黑体"/>
          <w:sz w:val="32"/>
          <w:szCs w:val="32"/>
          <w:lang w:val="en-US" w:eastAsia="zh-CN"/>
        </w:rPr>
      </w:pPr>
    </w:p>
    <w:p>
      <w:pPr>
        <w:pStyle w:val="24"/>
        <w:numPr>
          <w:ilvl w:val="0"/>
          <w:numId w:val="0"/>
        </w:numPr>
        <w:spacing w:line="600" w:lineRule="exact"/>
        <w:ind w:left="640" w:leftChars="0"/>
        <w:outlineLvl w:val="1"/>
        <w:rPr>
          <w:rFonts w:hint="eastAsia" w:ascii="黑体" w:hAnsi="黑体" w:eastAsia="黑体"/>
          <w:sz w:val="32"/>
          <w:szCs w:val="32"/>
          <w:lang w:val="en-US" w:eastAsia="zh-CN"/>
        </w:rPr>
      </w:pPr>
    </w:p>
    <w:p>
      <w:pPr>
        <w:pStyle w:val="24"/>
        <w:numPr>
          <w:ilvl w:val="0"/>
          <w:numId w:val="0"/>
        </w:numPr>
        <w:spacing w:line="600" w:lineRule="exact"/>
        <w:ind w:left="640" w:leftChars="0"/>
        <w:outlineLvl w:val="1"/>
        <w:rPr>
          <w:rFonts w:hint="eastAsia" w:ascii="黑体" w:hAnsi="黑体" w:eastAsia="黑体"/>
          <w:sz w:val="32"/>
          <w:szCs w:val="32"/>
          <w:lang w:val="en-US" w:eastAsia="zh-CN"/>
        </w:rPr>
      </w:pPr>
    </w:p>
    <w:p>
      <w:pPr>
        <w:pStyle w:val="24"/>
        <w:numPr>
          <w:ilvl w:val="0"/>
          <w:numId w:val="0"/>
        </w:numPr>
        <w:spacing w:line="600" w:lineRule="exact"/>
        <w:ind w:left="640" w:leftChars="0"/>
        <w:outlineLvl w:val="1"/>
        <w:rPr>
          <w:rFonts w:hint="eastAsia" w:ascii="黑体" w:hAnsi="黑体" w:eastAsia="黑体"/>
          <w:sz w:val="32"/>
          <w:szCs w:val="32"/>
          <w:lang w:val="en-US" w:eastAsia="zh-CN"/>
        </w:rPr>
      </w:pPr>
    </w:p>
    <w:p>
      <w:pPr>
        <w:pStyle w:val="24"/>
        <w:numPr>
          <w:ilvl w:val="0"/>
          <w:numId w:val="0"/>
        </w:numPr>
        <w:spacing w:line="600" w:lineRule="exact"/>
        <w:ind w:left="640" w:leftChars="0"/>
        <w:outlineLvl w:val="1"/>
        <w:rPr>
          <w:rFonts w:hint="eastAsia" w:ascii="黑体" w:hAnsi="黑体" w:eastAsia="黑体"/>
          <w:sz w:val="32"/>
          <w:szCs w:val="32"/>
          <w:lang w:val="en-US" w:eastAsia="zh-CN"/>
        </w:rPr>
      </w:pPr>
    </w:p>
    <w:p>
      <w:pPr>
        <w:pStyle w:val="24"/>
        <w:numPr>
          <w:ilvl w:val="0"/>
          <w:numId w:val="0"/>
        </w:numPr>
        <w:spacing w:line="600" w:lineRule="exact"/>
        <w:ind w:left="640" w:leftChars="0"/>
        <w:outlineLvl w:val="1"/>
        <w:rPr>
          <w:rFonts w:hint="eastAsia" w:ascii="黑体" w:hAnsi="黑体" w:eastAsia="黑体"/>
          <w:sz w:val="32"/>
          <w:szCs w:val="32"/>
          <w:lang w:val="en-US" w:eastAsia="zh-CN"/>
        </w:rPr>
      </w:pPr>
    </w:p>
    <w:p>
      <w:pPr>
        <w:pStyle w:val="24"/>
        <w:numPr>
          <w:ilvl w:val="0"/>
          <w:numId w:val="0"/>
        </w:numPr>
        <w:spacing w:line="600" w:lineRule="exact"/>
        <w:ind w:left="640" w:leftChars="0"/>
        <w:outlineLvl w:val="1"/>
        <w:rPr>
          <w:rFonts w:hint="eastAsia" w:ascii="黑体" w:hAnsi="黑体" w:eastAsia="黑体"/>
          <w:sz w:val="32"/>
          <w:szCs w:val="32"/>
          <w:lang w:val="en-US" w:eastAsia="zh-CN"/>
        </w:rPr>
      </w:pPr>
    </w:p>
    <w:p>
      <w:pPr>
        <w:pStyle w:val="24"/>
        <w:numPr>
          <w:ilvl w:val="0"/>
          <w:numId w:val="0"/>
        </w:numPr>
        <w:spacing w:line="600" w:lineRule="exact"/>
        <w:ind w:left="640" w:leftChars="0"/>
        <w:outlineLvl w:val="1"/>
        <w:rPr>
          <w:rFonts w:hint="eastAsia" w:ascii="黑体" w:hAnsi="黑体" w:eastAsia="黑体"/>
          <w:sz w:val="32"/>
          <w:szCs w:val="32"/>
          <w:lang w:val="en-US" w:eastAsia="zh-CN"/>
        </w:rPr>
      </w:pPr>
    </w:p>
    <w:p>
      <w:pPr>
        <w:pStyle w:val="24"/>
        <w:numPr>
          <w:ilvl w:val="0"/>
          <w:numId w:val="0"/>
        </w:numPr>
        <w:spacing w:line="600" w:lineRule="exact"/>
        <w:ind w:left="640" w:leftChars="0"/>
        <w:outlineLvl w:val="1"/>
        <w:rPr>
          <w:rStyle w:val="26"/>
          <w:rFonts w:ascii="黑体" w:hAnsi="黑体" w:eastAsia="黑体"/>
          <w:b w:val="0"/>
        </w:rPr>
      </w:pPr>
      <w:r>
        <w:rPr>
          <w:rFonts w:hint="eastAsia" w:ascii="黑体" w:hAnsi="黑体" w:eastAsia="黑体"/>
          <w:sz w:val="32"/>
          <w:szCs w:val="32"/>
          <w:lang w:val="en-US" w:eastAsia="zh-CN"/>
        </w:rPr>
        <w:t>三、</w:t>
      </w:r>
      <w:r>
        <w:rPr>
          <w:rFonts w:hint="eastAsia" w:ascii="黑体" w:hAnsi="黑体" w:eastAsia="黑体"/>
          <w:sz w:val="32"/>
          <w:szCs w:val="32"/>
        </w:rPr>
        <w:t>支</w:t>
      </w:r>
      <w:r>
        <w:rPr>
          <w:rStyle w:val="26"/>
          <w:rFonts w:hint="eastAsia" w:ascii="黑体" w:hAnsi="黑体" w:eastAsia="黑体"/>
          <w:b w:val="0"/>
        </w:rPr>
        <w:t>出决算情况说明</w:t>
      </w:r>
      <w:bookmarkEnd w:id="22"/>
      <w:bookmarkEnd w:id="23"/>
    </w:p>
    <w:p>
      <w:pPr>
        <w:spacing w:line="600" w:lineRule="exact"/>
        <w:ind w:firstLine="640" w:firstLineChars="200"/>
        <w:outlineLvl w:val="1"/>
        <w:rPr>
          <w:rFonts w:hint="eastAsia"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21年本年支出合计</w:t>
      </w:r>
      <w:r>
        <w:rPr>
          <w:rFonts w:hint="eastAsia" w:ascii="仿宋" w:hAnsi="仿宋" w:eastAsia="仿宋"/>
          <w:sz w:val="32"/>
          <w:szCs w:val="32"/>
          <w:lang w:val="en-US" w:eastAsia="zh-CN"/>
        </w:rPr>
        <w:t>152.47</w:t>
      </w:r>
      <w:r>
        <w:rPr>
          <w:rFonts w:hint="eastAsia" w:ascii="仿宋" w:hAnsi="仿宋" w:eastAsia="仿宋"/>
          <w:sz w:val="32"/>
          <w:szCs w:val="32"/>
        </w:rPr>
        <w:t>万元，其中：基本支</w:t>
      </w:r>
    </w:p>
    <w:p>
      <w:pPr>
        <w:spacing w:line="600" w:lineRule="exact"/>
        <w:ind w:firstLine="640" w:firstLineChars="200"/>
        <w:outlineLvl w:val="1"/>
        <w:rPr>
          <w:rFonts w:hint="eastAsia" w:ascii="仿宋" w:hAnsi="仿宋" w:eastAsia="仿宋"/>
          <w:sz w:val="32"/>
          <w:szCs w:val="32"/>
        </w:rPr>
      </w:pPr>
      <w:r>
        <w:rPr>
          <w:rFonts w:hint="eastAsia" w:ascii="仿宋" w:hAnsi="仿宋" w:eastAsia="仿宋"/>
          <w:sz w:val="32"/>
          <w:szCs w:val="32"/>
          <w:lang w:val="en-US" w:eastAsia="zh-CN"/>
        </w:rPr>
        <w:t>152.47</w:t>
      </w:r>
      <w:r>
        <w:rPr>
          <w:rFonts w:hint="eastAsia" w:ascii="仿宋" w:hAnsi="仿宋" w:eastAsia="仿宋"/>
          <w:sz w:val="32"/>
          <w:szCs w:val="32"/>
        </w:rPr>
        <w:t>万元，占</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p>
    <w:p>
      <w:pPr>
        <w:pStyle w:val="2"/>
        <w:rPr>
          <w:rFonts w:ascii="仿宋_GB2312" w:eastAsia="仿宋_GB2312"/>
          <w:sz w:val="32"/>
          <w:szCs w:val="32"/>
        </w:rPr>
      </w:pPr>
      <w:r>
        <w:rPr>
          <w:rFonts w:hint="eastAsia" w:ascii="黑体" w:hAnsi="黑体" w:eastAsia="黑体"/>
          <w:sz w:val="32"/>
          <w:szCs w:val="32"/>
          <w:lang w:eastAsia="zh-CN"/>
        </w:rPr>
        <w:drawing>
          <wp:anchor distT="0" distB="0" distL="114300" distR="114300" simplePos="0" relativeHeight="251662336" behindDoc="1" locked="0" layoutInCell="1" allowOverlap="1">
            <wp:simplePos x="0" y="0"/>
            <wp:positionH relativeFrom="column">
              <wp:posOffset>353695</wp:posOffset>
            </wp:positionH>
            <wp:positionV relativeFrom="paragraph">
              <wp:posOffset>337820</wp:posOffset>
            </wp:positionV>
            <wp:extent cx="4384675" cy="2867660"/>
            <wp:effectExtent l="4445" t="4445" r="68580" b="61595"/>
            <wp:wrapTight wrapText="bothSides">
              <wp:wrapPolygon>
                <wp:start x="-22" y="-33"/>
                <wp:lineTo x="-22" y="21490"/>
                <wp:lineTo x="21562" y="21490"/>
                <wp:lineTo x="21562" y="-33"/>
                <wp:lineTo x="-22" y="-33"/>
              </wp:wrapPolygon>
            </wp:wrapTight>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pStyle w:val="2"/>
        <w:rPr>
          <w:rFonts w:ascii="仿宋_GB2312" w:eastAsia="仿宋_GB2312"/>
          <w:sz w:val="32"/>
          <w:szCs w:val="32"/>
        </w:rPr>
      </w:pPr>
    </w:p>
    <w:p>
      <w:pPr>
        <w:pStyle w:val="2"/>
        <w:rPr>
          <w:rFonts w:ascii="仿宋_GB2312" w:eastAsia="仿宋_GB2312"/>
          <w:sz w:val="32"/>
          <w:szCs w:val="32"/>
        </w:rPr>
      </w:pPr>
    </w:p>
    <w:p>
      <w:pPr>
        <w:spacing w:line="600" w:lineRule="exact"/>
        <w:ind w:firstLine="640" w:firstLineChars="200"/>
        <w:outlineLvl w:val="1"/>
        <w:rPr>
          <w:rFonts w:hint="eastAsia" w:ascii="黑体" w:hAnsi="黑体" w:eastAsia="黑体"/>
          <w:sz w:val="32"/>
          <w:szCs w:val="32"/>
        </w:rPr>
      </w:pPr>
      <w:bookmarkStart w:id="24" w:name="_Toc15396606"/>
      <w:bookmarkStart w:id="25" w:name="_Toc15377208"/>
    </w:p>
    <w:p>
      <w:pPr>
        <w:spacing w:line="600" w:lineRule="exact"/>
        <w:ind w:firstLine="640" w:firstLineChars="200"/>
        <w:outlineLvl w:val="1"/>
        <w:rPr>
          <w:rFonts w:hint="eastAsia" w:ascii="黑体" w:hAnsi="黑体" w:eastAsia="黑体"/>
          <w:sz w:val="32"/>
          <w:szCs w:val="32"/>
        </w:rPr>
      </w:pPr>
    </w:p>
    <w:p>
      <w:pPr>
        <w:spacing w:line="600" w:lineRule="exact"/>
        <w:ind w:firstLine="640" w:firstLineChars="200"/>
        <w:outlineLvl w:val="1"/>
        <w:rPr>
          <w:rStyle w:val="26"/>
          <w:rFonts w:ascii="黑体" w:hAnsi="黑体" w:eastAsia="黑体"/>
          <w:b w:val="0"/>
        </w:rPr>
      </w:pPr>
      <w:r>
        <w:rPr>
          <w:rFonts w:hint="eastAsia" w:ascii="黑体" w:hAnsi="黑体" w:eastAsia="黑体"/>
          <w:sz w:val="32"/>
          <w:szCs w:val="32"/>
        </w:rPr>
        <w:t>四、财</w:t>
      </w:r>
      <w:r>
        <w:rPr>
          <w:rStyle w:val="26"/>
          <w:rFonts w:hint="eastAsia" w:ascii="黑体" w:hAnsi="黑体" w:eastAsia="黑体"/>
          <w:b w:val="0"/>
        </w:rPr>
        <w:t>政拨款收入支出决算总体情况说明</w:t>
      </w:r>
      <w:bookmarkEnd w:id="24"/>
      <w:bookmarkEnd w:id="25"/>
    </w:p>
    <w:p>
      <w:pPr>
        <w:spacing w:line="600" w:lineRule="exact"/>
        <w:ind w:firstLine="640"/>
        <w:rPr>
          <w:rFonts w:hint="eastAsia" w:ascii="仿宋" w:hAnsi="仿宋" w:eastAsia="仿宋"/>
          <w:sz w:val="32"/>
          <w:szCs w:val="32"/>
          <w:lang w:eastAsia="zh-CN"/>
        </w:rPr>
      </w:pPr>
      <w:r>
        <w:rPr>
          <w:rFonts w:ascii="仿宋" w:hAnsi="仿宋" w:eastAsia="仿宋"/>
          <w:sz w:val="32"/>
          <w:szCs w:val="32"/>
        </w:rPr>
        <w:t>20</w:t>
      </w:r>
      <w:r>
        <w:rPr>
          <w:rFonts w:hint="eastAsia" w:ascii="仿宋" w:hAnsi="仿宋" w:eastAsia="仿宋"/>
          <w:sz w:val="32"/>
          <w:szCs w:val="32"/>
        </w:rPr>
        <w:t>21年财政拨款收、支总计</w:t>
      </w:r>
      <w:r>
        <w:rPr>
          <w:rFonts w:hint="eastAsia" w:ascii="仿宋" w:hAnsi="仿宋" w:eastAsia="仿宋"/>
          <w:sz w:val="32"/>
          <w:szCs w:val="32"/>
          <w:lang w:val="en-US" w:eastAsia="zh-CN"/>
        </w:rPr>
        <w:t>152.47</w:t>
      </w:r>
      <w:r>
        <w:rPr>
          <w:rFonts w:hint="eastAsia" w:ascii="仿宋" w:hAnsi="仿宋" w:eastAsia="仿宋"/>
          <w:sz w:val="32"/>
          <w:szCs w:val="32"/>
        </w:rPr>
        <w:t>万元。与</w:t>
      </w:r>
      <w:r>
        <w:rPr>
          <w:rFonts w:ascii="仿宋" w:hAnsi="仿宋" w:eastAsia="仿宋"/>
          <w:sz w:val="32"/>
          <w:szCs w:val="32"/>
        </w:rPr>
        <w:t>20</w:t>
      </w:r>
      <w:r>
        <w:rPr>
          <w:rFonts w:hint="eastAsia" w:ascii="仿宋" w:hAnsi="仿宋" w:eastAsia="仿宋"/>
          <w:sz w:val="32"/>
          <w:szCs w:val="32"/>
        </w:rPr>
        <w:t>20年相比，财政拨款收、支总计各增加</w:t>
      </w:r>
      <w:r>
        <w:rPr>
          <w:rFonts w:hint="eastAsia" w:ascii="仿宋" w:hAnsi="仿宋" w:eastAsia="仿宋"/>
          <w:sz w:val="32"/>
          <w:szCs w:val="32"/>
          <w:lang w:val="en-US" w:eastAsia="zh-CN"/>
        </w:rPr>
        <w:t>3.21</w:t>
      </w:r>
      <w:r>
        <w:rPr>
          <w:rFonts w:hint="eastAsia" w:ascii="仿宋" w:hAnsi="仿宋" w:eastAsia="仿宋"/>
          <w:sz w:val="32"/>
          <w:szCs w:val="32"/>
        </w:rPr>
        <w:t>万元，增长</w:t>
      </w:r>
      <w:r>
        <w:rPr>
          <w:rFonts w:hint="eastAsia" w:ascii="仿宋" w:hAnsi="仿宋" w:eastAsia="仿宋"/>
          <w:sz w:val="32"/>
          <w:szCs w:val="32"/>
          <w:lang w:val="en-US" w:eastAsia="zh-CN"/>
        </w:rPr>
        <w:t>2.10</w:t>
      </w:r>
      <w:r>
        <w:rPr>
          <w:rFonts w:ascii="仿宋" w:hAnsi="仿宋" w:eastAsia="仿宋"/>
          <w:sz w:val="32"/>
          <w:szCs w:val="32"/>
        </w:rPr>
        <w:t>%</w:t>
      </w:r>
      <w:r>
        <w:rPr>
          <w:rFonts w:hint="eastAsia" w:ascii="仿宋" w:hAnsi="仿宋" w:eastAsia="仿宋"/>
          <w:sz w:val="32"/>
          <w:szCs w:val="32"/>
        </w:rPr>
        <w:t>。主要变动原因</w:t>
      </w:r>
      <w:r>
        <w:rPr>
          <w:rFonts w:hint="eastAsia" w:ascii="仿宋" w:hAnsi="仿宋" w:eastAsia="仿宋"/>
          <w:sz w:val="32"/>
          <w:szCs w:val="32"/>
          <w:lang w:eastAsia="zh-CN"/>
        </w:rPr>
        <w:t>人员绩效工资和薪级工资正常晋升。</w:t>
      </w:r>
    </w:p>
    <w:p>
      <w:pPr>
        <w:pStyle w:val="2"/>
        <w:rPr>
          <w:rFonts w:hint="eastAsia" w:ascii="仿宋" w:hAnsi="仿宋" w:eastAsia="仿宋"/>
          <w:sz w:val="32"/>
          <w:szCs w:val="32"/>
          <w:lang w:eastAsia="zh-CN"/>
        </w:rPr>
      </w:pPr>
      <w:r>
        <w:rPr>
          <w:rFonts w:hint="eastAsia"/>
          <w:lang w:eastAsia="zh-CN"/>
        </w:rPr>
        <w:drawing>
          <wp:anchor distT="0" distB="0" distL="114300" distR="114300" simplePos="0" relativeHeight="251671552" behindDoc="1" locked="0" layoutInCell="1" allowOverlap="1">
            <wp:simplePos x="0" y="0"/>
            <wp:positionH relativeFrom="column">
              <wp:posOffset>156845</wp:posOffset>
            </wp:positionH>
            <wp:positionV relativeFrom="paragraph">
              <wp:posOffset>213995</wp:posOffset>
            </wp:positionV>
            <wp:extent cx="4775835" cy="3305810"/>
            <wp:effectExtent l="4445" t="4445" r="58420" b="80645"/>
            <wp:wrapTight wrapText="bothSides">
              <wp:wrapPolygon>
                <wp:start x="-20" y="-29"/>
                <wp:lineTo x="-20" y="21505"/>
                <wp:lineTo x="21520" y="21505"/>
                <wp:lineTo x="21520" y="-29"/>
                <wp:lineTo x="-20" y="-29"/>
              </wp:wrapPolygon>
            </wp:wrapTight>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pStyle w:val="2"/>
        <w:rPr>
          <w:rFonts w:hint="eastAsia" w:ascii="仿宋" w:hAnsi="仿宋" w:eastAsia="仿宋"/>
          <w:sz w:val="32"/>
          <w:szCs w:val="32"/>
          <w:lang w:eastAsia="zh-CN"/>
        </w:rPr>
      </w:pPr>
    </w:p>
    <w:p>
      <w:pPr>
        <w:pStyle w:val="2"/>
        <w:rPr>
          <w:rFonts w:hint="eastAsia" w:ascii="仿宋" w:hAnsi="仿宋" w:eastAsia="仿宋"/>
          <w:sz w:val="32"/>
          <w:szCs w:val="32"/>
          <w:lang w:eastAsia="zh-CN"/>
        </w:rPr>
      </w:pPr>
    </w:p>
    <w:p>
      <w:pPr>
        <w:pStyle w:val="2"/>
        <w:rPr>
          <w:rFonts w:hint="eastAsia" w:ascii="仿宋" w:hAnsi="仿宋" w:eastAsia="仿宋"/>
          <w:sz w:val="32"/>
          <w:szCs w:val="32"/>
          <w:lang w:eastAsia="zh-CN"/>
        </w:rPr>
      </w:pPr>
    </w:p>
    <w:p>
      <w:pPr>
        <w:pStyle w:val="2"/>
        <w:rPr>
          <w:rFonts w:hint="eastAsia" w:ascii="仿宋" w:hAnsi="仿宋" w:eastAsia="仿宋"/>
          <w:sz w:val="32"/>
          <w:szCs w:val="32"/>
          <w:lang w:eastAsia="zh-CN"/>
        </w:rPr>
      </w:pPr>
    </w:p>
    <w:p>
      <w:pPr>
        <w:pStyle w:val="2"/>
        <w:ind w:firstLine="640" w:firstLineChars="200"/>
        <w:rPr>
          <w:rFonts w:hint="eastAsia" w:ascii="黑体" w:hAnsi="黑体" w:eastAsia="黑体"/>
          <w:sz w:val="32"/>
          <w:szCs w:val="32"/>
        </w:rPr>
      </w:pPr>
      <w:bookmarkStart w:id="26" w:name="_Toc15396607"/>
      <w:bookmarkStart w:id="27" w:name="_Toc15377209"/>
    </w:p>
    <w:p>
      <w:pPr>
        <w:pStyle w:val="2"/>
        <w:ind w:firstLine="640" w:firstLineChars="200"/>
        <w:rPr>
          <w:rFonts w:hint="eastAsia" w:ascii="黑体" w:hAnsi="黑体" w:eastAsia="黑体"/>
          <w:sz w:val="32"/>
          <w:szCs w:val="32"/>
        </w:rPr>
      </w:pPr>
    </w:p>
    <w:p>
      <w:pPr>
        <w:pStyle w:val="2"/>
        <w:ind w:firstLine="640" w:firstLineChars="200"/>
        <w:rPr>
          <w:rFonts w:hint="eastAsia" w:ascii="黑体" w:hAnsi="黑体" w:eastAsia="黑体"/>
          <w:sz w:val="32"/>
          <w:szCs w:val="32"/>
        </w:rPr>
      </w:pPr>
    </w:p>
    <w:p>
      <w:pPr>
        <w:pStyle w:val="2"/>
        <w:ind w:firstLine="640" w:firstLineChars="200"/>
        <w:rPr>
          <w:rFonts w:hint="eastAsia" w:ascii="黑体" w:hAnsi="黑体" w:eastAsia="黑体"/>
          <w:sz w:val="32"/>
          <w:szCs w:val="32"/>
        </w:rPr>
      </w:pPr>
    </w:p>
    <w:p>
      <w:pPr>
        <w:pStyle w:val="2"/>
        <w:ind w:firstLine="640" w:firstLineChars="200"/>
        <w:rPr>
          <w:rFonts w:hint="eastAsia" w:ascii="黑体" w:hAnsi="黑体" w:eastAsia="黑体"/>
          <w:sz w:val="32"/>
          <w:szCs w:val="32"/>
        </w:rPr>
      </w:pPr>
    </w:p>
    <w:p>
      <w:pPr>
        <w:pStyle w:val="2"/>
        <w:ind w:firstLine="640" w:firstLineChars="200"/>
        <w:rPr>
          <w:rFonts w:hint="eastAsia" w:ascii="黑体" w:hAnsi="黑体" w:eastAsia="黑体"/>
          <w:sz w:val="32"/>
          <w:szCs w:val="32"/>
        </w:rPr>
      </w:pPr>
    </w:p>
    <w:p>
      <w:pPr>
        <w:pStyle w:val="2"/>
        <w:ind w:firstLine="640" w:firstLineChars="200"/>
        <w:rPr>
          <w:rFonts w:hint="eastAsia" w:ascii="黑体" w:hAnsi="黑体" w:eastAsia="黑体"/>
          <w:sz w:val="32"/>
          <w:szCs w:val="32"/>
        </w:rPr>
      </w:pPr>
    </w:p>
    <w:p>
      <w:pPr>
        <w:pStyle w:val="2"/>
        <w:ind w:firstLine="640" w:firstLineChars="200"/>
        <w:rPr>
          <w:rFonts w:hint="eastAsia" w:ascii="黑体" w:hAnsi="黑体" w:eastAsia="黑体"/>
          <w:sz w:val="32"/>
          <w:szCs w:val="32"/>
        </w:rPr>
      </w:pPr>
    </w:p>
    <w:p>
      <w:pPr>
        <w:pStyle w:val="2"/>
        <w:ind w:firstLine="640" w:firstLineChars="200"/>
        <w:rPr>
          <w:rFonts w:hint="eastAsia" w:ascii="黑体" w:hAnsi="黑体" w:eastAsia="黑体"/>
          <w:sz w:val="32"/>
          <w:szCs w:val="32"/>
        </w:rPr>
      </w:pPr>
    </w:p>
    <w:p>
      <w:pPr>
        <w:pStyle w:val="2"/>
        <w:ind w:firstLine="640" w:firstLineChars="200"/>
        <w:rPr>
          <w:rFonts w:hint="eastAsia" w:ascii="黑体" w:hAnsi="黑体" w:eastAsia="黑体"/>
          <w:sz w:val="32"/>
          <w:szCs w:val="32"/>
        </w:rPr>
      </w:pPr>
    </w:p>
    <w:p>
      <w:pPr>
        <w:pStyle w:val="2"/>
        <w:ind w:firstLine="640" w:firstLineChars="200"/>
        <w:rPr>
          <w:rFonts w:hint="eastAsia" w:ascii="黑体" w:hAnsi="黑体" w:eastAsia="黑体"/>
          <w:sz w:val="32"/>
          <w:szCs w:val="32"/>
        </w:rPr>
      </w:pPr>
    </w:p>
    <w:p>
      <w:pPr>
        <w:pStyle w:val="2"/>
        <w:ind w:firstLine="640" w:firstLineChars="200"/>
        <w:rPr>
          <w:rStyle w:val="26"/>
          <w:rFonts w:ascii="黑体" w:hAnsi="黑体" w:eastAsia="黑体"/>
          <w:b w:val="0"/>
        </w:rPr>
      </w:pPr>
      <w:r>
        <w:rPr>
          <w:rFonts w:hint="eastAsia" w:ascii="黑体" w:hAnsi="黑体" w:eastAsia="黑体"/>
          <w:sz w:val="32"/>
          <w:szCs w:val="32"/>
        </w:rPr>
        <w:t>五、</w:t>
      </w:r>
      <w:r>
        <w:rPr>
          <w:rFonts w:hint="eastAsia" w:ascii="黑体" w:hAnsi="黑体" w:eastAsia="黑体"/>
          <w:b/>
          <w:sz w:val="32"/>
          <w:szCs w:val="32"/>
        </w:rPr>
        <w:t>一</w:t>
      </w:r>
      <w:r>
        <w:rPr>
          <w:rStyle w:val="26"/>
          <w:rFonts w:hint="eastAsia" w:ascii="黑体" w:hAnsi="黑体" w:eastAsia="黑体"/>
          <w:b w:val="0"/>
        </w:rPr>
        <w:t>般公共预算财政拨款支出决算情况说明</w:t>
      </w:r>
      <w:bookmarkEnd w:id="26"/>
      <w:bookmarkEnd w:id="27"/>
    </w:p>
    <w:p>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152.47</w:t>
      </w:r>
      <w:r>
        <w:rPr>
          <w:rFonts w:hint="eastAsia" w:ascii="仿宋" w:hAnsi="仿宋" w:eastAsia="仿宋"/>
          <w:sz w:val="32"/>
          <w:szCs w:val="32"/>
        </w:rPr>
        <w:t>万元，占本年支出合计的</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20年相比，一般公共预算财政拨款支出增加</w:t>
      </w:r>
      <w:r>
        <w:rPr>
          <w:rFonts w:hint="eastAsia" w:ascii="仿宋" w:hAnsi="仿宋" w:eastAsia="仿宋"/>
          <w:sz w:val="32"/>
          <w:szCs w:val="32"/>
          <w:lang w:val="en-US" w:eastAsia="zh-CN"/>
        </w:rPr>
        <w:t>3.21</w:t>
      </w:r>
      <w:r>
        <w:rPr>
          <w:rFonts w:hint="eastAsia" w:ascii="仿宋" w:hAnsi="仿宋" w:eastAsia="仿宋"/>
          <w:sz w:val="32"/>
          <w:szCs w:val="32"/>
        </w:rPr>
        <w:t>万元，增长</w:t>
      </w:r>
      <w:r>
        <w:rPr>
          <w:rFonts w:hint="eastAsia" w:ascii="仿宋" w:hAnsi="仿宋" w:eastAsia="仿宋"/>
          <w:sz w:val="32"/>
          <w:szCs w:val="32"/>
          <w:lang w:val="en-US" w:eastAsia="zh-CN"/>
        </w:rPr>
        <w:t>2.10</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基本支出人员经费增加。</w:t>
      </w:r>
    </w:p>
    <w:p>
      <w:pPr>
        <w:spacing w:line="600" w:lineRule="exact"/>
        <w:ind w:firstLine="640" w:firstLineChars="200"/>
        <w:rPr>
          <w:rFonts w:ascii="仿宋" w:hAnsi="仿宋" w:eastAsia="仿宋"/>
          <w:sz w:val="32"/>
          <w:szCs w:val="32"/>
        </w:rPr>
      </w:pPr>
    </w:p>
    <w:p>
      <w:pPr>
        <w:pStyle w:val="2"/>
        <w:rPr>
          <w:rFonts w:hint="eastAsia" w:ascii="仿宋" w:hAnsi="仿宋" w:eastAsia="仿宋"/>
          <w:sz w:val="32"/>
          <w:szCs w:val="32"/>
        </w:rPr>
      </w:pPr>
      <w:r>
        <w:rPr>
          <w:rFonts w:hint="eastAsia"/>
          <w:lang w:eastAsia="zh-CN"/>
        </w:rPr>
        <w:drawing>
          <wp:anchor distT="0" distB="0" distL="114300" distR="114300" simplePos="0" relativeHeight="251685888" behindDoc="1" locked="0" layoutInCell="1" allowOverlap="1">
            <wp:simplePos x="0" y="0"/>
            <wp:positionH relativeFrom="column">
              <wp:posOffset>480695</wp:posOffset>
            </wp:positionH>
            <wp:positionV relativeFrom="paragraph">
              <wp:posOffset>36195</wp:posOffset>
            </wp:positionV>
            <wp:extent cx="4718685" cy="3296285"/>
            <wp:effectExtent l="4445" t="4445" r="58420" b="13970"/>
            <wp:wrapTight wrapText="bothSides">
              <wp:wrapPolygon>
                <wp:start x="-20" y="-29"/>
                <wp:lineTo x="-20" y="21567"/>
                <wp:lineTo x="21519" y="21567"/>
                <wp:lineTo x="21519" y="-29"/>
                <wp:lineTo x="-20" y="-29"/>
              </wp:wrapPolygon>
            </wp:wrapTight>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pStyle w:val="2"/>
        <w:rPr>
          <w:rFonts w:hint="eastAsia" w:ascii="仿宋" w:hAnsi="仿宋" w:eastAsia="仿宋"/>
          <w:sz w:val="32"/>
          <w:szCs w:val="32"/>
        </w:rPr>
      </w:pPr>
    </w:p>
    <w:p>
      <w:pPr>
        <w:pStyle w:val="2"/>
        <w:rPr>
          <w:rFonts w:hint="eastAsia" w:ascii="仿宋" w:hAnsi="仿宋" w:eastAsia="仿宋"/>
          <w:sz w:val="32"/>
          <w:szCs w:val="32"/>
        </w:rPr>
      </w:pPr>
    </w:p>
    <w:p>
      <w:pPr>
        <w:pStyle w:val="2"/>
        <w:rPr>
          <w:rFonts w:hint="eastAsia" w:ascii="仿宋" w:hAnsi="仿宋" w:eastAsia="仿宋"/>
          <w:sz w:val="32"/>
          <w:szCs w:val="32"/>
        </w:rPr>
      </w:pPr>
    </w:p>
    <w:p>
      <w:pPr>
        <w:pStyle w:val="2"/>
        <w:rPr>
          <w:rFonts w:hint="eastAsia" w:ascii="仿宋" w:hAnsi="仿宋" w:eastAsia="仿宋"/>
          <w:sz w:val="32"/>
          <w:szCs w:val="32"/>
        </w:rPr>
      </w:pPr>
    </w:p>
    <w:p>
      <w:pPr>
        <w:pStyle w:val="2"/>
        <w:rPr>
          <w:rFonts w:hint="eastAsia" w:ascii="仿宋" w:hAnsi="仿宋" w:eastAsia="仿宋"/>
          <w:sz w:val="32"/>
          <w:szCs w:val="32"/>
        </w:rPr>
      </w:pPr>
    </w:p>
    <w:p>
      <w:pPr>
        <w:spacing w:line="600" w:lineRule="exact"/>
        <w:ind w:firstLine="643" w:firstLineChars="200"/>
        <w:rPr>
          <w:rFonts w:hint="eastAsia" w:ascii="仿宋" w:hAnsi="仿宋" w:eastAsia="仿宋"/>
          <w:b/>
          <w:sz w:val="32"/>
          <w:szCs w:val="32"/>
        </w:rPr>
      </w:pPr>
      <w:bookmarkStart w:id="29" w:name="_Toc15377211"/>
    </w:p>
    <w:p>
      <w:pPr>
        <w:spacing w:line="600" w:lineRule="exact"/>
        <w:ind w:firstLine="643" w:firstLineChars="200"/>
        <w:outlineLvl w:val="2"/>
        <w:rPr>
          <w:rFonts w:ascii="仿宋" w:hAnsi="仿宋" w:eastAsia="仿宋"/>
          <w:b/>
          <w:sz w:val="32"/>
          <w:szCs w:val="32"/>
        </w:rPr>
      </w:pPr>
      <w:r>
        <w:rPr>
          <w:rFonts w:hint="eastAsia" w:ascii="仿宋" w:hAnsi="仿宋" w:eastAsia="仿宋"/>
          <w:b/>
          <w:sz w:val="32"/>
          <w:szCs w:val="32"/>
        </w:rPr>
        <w:t>（二）一般公共预算财政拨款支出决算结构情况</w:t>
      </w:r>
      <w:bookmarkEnd w:id="29"/>
    </w:p>
    <w:p>
      <w:pPr>
        <w:spacing w:line="600" w:lineRule="exact"/>
        <w:ind w:firstLine="64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152.47</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一般公共服务（类）</w:t>
      </w:r>
      <w:r>
        <w:rPr>
          <w:rFonts w:hint="eastAsia" w:ascii="仿宋" w:hAnsi="仿宋" w:eastAsia="仿宋"/>
          <w:sz w:val="32"/>
          <w:szCs w:val="32"/>
        </w:rPr>
        <w:t>支出</w:t>
      </w:r>
      <w:r>
        <w:rPr>
          <w:rFonts w:hint="eastAsia" w:ascii="仿宋" w:hAnsi="仿宋" w:eastAsia="仿宋"/>
          <w:sz w:val="32"/>
          <w:szCs w:val="32"/>
          <w:lang w:val="en-US" w:eastAsia="zh-CN"/>
        </w:rPr>
        <w:t>117.54</w:t>
      </w:r>
      <w:r>
        <w:rPr>
          <w:rFonts w:hint="eastAsia" w:ascii="仿宋" w:hAnsi="仿宋" w:eastAsia="仿宋"/>
          <w:sz w:val="32"/>
          <w:szCs w:val="32"/>
        </w:rPr>
        <w:t>万元，占</w:t>
      </w:r>
      <w:r>
        <w:rPr>
          <w:rFonts w:hint="eastAsia" w:ascii="仿宋" w:hAnsi="仿宋" w:eastAsia="仿宋"/>
          <w:sz w:val="32"/>
          <w:szCs w:val="32"/>
          <w:lang w:val="en-US" w:eastAsia="zh-CN"/>
        </w:rPr>
        <w:t>77.09</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社会保障和就业（类）</w:t>
      </w:r>
      <w:r>
        <w:rPr>
          <w:rFonts w:hint="eastAsia" w:ascii="仿宋" w:hAnsi="仿宋" w:eastAsia="仿宋"/>
          <w:sz w:val="32"/>
          <w:szCs w:val="32"/>
        </w:rPr>
        <w:t>支出</w:t>
      </w:r>
      <w:r>
        <w:rPr>
          <w:rFonts w:hint="eastAsia" w:ascii="仿宋" w:hAnsi="仿宋" w:eastAsia="仿宋"/>
          <w:sz w:val="32"/>
          <w:szCs w:val="32"/>
          <w:lang w:val="en-US" w:eastAsia="zh-CN"/>
        </w:rPr>
        <w:t>17.35</w:t>
      </w:r>
      <w:r>
        <w:rPr>
          <w:rFonts w:hint="eastAsia" w:ascii="仿宋" w:hAnsi="仿宋" w:eastAsia="仿宋"/>
          <w:sz w:val="32"/>
          <w:szCs w:val="32"/>
        </w:rPr>
        <w:t>万元，占</w:t>
      </w:r>
      <w:r>
        <w:rPr>
          <w:rFonts w:hint="eastAsia" w:ascii="仿宋" w:hAnsi="仿宋" w:eastAsia="仿宋"/>
          <w:sz w:val="32"/>
          <w:szCs w:val="32"/>
          <w:lang w:val="en-US" w:eastAsia="zh-CN"/>
        </w:rPr>
        <w:t>11.38</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b/>
          <w:bCs/>
          <w:sz w:val="32"/>
          <w:szCs w:val="32"/>
          <w:lang w:val="en-US" w:eastAsia="zh-CN"/>
        </w:rPr>
        <w:t>4.40</w:t>
      </w:r>
      <w:r>
        <w:rPr>
          <w:rFonts w:hint="eastAsia" w:ascii="仿宋" w:hAnsi="仿宋" w:eastAsia="仿宋"/>
          <w:sz w:val="32"/>
          <w:szCs w:val="32"/>
        </w:rPr>
        <w:t>万元，占</w:t>
      </w:r>
      <w:r>
        <w:rPr>
          <w:rFonts w:hint="eastAsia" w:ascii="仿宋" w:hAnsi="仿宋" w:eastAsia="仿宋"/>
          <w:sz w:val="32"/>
          <w:szCs w:val="32"/>
          <w:lang w:val="en-US" w:eastAsia="zh-CN"/>
        </w:rPr>
        <w:t>2.89</w:t>
      </w:r>
      <w:r>
        <w:rPr>
          <w:rFonts w:ascii="仿宋" w:hAnsi="仿宋" w:eastAsia="仿宋"/>
          <w:sz w:val="32"/>
          <w:szCs w:val="32"/>
        </w:rPr>
        <w:t>%</w:t>
      </w:r>
      <w:r>
        <w:rPr>
          <w:rFonts w:hint="eastAsia" w:ascii="仿宋" w:hAnsi="仿宋" w:eastAsia="仿宋"/>
          <w:sz w:val="32"/>
          <w:szCs w:val="32"/>
        </w:rPr>
        <w:t>；住房保障支出</w:t>
      </w:r>
      <w:r>
        <w:rPr>
          <w:rFonts w:hint="eastAsia" w:ascii="仿宋" w:hAnsi="仿宋" w:eastAsia="仿宋"/>
          <w:sz w:val="32"/>
          <w:szCs w:val="32"/>
          <w:lang w:val="en-US" w:eastAsia="zh-CN"/>
        </w:rPr>
        <w:t>13.18</w:t>
      </w:r>
      <w:r>
        <w:rPr>
          <w:rFonts w:hint="eastAsia" w:ascii="仿宋" w:hAnsi="仿宋" w:eastAsia="仿宋"/>
          <w:sz w:val="32"/>
          <w:szCs w:val="32"/>
        </w:rPr>
        <w:t>万元，占</w:t>
      </w:r>
      <w:r>
        <w:rPr>
          <w:rFonts w:hint="eastAsia" w:ascii="仿宋" w:hAnsi="仿宋" w:eastAsia="仿宋"/>
          <w:sz w:val="32"/>
          <w:szCs w:val="32"/>
          <w:lang w:val="en-US" w:eastAsia="zh-CN"/>
        </w:rPr>
        <w:t>8.64</w:t>
      </w:r>
      <w:r>
        <w:rPr>
          <w:rFonts w:ascii="仿宋" w:hAnsi="仿宋" w:eastAsia="仿宋"/>
          <w:sz w:val="32"/>
          <w:szCs w:val="32"/>
        </w:rPr>
        <w:t>%</w:t>
      </w:r>
      <w:r>
        <w:rPr>
          <w:rFonts w:hint="eastAsia" w:ascii="仿宋" w:hAnsi="仿宋" w:eastAsia="仿宋"/>
          <w:sz w:val="32"/>
          <w:szCs w:val="32"/>
        </w:rPr>
        <w:t>。</w:t>
      </w:r>
    </w:p>
    <w:p>
      <w:pPr>
        <w:spacing w:line="600" w:lineRule="exact"/>
        <w:rPr>
          <w:rFonts w:ascii="仿宋" w:hAnsi="仿宋" w:eastAsia="仿宋"/>
          <w:sz w:val="32"/>
          <w:szCs w:val="32"/>
        </w:rPr>
      </w:pPr>
    </w:p>
    <w:p>
      <w:pPr>
        <w:spacing w:line="600" w:lineRule="exact"/>
        <w:ind w:firstLine="640" w:firstLineChars="200"/>
        <w:rPr>
          <w:rFonts w:hint="eastAsia" w:ascii="仿宋" w:hAnsi="仿宋" w:eastAsia="仿宋"/>
          <w:sz w:val="32"/>
          <w:szCs w:val="32"/>
          <w:lang w:eastAsia="zh-CN"/>
        </w:rPr>
      </w:pPr>
    </w:p>
    <w:p>
      <w:pPr>
        <w:pStyle w:val="2"/>
      </w:pPr>
      <w:r>
        <w:rPr>
          <w:rFonts w:hint="eastAsia" w:eastAsia="仿宋_GB2312"/>
          <w:lang w:eastAsia="zh-CN"/>
        </w:rPr>
        <w:drawing>
          <wp:anchor distT="0" distB="0" distL="114300" distR="114300" simplePos="0" relativeHeight="251686912" behindDoc="0" locked="0" layoutInCell="1" allowOverlap="1">
            <wp:simplePos x="0" y="0"/>
            <wp:positionH relativeFrom="column">
              <wp:posOffset>499745</wp:posOffset>
            </wp:positionH>
            <wp:positionV relativeFrom="paragraph">
              <wp:posOffset>33655</wp:posOffset>
            </wp:positionV>
            <wp:extent cx="4518660" cy="3248660"/>
            <wp:effectExtent l="4445" t="4445" r="10795" b="23495"/>
            <wp:wrapSquare wrapText="bothSides"/>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pStyle w:val="2"/>
      </w:pPr>
    </w:p>
    <w:p>
      <w:pPr>
        <w:pStyle w:val="2"/>
      </w:pPr>
    </w:p>
    <w:p>
      <w:pPr>
        <w:pStyle w:val="2"/>
      </w:pPr>
    </w:p>
    <w:p>
      <w:pPr>
        <w:pStyle w:val="2"/>
      </w:pPr>
    </w:p>
    <w:p>
      <w:pPr>
        <w:pStyle w:val="2"/>
        <w:rPr>
          <w:rFonts w:hint="eastAsia" w:eastAsia="仿宋_GB2312"/>
          <w:lang w:eastAsia="zh-CN"/>
        </w:rPr>
      </w:pPr>
    </w:p>
    <w:p>
      <w:pPr>
        <w:pStyle w:val="2"/>
      </w:pPr>
    </w:p>
    <w:p>
      <w:pPr>
        <w:spacing w:line="600" w:lineRule="exact"/>
        <w:ind w:firstLine="643" w:firstLineChars="200"/>
        <w:outlineLvl w:val="2"/>
        <w:rPr>
          <w:rFonts w:hint="eastAsia" w:ascii="仿宋" w:hAnsi="仿宋" w:eastAsia="仿宋"/>
          <w:b/>
          <w:sz w:val="32"/>
          <w:szCs w:val="32"/>
        </w:rPr>
      </w:pPr>
      <w:bookmarkStart w:id="30" w:name="_Toc15377212"/>
      <w:r>
        <w:rPr>
          <w:rFonts w:hint="eastAsia" w:ascii="仿宋" w:hAnsi="仿宋" w:eastAsia="仿宋"/>
          <w:b/>
          <w:sz w:val="32"/>
          <w:szCs w:val="32"/>
        </w:rPr>
        <w:t>（</w:t>
      </w:r>
    </w:p>
    <w:p>
      <w:pPr>
        <w:spacing w:line="600" w:lineRule="exact"/>
        <w:outlineLvl w:val="2"/>
        <w:rPr>
          <w:rFonts w:hint="eastAsia" w:ascii="仿宋" w:hAnsi="仿宋" w:eastAsia="仿宋"/>
          <w:b/>
          <w:sz w:val="32"/>
          <w:szCs w:val="32"/>
          <w:lang w:eastAsia="zh-CN"/>
        </w:rPr>
      </w:pPr>
    </w:p>
    <w:p>
      <w:pPr>
        <w:spacing w:line="600" w:lineRule="exact"/>
        <w:ind w:firstLine="321" w:firstLineChars="100"/>
        <w:outlineLvl w:val="2"/>
        <w:rPr>
          <w:rFonts w:ascii="仿宋" w:hAnsi="仿宋" w:eastAsia="仿宋"/>
          <w:b/>
          <w:sz w:val="32"/>
          <w:szCs w:val="32"/>
        </w:rPr>
      </w:pPr>
      <w:r>
        <w:rPr>
          <w:rFonts w:hint="eastAsia" w:ascii="仿宋" w:hAnsi="仿宋" w:eastAsia="仿宋"/>
          <w:b/>
          <w:sz w:val="32"/>
          <w:szCs w:val="32"/>
          <w:lang w:eastAsia="zh-CN"/>
        </w:rPr>
        <w:t>（三）</w:t>
      </w:r>
      <w:r>
        <w:rPr>
          <w:rFonts w:hint="eastAsia" w:ascii="仿宋" w:hAnsi="仿宋" w:eastAsia="仿宋"/>
          <w:b/>
          <w:sz w:val="32"/>
          <w:szCs w:val="32"/>
        </w:rPr>
        <w:t>一般公共预算财政拨款支出决算具体情况</w:t>
      </w:r>
      <w:bookmarkEnd w:id="30"/>
    </w:p>
    <w:p>
      <w:pPr>
        <w:spacing w:line="600" w:lineRule="exact"/>
        <w:ind w:firstLine="643" w:firstLineChars="200"/>
        <w:outlineLvl w:val="2"/>
        <w:rPr>
          <w:rFonts w:ascii="仿宋" w:hAnsi="仿宋" w:eastAsia="仿宋"/>
          <w:sz w:val="32"/>
          <w:szCs w:val="32"/>
        </w:rPr>
      </w:pPr>
      <w:bookmarkStart w:id="31" w:name="_Toc15377444"/>
      <w:bookmarkStart w:id="32" w:name="_Toc15378460"/>
      <w:bookmarkStart w:id="33" w:name="_Toc15377213"/>
      <w:r>
        <w:rPr>
          <w:rFonts w:hint="eastAsia" w:ascii="仿宋" w:hAnsi="仿宋" w:eastAsia="仿宋"/>
          <w:b/>
          <w:sz w:val="32"/>
          <w:szCs w:val="32"/>
        </w:rPr>
        <w:t>2021年一般公共预算支出决算数为</w:t>
      </w:r>
      <w:r>
        <w:rPr>
          <w:rFonts w:hint="eastAsia" w:ascii="仿宋" w:hAnsi="仿宋" w:eastAsia="仿宋"/>
          <w:b/>
          <w:sz w:val="32"/>
          <w:szCs w:val="32"/>
          <w:lang w:val="en-US" w:eastAsia="zh-CN"/>
        </w:rPr>
        <w:t>152.47</w:t>
      </w:r>
      <w:r>
        <w:rPr>
          <w:rFonts w:hint="eastAsia" w:ascii="仿宋" w:hAnsi="仿宋" w:eastAsia="仿宋"/>
          <w:sz w:val="32"/>
          <w:szCs w:val="32"/>
        </w:rPr>
        <w:t>，</w:t>
      </w:r>
      <w:r>
        <w:rPr>
          <w:rStyle w:val="14"/>
          <w:rFonts w:hint="eastAsia" w:ascii="仿宋" w:hAnsi="仿宋" w:eastAsia="仿宋"/>
          <w:bCs/>
          <w:sz w:val="32"/>
          <w:szCs w:val="32"/>
        </w:rPr>
        <w:t>完成预算</w:t>
      </w:r>
      <w:r>
        <w:rPr>
          <w:rStyle w:val="14"/>
          <w:rFonts w:hint="eastAsia" w:ascii="仿宋" w:hAnsi="仿宋" w:eastAsia="仿宋"/>
          <w:bCs/>
          <w:sz w:val="32"/>
          <w:szCs w:val="32"/>
          <w:lang w:val="en-US" w:eastAsia="zh-CN"/>
        </w:rPr>
        <w:t>100</w:t>
      </w:r>
      <w:r>
        <w:rPr>
          <w:rStyle w:val="14"/>
          <w:rFonts w:ascii="仿宋" w:hAnsi="仿宋" w:eastAsia="仿宋"/>
          <w:bCs/>
          <w:sz w:val="32"/>
          <w:szCs w:val="32"/>
        </w:rPr>
        <w:t>%</w:t>
      </w:r>
      <w:r>
        <w:rPr>
          <w:rStyle w:val="14"/>
          <w:rFonts w:hint="eastAsia" w:ascii="仿宋" w:hAnsi="仿宋" w:eastAsia="仿宋"/>
          <w:bCs/>
          <w:sz w:val="32"/>
          <w:szCs w:val="32"/>
        </w:rPr>
        <w:t>。其中：</w:t>
      </w:r>
      <w:bookmarkEnd w:id="31"/>
      <w:bookmarkEnd w:id="32"/>
      <w:bookmarkEnd w:id="33"/>
    </w:p>
    <w:p>
      <w:pPr>
        <w:spacing w:line="600" w:lineRule="exact"/>
        <w:ind w:firstLine="643" w:firstLineChars="200"/>
        <w:rPr>
          <w:rFonts w:ascii="仿宋" w:hAnsi="仿宋" w:eastAsia="仿宋"/>
          <w:b/>
          <w:sz w:val="32"/>
          <w:szCs w:val="32"/>
        </w:rPr>
      </w:pPr>
      <w:r>
        <w:rPr>
          <w:rStyle w:val="14"/>
          <w:rFonts w:ascii="仿宋" w:hAnsi="仿宋" w:eastAsia="仿宋"/>
          <w:bCs/>
          <w:sz w:val="32"/>
          <w:szCs w:val="32"/>
        </w:rPr>
        <w:t>1.</w:t>
      </w:r>
      <w:r>
        <w:rPr>
          <w:rStyle w:val="14"/>
          <w:rFonts w:hint="eastAsia" w:ascii="仿宋" w:hAnsi="仿宋" w:eastAsia="仿宋"/>
          <w:bCs/>
          <w:sz w:val="32"/>
          <w:szCs w:val="32"/>
        </w:rPr>
        <w:t>一般公共服务（类）</w:t>
      </w:r>
      <w:r>
        <w:rPr>
          <w:rStyle w:val="14"/>
          <w:rFonts w:hint="eastAsia" w:ascii="仿宋" w:hAnsi="仿宋" w:eastAsia="仿宋"/>
          <w:bCs/>
          <w:sz w:val="32"/>
          <w:szCs w:val="32"/>
          <w:lang w:eastAsia="zh-CN"/>
        </w:rPr>
        <w:t>公安</w:t>
      </w:r>
      <w:r>
        <w:rPr>
          <w:rStyle w:val="14"/>
          <w:rFonts w:hint="eastAsia" w:ascii="仿宋" w:hAnsi="仿宋" w:eastAsia="仿宋"/>
          <w:bCs/>
          <w:sz w:val="32"/>
          <w:szCs w:val="32"/>
        </w:rPr>
        <w:t>（款）</w:t>
      </w:r>
      <w:r>
        <w:rPr>
          <w:rStyle w:val="14"/>
          <w:rFonts w:hint="eastAsia" w:ascii="仿宋" w:hAnsi="仿宋" w:eastAsia="仿宋"/>
          <w:bCs/>
          <w:sz w:val="32"/>
          <w:szCs w:val="32"/>
          <w:lang w:eastAsia="zh-CN"/>
        </w:rPr>
        <w:t>事业运行</w:t>
      </w:r>
      <w:r>
        <w:rPr>
          <w:rStyle w:val="14"/>
          <w:rFonts w:hint="eastAsia" w:ascii="仿宋" w:hAnsi="仿宋" w:eastAsia="仿宋"/>
          <w:bCs/>
          <w:sz w:val="32"/>
          <w:szCs w:val="32"/>
        </w:rPr>
        <w:t>（项）</w:t>
      </w:r>
      <w:r>
        <w:rPr>
          <w:rStyle w:val="14"/>
          <w:rFonts w:ascii="仿宋" w:hAnsi="仿宋" w:eastAsia="仿宋"/>
          <w:bCs/>
          <w:sz w:val="32"/>
          <w:szCs w:val="32"/>
        </w:rPr>
        <w:t>:</w:t>
      </w:r>
      <w:r>
        <w:rPr>
          <w:rStyle w:val="14"/>
          <w:rFonts w:ascii="仿宋" w:hAnsi="仿宋" w:eastAsia="仿宋"/>
          <w:b w:val="0"/>
          <w:bCs/>
          <w:sz w:val="32"/>
          <w:szCs w:val="32"/>
        </w:rPr>
        <w:t xml:space="preserve"> </w:t>
      </w:r>
      <w:r>
        <w:rPr>
          <w:rStyle w:val="14"/>
          <w:rFonts w:hint="eastAsia" w:ascii="仿宋" w:hAnsi="仿宋" w:eastAsia="仿宋"/>
          <w:b w:val="0"/>
          <w:bCs/>
          <w:sz w:val="32"/>
          <w:szCs w:val="32"/>
        </w:rPr>
        <w:t>支出决算为</w:t>
      </w:r>
      <w:r>
        <w:rPr>
          <w:rStyle w:val="14"/>
          <w:rFonts w:hint="eastAsia" w:ascii="仿宋" w:hAnsi="仿宋" w:eastAsia="仿宋"/>
          <w:b w:val="0"/>
          <w:bCs/>
          <w:sz w:val="32"/>
          <w:szCs w:val="32"/>
          <w:lang w:val="en-US" w:eastAsia="zh-CN"/>
        </w:rPr>
        <w:t>117.54</w:t>
      </w:r>
      <w:r>
        <w:rPr>
          <w:rStyle w:val="14"/>
          <w:rFonts w:hint="eastAsia" w:ascii="仿宋" w:hAnsi="仿宋" w:eastAsia="仿宋"/>
          <w:b w:val="0"/>
          <w:bCs/>
          <w:sz w:val="32"/>
          <w:szCs w:val="32"/>
        </w:rPr>
        <w:t>万元，完成预算</w:t>
      </w:r>
      <w:r>
        <w:rPr>
          <w:rStyle w:val="14"/>
          <w:rFonts w:hint="eastAsia" w:ascii="仿宋" w:hAnsi="仿宋" w:eastAsia="仿宋"/>
          <w:b w:val="0"/>
          <w:bCs/>
          <w:sz w:val="32"/>
          <w:szCs w:val="32"/>
          <w:lang w:val="en-US" w:eastAsia="zh-CN"/>
        </w:rPr>
        <w:t>100</w:t>
      </w:r>
      <w:r>
        <w:rPr>
          <w:rStyle w:val="14"/>
          <w:rFonts w:ascii="仿宋" w:hAnsi="仿宋" w:eastAsia="仿宋"/>
          <w:b w:val="0"/>
          <w:bCs/>
          <w:sz w:val="32"/>
          <w:szCs w:val="32"/>
        </w:rPr>
        <w:t>%</w:t>
      </w:r>
      <w:r>
        <w:rPr>
          <w:rStyle w:val="14"/>
          <w:rFonts w:hint="eastAsia" w:ascii="仿宋" w:hAnsi="仿宋" w:eastAsia="仿宋"/>
          <w:b w:val="0"/>
          <w:bCs/>
          <w:sz w:val="32"/>
          <w:szCs w:val="32"/>
        </w:rPr>
        <w:t>，决算数等于预算数。</w:t>
      </w:r>
    </w:p>
    <w:p>
      <w:pPr>
        <w:spacing w:line="600" w:lineRule="exact"/>
        <w:ind w:firstLine="643" w:firstLineChars="200"/>
        <w:rPr>
          <w:rFonts w:ascii="仿宋" w:hAnsi="仿宋" w:eastAsia="仿宋"/>
          <w:b/>
          <w:sz w:val="32"/>
          <w:szCs w:val="32"/>
        </w:rPr>
      </w:pPr>
      <w:r>
        <w:rPr>
          <w:rStyle w:val="14"/>
          <w:rFonts w:hint="eastAsia" w:ascii="仿宋" w:hAnsi="仿宋" w:eastAsia="仿宋"/>
          <w:bCs/>
          <w:sz w:val="32"/>
          <w:szCs w:val="32"/>
          <w:lang w:val="en-US" w:eastAsia="zh-CN"/>
        </w:rPr>
        <w:t>2</w:t>
      </w:r>
      <w:r>
        <w:rPr>
          <w:rStyle w:val="14"/>
          <w:rFonts w:ascii="仿宋" w:hAnsi="仿宋" w:eastAsia="仿宋"/>
          <w:bCs/>
          <w:sz w:val="32"/>
          <w:szCs w:val="32"/>
        </w:rPr>
        <w:t>.</w:t>
      </w:r>
      <w:r>
        <w:rPr>
          <w:rStyle w:val="14"/>
          <w:rFonts w:hint="eastAsia" w:ascii="仿宋" w:hAnsi="仿宋" w:eastAsia="仿宋"/>
          <w:bCs/>
          <w:sz w:val="32"/>
          <w:szCs w:val="32"/>
        </w:rPr>
        <w:t>社会保障和就业（类）</w:t>
      </w:r>
      <w:r>
        <w:rPr>
          <w:rStyle w:val="14"/>
          <w:rFonts w:hint="eastAsia" w:ascii="仿宋" w:hAnsi="仿宋" w:eastAsia="仿宋"/>
          <w:bCs/>
          <w:sz w:val="32"/>
          <w:szCs w:val="32"/>
          <w:lang w:eastAsia="zh-CN"/>
        </w:rPr>
        <w:t>行政事业单位养老支出</w:t>
      </w:r>
      <w:r>
        <w:rPr>
          <w:rStyle w:val="14"/>
          <w:rFonts w:hint="eastAsia" w:ascii="仿宋" w:hAnsi="仿宋" w:eastAsia="仿宋"/>
          <w:bCs/>
          <w:sz w:val="32"/>
          <w:szCs w:val="32"/>
        </w:rPr>
        <w:t>（款）</w:t>
      </w:r>
      <w:r>
        <w:rPr>
          <w:rStyle w:val="14"/>
          <w:rFonts w:hint="eastAsia" w:ascii="仿宋" w:hAnsi="仿宋" w:eastAsia="仿宋"/>
          <w:bCs/>
          <w:sz w:val="32"/>
          <w:szCs w:val="32"/>
          <w:lang w:eastAsia="zh-CN"/>
        </w:rPr>
        <w:t>基本养老保险缴费和职业年金缴费</w:t>
      </w:r>
      <w:r>
        <w:rPr>
          <w:rStyle w:val="14"/>
          <w:rFonts w:hint="eastAsia" w:ascii="仿宋" w:hAnsi="仿宋" w:eastAsia="仿宋"/>
          <w:bCs/>
          <w:sz w:val="32"/>
          <w:szCs w:val="32"/>
        </w:rPr>
        <w:t>（项）</w:t>
      </w:r>
      <w:r>
        <w:rPr>
          <w:rStyle w:val="14"/>
          <w:rFonts w:ascii="仿宋" w:hAnsi="仿宋" w:eastAsia="仿宋"/>
          <w:bCs/>
          <w:sz w:val="32"/>
          <w:szCs w:val="32"/>
        </w:rPr>
        <w:t>:</w:t>
      </w:r>
      <w:r>
        <w:rPr>
          <w:rStyle w:val="14"/>
          <w:rFonts w:ascii="仿宋" w:hAnsi="仿宋" w:eastAsia="仿宋"/>
          <w:b w:val="0"/>
          <w:bCs/>
          <w:sz w:val="32"/>
          <w:szCs w:val="32"/>
        </w:rPr>
        <w:t xml:space="preserve"> </w:t>
      </w:r>
      <w:r>
        <w:rPr>
          <w:rStyle w:val="14"/>
          <w:rFonts w:hint="eastAsia" w:ascii="仿宋" w:hAnsi="仿宋" w:eastAsia="仿宋"/>
          <w:b w:val="0"/>
          <w:bCs/>
          <w:sz w:val="32"/>
          <w:szCs w:val="32"/>
        </w:rPr>
        <w:t>支出决算为</w:t>
      </w:r>
      <w:r>
        <w:rPr>
          <w:rStyle w:val="14"/>
          <w:rFonts w:hint="eastAsia" w:ascii="仿宋" w:hAnsi="仿宋" w:eastAsia="仿宋"/>
          <w:b w:val="0"/>
          <w:bCs/>
          <w:sz w:val="32"/>
          <w:szCs w:val="32"/>
          <w:lang w:val="en-US" w:eastAsia="zh-CN"/>
        </w:rPr>
        <w:t>17.35</w:t>
      </w:r>
      <w:r>
        <w:rPr>
          <w:rStyle w:val="14"/>
          <w:rFonts w:hint="eastAsia" w:ascii="仿宋" w:hAnsi="仿宋" w:eastAsia="仿宋"/>
          <w:b w:val="0"/>
          <w:bCs/>
          <w:sz w:val="32"/>
          <w:szCs w:val="32"/>
        </w:rPr>
        <w:t>万元，完成预算</w:t>
      </w:r>
      <w:r>
        <w:rPr>
          <w:rStyle w:val="14"/>
          <w:rFonts w:hint="eastAsia" w:ascii="仿宋" w:hAnsi="仿宋" w:eastAsia="仿宋"/>
          <w:b w:val="0"/>
          <w:bCs/>
          <w:sz w:val="32"/>
          <w:szCs w:val="32"/>
          <w:lang w:val="en-US" w:eastAsia="zh-CN"/>
        </w:rPr>
        <w:t>100</w:t>
      </w:r>
      <w:r>
        <w:rPr>
          <w:rStyle w:val="14"/>
          <w:rFonts w:ascii="仿宋" w:hAnsi="仿宋" w:eastAsia="仿宋"/>
          <w:b w:val="0"/>
          <w:bCs/>
          <w:sz w:val="32"/>
          <w:szCs w:val="32"/>
        </w:rPr>
        <w:t>%</w:t>
      </w:r>
      <w:r>
        <w:rPr>
          <w:rStyle w:val="14"/>
          <w:rFonts w:hint="eastAsia" w:ascii="仿宋" w:hAnsi="仿宋" w:eastAsia="仿宋"/>
          <w:b w:val="0"/>
          <w:bCs/>
          <w:sz w:val="32"/>
          <w:szCs w:val="32"/>
        </w:rPr>
        <w:t>，决算数等于预算数。</w:t>
      </w:r>
    </w:p>
    <w:p>
      <w:pPr>
        <w:spacing w:line="600" w:lineRule="exact"/>
        <w:ind w:firstLine="643" w:firstLineChars="200"/>
        <w:rPr>
          <w:rFonts w:ascii="仿宋" w:hAnsi="仿宋" w:eastAsia="仿宋"/>
          <w:b/>
          <w:sz w:val="32"/>
          <w:szCs w:val="32"/>
        </w:rPr>
      </w:pPr>
      <w:r>
        <w:rPr>
          <w:rStyle w:val="14"/>
          <w:rFonts w:hint="eastAsia" w:ascii="仿宋" w:hAnsi="仿宋" w:eastAsia="仿宋"/>
          <w:bCs/>
          <w:sz w:val="32"/>
          <w:szCs w:val="32"/>
          <w:lang w:val="en-US" w:eastAsia="zh-CN"/>
        </w:rPr>
        <w:t>3</w:t>
      </w:r>
      <w:r>
        <w:rPr>
          <w:rStyle w:val="14"/>
          <w:rFonts w:ascii="仿宋" w:hAnsi="仿宋" w:eastAsia="仿宋"/>
          <w:bCs/>
          <w:sz w:val="32"/>
          <w:szCs w:val="32"/>
        </w:rPr>
        <w:t>.</w:t>
      </w:r>
      <w:r>
        <w:rPr>
          <w:rFonts w:hint="eastAsia" w:ascii="仿宋" w:hAnsi="仿宋" w:eastAsia="仿宋"/>
          <w:b/>
          <w:bCs/>
          <w:sz w:val="32"/>
          <w:szCs w:val="32"/>
        </w:rPr>
        <w:t>卫生健康</w:t>
      </w:r>
      <w:r>
        <w:rPr>
          <w:rStyle w:val="14"/>
          <w:rFonts w:hint="eastAsia" w:ascii="仿宋" w:hAnsi="仿宋" w:eastAsia="仿宋"/>
          <w:bCs/>
          <w:sz w:val="32"/>
          <w:szCs w:val="32"/>
        </w:rPr>
        <w:t>（类）</w:t>
      </w:r>
      <w:r>
        <w:rPr>
          <w:rStyle w:val="14"/>
          <w:rFonts w:hint="eastAsia" w:ascii="仿宋" w:hAnsi="仿宋" w:eastAsia="仿宋"/>
          <w:bCs/>
          <w:sz w:val="32"/>
          <w:szCs w:val="32"/>
          <w:lang w:eastAsia="zh-CN"/>
        </w:rPr>
        <w:t>行政事业单位医疗</w:t>
      </w:r>
      <w:r>
        <w:rPr>
          <w:rStyle w:val="14"/>
          <w:rFonts w:hint="eastAsia" w:ascii="仿宋" w:hAnsi="仿宋" w:eastAsia="仿宋"/>
          <w:bCs/>
          <w:sz w:val="32"/>
          <w:szCs w:val="32"/>
        </w:rPr>
        <w:t>（款）</w:t>
      </w:r>
      <w:r>
        <w:rPr>
          <w:rStyle w:val="14"/>
          <w:rFonts w:hint="eastAsia" w:ascii="仿宋" w:hAnsi="仿宋" w:eastAsia="仿宋"/>
          <w:bCs/>
          <w:sz w:val="32"/>
          <w:szCs w:val="32"/>
          <w:lang w:eastAsia="zh-CN"/>
        </w:rPr>
        <w:t>事业单位医疗</w:t>
      </w:r>
      <w:r>
        <w:rPr>
          <w:rStyle w:val="14"/>
          <w:rFonts w:hint="eastAsia" w:ascii="仿宋" w:hAnsi="仿宋" w:eastAsia="仿宋"/>
          <w:bCs/>
          <w:sz w:val="32"/>
          <w:szCs w:val="32"/>
        </w:rPr>
        <w:t>（项）</w:t>
      </w:r>
      <w:r>
        <w:rPr>
          <w:rStyle w:val="14"/>
          <w:rFonts w:ascii="仿宋" w:hAnsi="仿宋" w:eastAsia="仿宋"/>
          <w:bCs/>
          <w:sz w:val="32"/>
          <w:szCs w:val="32"/>
        </w:rPr>
        <w:t>:</w:t>
      </w:r>
      <w:r>
        <w:rPr>
          <w:rStyle w:val="14"/>
          <w:rFonts w:hint="eastAsia" w:ascii="仿宋" w:hAnsi="仿宋" w:eastAsia="仿宋"/>
          <w:b w:val="0"/>
          <w:bCs/>
          <w:sz w:val="32"/>
          <w:szCs w:val="32"/>
        </w:rPr>
        <w:t>支出决算为</w:t>
      </w:r>
      <w:r>
        <w:rPr>
          <w:rStyle w:val="14"/>
          <w:rFonts w:hint="eastAsia" w:ascii="仿宋" w:hAnsi="仿宋" w:eastAsia="仿宋"/>
          <w:b w:val="0"/>
          <w:bCs/>
          <w:sz w:val="32"/>
          <w:szCs w:val="32"/>
          <w:lang w:val="en-US" w:eastAsia="zh-CN"/>
        </w:rPr>
        <w:t>4.40</w:t>
      </w:r>
      <w:r>
        <w:rPr>
          <w:rStyle w:val="14"/>
          <w:rFonts w:hint="eastAsia" w:ascii="仿宋" w:hAnsi="仿宋" w:eastAsia="仿宋"/>
          <w:b w:val="0"/>
          <w:bCs/>
          <w:sz w:val="32"/>
          <w:szCs w:val="32"/>
        </w:rPr>
        <w:t>万元，完成预算</w:t>
      </w:r>
      <w:r>
        <w:rPr>
          <w:rStyle w:val="14"/>
          <w:rFonts w:hint="eastAsia" w:ascii="仿宋" w:hAnsi="仿宋" w:eastAsia="仿宋"/>
          <w:b w:val="0"/>
          <w:bCs/>
          <w:sz w:val="32"/>
          <w:szCs w:val="32"/>
          <w:lang w:val="en-US" w:eastAsia="zh-CN"/>
        </w:rPr>
        <w:t>100</w:t>
      </w:r>
      <w:r>
        <w:rPr>
          <w:rStyle w:val="14"/>
          <w:rFonts w:ascii="仿宋" w:hAnsi="仿宋" w:eastAsia="仿宋"/>
          <w:b w:val="0"/>
          <w:bCs/>
          <w:sz w:val="32"/>
          <w:szCs w:val="32"/>
        </w:rPr>
        <w:t>%</w:t>
      </w:r>
      <w:r>
        <w:rPr>
          <w:rStyle w:val="14"/>
          <w:rFonts w:hint="eastAsia" w:ascii="仿宋" w:hAnsi="仿宋" w:eastAsia="仿宋"/>
          <w:b w:val="0"/>
          <w:bCs/>
          <w:sz w:val="32"/>
          <w:szCs w:val="32"/>
        </w:rPr>
        <w:t>，决算数等于预算数。</w:t>
      </w:r>
    </w:p>
    <w:p>
      <w:pPr>
        <w:spacing w:line="600" w:lineRule="exact"/>
        <w:rPr>
          <w:rFonts w:hint="default" w:ascii="仿宋" w:hAnsi="仿宋" w:eastAsia="仿宋"/>
          <w:sz w:val="32"/>
          <w:szCs w:val="32"/>
          <w:lang w:val="en-US" w:eastAsia="zh-CN"/>
        </w:rPr>
      </w:pPr>
      <w:r>
        <w:rPr>
          <w:rFonts w:hint="eastAsia" w:ascii="仿宋" w:hAnsi="仿宋" w:eastAsia="仿宋"/>
          <w:sz w:val="32"/>
          <w:szCs w:val="32"/>
          <w:lang w:val="en-US" w:eastAsia="zh-CN"/>
        </w:rPr>
        <w:t xml:space="preserve">    4.住房保障（类）住房改革（款）住房公积金（项）：支出决算为13.18万元，完成预算100%，决算数等于预算数。</w:t>
      </w:r>
    </w:p>
    <w:p>
      <w:pPr>
        <w:tabs>
          <w:tab w:val="right" w:pos="8306"/>
        </w:tabs>
        <w:spacing w:line="600" w:lineRule="exact"/>
        <w:ind w:firstLine="640"/>
        <w:outlineLvl w:val="1"/>
        <w:rPr>
          <w:rStyle w:val="26"/>
        </w:rPr>
      </w:pPr>
      <w:bookmarkStart w:id="34" w:name="_Toc15377214"/>
      <w:bookmarkStart w:id="35"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6"/>
          <w:rFonts w:hint="eastAsia" w:ascii="黑体" w:hAnsi="黑体" w:eastAsia="黑体"/>
          <w:b w:val="0"/>
        </w:rPr>
        <w:t>般公共预算财政拨款基本支出决算情况说明</w:t>
      </w:r>
      <w:bookmarkEnd w:id="34"/>
      <w:bookmarkEnd w:id="35"/>
      <w:r>
        <w:rPr>
          <w:rStyle w:val="26"/>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w:t>
      </w:r>
      <w:r>
        <w:rPr>
          <w:rFonts w:hint="eastAsia" w:ascii="仿宋" w:hAnsi="仿宋" w:eastAsia="仿宋"/>
          <w:sz w:val="32"/>
          <w:szCs w:val="32"/>
          <w:lang w:val="en-US" w:eastAsia="zh-CN"/>
        </w:rPr>
        <w:t>152.47</w:t>
      </w:r>
      <w:r>
        <w:rPr>
          <w:rFonts w:hint="eastAsia" w:ascii="仿宋" w:hAnsi="仿宋" w:eastAsia="仿宋"/>
          <w:sz w:val="32"/>
          <w:szCs w:val="32"/>
        </w:rPr>
        <w:t>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hint="eastAsia" w:ascii="仿宋" w:hAnsi="仿宋" w:eastAsia="仿宋"/>
          <w:sz w:val="32"/>
          <w:szCs w:val="32"/>
          <w:lang w:val="en-US" w:eastAsia="zh-CN"/>
        </w:rPr>
        <w:t>150.36</w:t>
      </w:r>
      <w:r>
        <w:rPr>
          <w:rFonts w:hint="eastAsia" w:ascii="仿宋" w:hAnsi="仿宋" w:eastAsia="仿宋"/>
          <w:sz w:val="32"/>
          <w:szCs w:val="32"/>
        </w:rPr>
        <w:t>万元，主要包括：基本工资、津贴补贴、奖金、伙食补助费、绩效工资、机关事业单位基本养老保险缴费、职业年金缴费、其他社会保障缴费、其他工资福利支出、退休费、生活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hint="eastAsia" w:ascii="仿宋" w:hAnsi="仿宋" w:eastAsia="仿宋"/>
          <w:sz w:val="32"/>
          <w:szCs w:val="32"/>
          <w:lang w:val="en-US" w:eastAsia="zh-CN"/>
        </w:rPr>
        <w:t>2.11</w:t>
      </w:r>
      <w:r>
        <w:rPr>
          <w:rFonts w:hint="eastAsia" w:ascii="仿宋" w:hAnsi="仿宋" w:eastAsia="仿宋"/>
          <w:sz w:val="32"/>
          <w:szCs w:val="32"/>
        </w:rPr>
        <w:t>万元，主要包括：办公费、水费、邮电费、维修（护）费、工会经费、福利费、税金及附加费用、等。</w:t>
      </w:r>
    </w:p>
    <w:p>
      <w:pPr>
        <w:spacing w:line="600" w:lineRule="exact"/>
        <w:ind w:firstLine="640" w:firstLineChars="200"/>
        <w:outlineLvl w:val="1"/>
        <w:rPr>
          <w:rStyle w:val="26"/>
          <w:rFonts w:ascii="黑体" w:hAnsi="黑体" w:eastAsia="黑体"/>
          <w:b w:val="0"/>
        </w:rPr>
      </w:pPr>
      <w:bookmarkStart w:id="36" w:name="_Toc15377215"/>
      <w:bookmarkStart w:id="37" w:name="_Toc15396609"/>
      <w:r>
        <w:rPr>
          <w:rFonts w:hint="eastAsia" w:ascii="黑体" w:eastAsia="黑体"/>
          <w:sz w:val="32"/>
          <w:szCs w:val="32"/>
        </w:rPr>
        <w:t>七、</w:t>
      </w:r>
      <w:r>
        <w:rPr>
          <w:rStyle w:val="26"/>
          <w:rFonts w:hint="eastAsia" w:ascii="黑体" w:hAnsi="黑体" w:eastAsia="黑体"/>
        </w:rPr>
        <w:t>“</w:t>
      </w:r>
      <w:r>
        <w:rPr>
          <w:rStyle w:val="26"/>
          <w:rFonts w:hint="eastAsia" w:ascii="黑体" w:hAnsi="黑体" w:eastAsia="黑体"/>
          <w:b w:val="0"/>
        </w:rPr>
        <w:t>三公”经费财政拨款支出决算情况说明</w:t>
      </w:r>
      <w:bookmarkEnd w:id="36"/>
      <w:bookmarkEnd w:id="37"/>
    </w:p>
    <w:p>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w:t>
      </w:r>
      <w:r>
        <w:rPr>
          <w:rFonts w:hint="eastAsia" w:ascii="仿宋" w:hAnsi="仿宋" w:eastAsia="仿宋"/>
          <w:sz w:val="32"/>
          <w:szCs w:val="32"/>
          <w:lang w:val="en-US" w:eastAsia="zh-CN"/>
        </w:rPr>
        <w:t>0</w:t>
      </w:r>
      <w:r>
        <w:rPr>
          <w:rFonts w:hint="eastAsia" w:ascii="仿宋" w:hAnsi="仿宋" w:eastAsia="仿宋"/>
          <w:sz w:val="32"/>
          <w:szCs w:val="32"/>
        </w:rPr>
        <w:t>万元，完成预算</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sz w:val="32"/>
          <w:szCs w:val="32"/>
          <w:lang w:eastAsia="zh-CN"/>
        </w:rPr>
        <w:t>“三公”经费财政拨款支出决算比</w:t>
      </w:r>
      <w:r>
        <w:rPr>
          <w:rFonts w:hint="eastAsia" w:ascii="仿宋" w:hAnsi="仿宋" w:eastAsia="仿宋"/>
          <w:sz w:val="32"/>
          <w:szCs w:val="32"/>
          <w:lang w:val="en-US" w:eastAsia="zh-CN"/>
        </w:rPr>
        <w:t>2020年增加/减少0万元，增长/下降0%。</w:t>
      </w:r>
      <w:r>
        <w:rPr>
          <w:rFonts w:hint="eastAsia" w:ascii="仿宋" w:hAnsi="仿宋" w:eastAsia="仿宋"/>
          <w:sz w:val="32"/>
          <w:szCs w:val="32"/>
        </w:rPr>
        <w:t>主要原因是</w:t>
      </w:r>
      <w:r>
        <w:rPr>
          <w:rFonts w:hint="eastAsia" w:ascii="仿宋" w:hAnsi="仿宋" w:eastAsia="仿宋"/>
          <w:sz w:val="32"/>
          <w:szCs w:val="32"/>
          <w:lang w:eastAsia="zh-CN"/>
        </w:rPr>
        <w:t>我单位历年来均无三公经费预算</w:t>
      </w:r>
      <w:r>
        <w:rPr>
          <w:rFonts w:hint="eastAsia" w:ascii="仿宋" w:hAnsi="仿宋" w:eastAsia="仿宋"/>
          <w:sz w:val="32"/>
          <w:szCs w:val="32"/>
        </w:rPr>
        <w:t>。</w:t>
      </w:r>
    </w:p>
    <w:p>
      <w:pPr>
        <w:spacing w:line="600" w:lineRule="exact"/>
        <w:ind w:firstLine="643" w:firstLineChars="20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；公务接待费支出决算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。具体情况如下：</w:t>
      </w:r>
    </w:p>
    <w:p>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b/>
          <w:sz w:val="32"/>
          <w:szCs w:val="32"/>
          <w:lang w:val="en-US" w:eastAsia="zh-CN"/>
        </w:rPr>
        <w:t>0</w:t>
      </w:r>
      <w:r>
        <w:rPr>
          <w:rFonts w:hint="eastAsia" w:ascii="仿宋_GB2312" w:eastAsia="仿宋_GB2312"/>
          <w:sz w:val="32"/>
          <w:szCs w:val="32"/>
        </w:rPr>
        <w:t>万元，</w:t>
      </w:r>
      <w:r>
        <w:rPr>
          <w:rStyle w:val="14"/>
          <w:rFonts w:hint="eastAsia" w:ascii="仿宋" w:hAnsi="仿宋" w:eastAsia="仿宋"/>
          <w:b w:val="0"/>
          <w:bCs/>
          <w:sz w:val="32"/>
          <w:szCs w:val="32"/>
        </w:rPr>
        <w:t>完成预算</w:t>
      </w:r>
      <w:r>
        <w:rPr>
          <w:rStyle w:val="14"/>
          <w:rFonts w:hint="eastAsia" w:ascii="仿宋" w:hAnsi="仿宋" w:eastAsia="仿宋"/>
          <w:b w:val="0"/>
          <w:bCs/>
          <w:sz w:val="32"/>
          <w:szCs w:val="32"/>
          <w:lang w:val="en-US" w:eastAsia="zh-CN"/>
        </w:rPr>
        <w:t>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人。因公出国（境）支出决算比</w:t>
      </w:r>
      <w:r>
        <w:rPr>
          <w:rFonts w:ascii="仿宋_GB2312" w:eastAsia="仿宋_GB2312"/>
          <w:sz w:val="32"/>
          <w:szCs w:val="32"/>
        </w:rPr>
        <w:t>20</w:t>
      </w:r>
      <w:r>
        <w:rPr>
          <w:rFonts w:hint="eastAsia" w:ascii="仿宋_GB2312" w:eastAsia="仿宋_GB2312"/>
          <w:sz w:val="32"/>
          <w:szCs w:val="32"/>
        </w:rPr>
        <w:t>20年增加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eastAsia="zh-CN"/>
        </w:rPr>
        <w:t>历年来均无预算</w:t>
      </w:r>
    </w:p>
    <w:p>
      <w:pPr>
        <w:spacing w:line="600" w:lineRule="exact"/>
        <w:ind w:firstLine="643" w:firstLineChars="20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b/>
          <w:sz w:val="32"/>
          <w:szCs w:val="32"/>
          <w:lang w:val="en-US" w:eastAsia="zh-CN"/>
        </w:rPr>
        <w:t>0</w:t>
      </w:r>
      <w:r>
        <w:rPr>
          <w:rFonts w:hint="eastAsia" w:ascii="仿宋_GB2312" w:eastAsia="仿宋_GB2312"/>
          <w:sz w:val="32"/>
          <w:szCs w:val="32"/>
        </w:rPr>
        <w:t>万元,</w:t>
      </w:r>
      <w:r>
        <w:rPr>
          <w:rStyle w:val="14"/>
          <w:rFonts w:hint="eastAsia" w:ascii="仿宋" w:hAnsi="仿宋" w:eastAsia="仿宋"/>
          <w:b w:val="0"/>
          <w:bCs/>
          <w:sz w:val="32"/>
          <w:szCs w:val="32"/>
        </w:rPr>
        <w:t>完成预算</w:t>
      </w:r>
      <w:r>
        <w:rPr>
          <w:rStyle w:val="14"/>
          <w:rFonts w:hint="eastAsia" w:ascii="仿宋" w:hAnsi="仿宋" w:eastAsia="仿宋"/>
          <w:b w:val="0"/>
          <w:bCs/>
          <w:sz w:val="32"/>
          <w:szCs w:val="32"/>
          <w:lang w:val="en-US" w:eastAsia="zh-CN"/>
        </w:rPr>
        <w:t>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。主要原因</w:t>
      </w:r>
      <w:r>
        <w:rPr>
          <w:rFonts w:hint="eastAsia" w:ascii="仿宋_GB2312" w:eastAsia="仿宋_GB2312"/>
          <w:sz w:val="32"/>
          <w:szCs w:val="32"/>
          <w:lang w:eastAsia="zh-CN"/>
        </w:rPr>
        <w:t>无公务用车预算</w:t>
      </w:r>
      <w:r>
        <w:rPr>
          <w:rFonts w:hint="eastAsia" w:ascii="仿宋_GB2312" w:eastAsia="仿宋_GB2312"/>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b/>
          <w:sz w:val="32"/>
          <w:szCs w:val="32"/>
          <w:lang w:val="en-US" w:eastAsia="zh-CN"/>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b/>
          <w:sz w:val="32"/>
          <w:szCs w:val="32"/>
          <w:lang w:val="en-US" w:eastAsia="zh-CN"/>
        </w:rPr>
        <w:t>0</w:t>
      </w:r>
      <w:r>
        <w:rPr>
          <w:rFonts w:hint="eastAsia" w:ascii="仿宋_GB2312" w:eastAsia="仿宋_GB2312"/>
          <w:sz w:val="32"/>
          <w:szCs w:val="32"/>
        </w:rPr>
        <w:t>万元。</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b/>
          <w:sz w:val="32"/>
          <w:szCs w:val="32"/>
          <w:lang w:val="en-US" w:eastAsia="zh-CN"/>
        </w:rPr>
        <w:t>0</w:t>
      </w:r>
      <w:r>
        <w:rPr>
          <w:rFonts w:hint="eastAsia" w:ascii="仿宋_GB2312" w:eastAsia="仿宋_GB2312"/>
          <w:sz w:val="32"/>
          <w:szCs w:val="32"/>
        </w:rPr>
        <w:t>万元，</w:t>
      </w:r>
      <w:r>
        <w:rPr>
          <w:rStyle w:val="14"/>
          <w:rFonts w:hint="eastAsia" w:ascii="仿宋" w:hAnsi="仿宋" w:eastAsia="仿宋"/>
          <w:b w:val="0"/>
          <w:bCs/>
          <w:sz w:val="32"/>
          <w:szCs w:val="32"/>
        </w:rPr>
        <w:t>完成预算</w:t>
      </w:r>
      <w:r>
        <w:rPr>
          <w:rStyle w:val="14"/>
          <w:rFonts w:hint="eastAsia" w:ascii="仿宋" w:hAnsi="仿宋" w:eastAsia="仿宋"/>
          <w:b w:val="0"/>
          <w:bCs/>
          <w:sz w:val="32"/>
          <w:szCs w:val="32"/>
          <w:lang w:val="en-US" w:eastAsia="zh-CN"/>
        </w:rPr>
        <w:t>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20年增加</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。主要原因</w:t>
      </w:r>
      <w:r>
        <w:rPr>
          <w:rFonts w:hint="eastAsia" w:ascii="仿宋_GB2312" w:eastAsia="仿宋_GB2312"/>
          <w:sz w:val="32"/>
          <w:szCs w:val="32"/>
          <w:lang w:eastAsia="zh-CN"/>
        </w:rPr>
        <w:t>是无公务接待预算</w:t>
      </w:r>
      <w:r>
        <w:rPr>
          <w:rFonts w:hint="eastAsia" w:ascii="仿宋_GB2312" w:eastAsia="仿宋_GB2312"/>
          <w:sz w:val="32"/>
          <w:szCs w:val="32"/>
        </w:rPr>
        <w:t>。其中：</w:t>
      </w:r>
    </w:p>
    <w:p>
      <w:pPr>
        <w:spacing w:line="600" w:lineRule="exact"/>
        <w:ind w:firstLine="640"/>
        <w:rPr>
          <w:rFonts w:hint="eastAsia" w:ascii="仿宋_GB2312" w:eastAsia="仿宋_GB2312"/>
          <w:sz w:val="32"/>
          <w:szCs w:val="32"/>
          <w:lang w:eastAsia="zh-CN"/>
        </w:rPr>
      </w:pPr>
      <w:r>
        <w:rPr>
          <w:rFonts w:hint="eastAsia" w:ascii="仿宋" w:hAnsi="仿宋" w:eastAsia="仿宋"/>
          <w:b/>
          <w:sz w:val="32"/>
          <w:szCs w:val="32"/>
        </w:rPr>
        <w:t>国内公务接待支出</w:t>
      </w:r>
      <w:r>
        <w:rPr>
          <w:rFonts w:hint="eastAsia" w:ascii="仿宋" w:hAnsi="仿宋" w:eastAsia="仿宋"/>
          <w:b/>
          <w:sz w:val="32"/>
          <w:szCs w:val="32"/>
          <w:lang w:val="en-US" w:eastAsia="zh-CN"/>
        </w:rPr>
        <w:t>0</w:t>
      </w:r>
      <w:r>
        <w:rPr>
          <w:rFonts w:hint="eastAsia" w:ascii="仿宋_GB2312" w:eastAsia="仿宋_GB2312"/>
          <w:sz w:val="32"/>
          <w:szCs w:val="32"/>
        </w:rPr>
        <w:t>万元，国内公务接待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p>
    <w:p>
      <w:pPr>
        <w:spacing w:line="600" w:lineRule="exact"/>
        <w:ind w:firstLine="643" w:firstLineChars="200"/>
        <w:rPr>
          <w:rFonts w:hint="eastAsia" w:ascii="仿宋_GB2312" w:eastAsia="仿宋_GB2312"/>
          <w:sz w:val="32"/>
          <w:szCs w:val="32"/>
          <w:lang w:eastAsia="zh-CN"/>
        </w:rPr>
      </w:pPr>
      <w:r>
        <w:rPr>
          <w:rFonts w:hint="eastAsia" w:ascii="仿宋" w:hAnsi="仿宋" w:eastAsia="仿宋"/>
          <w:b/>
          <w:sz w:val="32"/>
          <w:szCs w:val="32"/>
        </w:rPr>
        <w:t>外事接待支出</w:t>
      </w:r>
      <w:r>
        <w:rPr>
          <w:rFonts w:hint="eastAsia" w:ascii="仿宋" w:hAnsi="仿宋" w:eastAsia="仿宋"/>
          <w:b/>
          <w:sz w:val="32"/>
          <w:szCs w:val="32"/>
          <w:lang w:val="en-US" w:eastAsia="zh-CN"/>
        </w:rPr>
        <w:t>0</w:t>
      </w:r>
      <w:r>
        <w:rPr>
          <w:rFonts w:hint="eastAsia" w:ascii="仿宋_GB2312" w:eastAsia="仿宋_GB2312"/>
          <w:sz w:val="32"/>
          <w:szCs w:val="32"/>
        </w:rPr>
        <w:t>万元，外事接待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人，共计支出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p>
    <w:p>
      <w:pPr>
        <w:spacing w:line="600" w:lineRule="exact"/>
        <w:ind w:firstLine="640" w:firstLineChars="200"/>
        <w:outlineLvl w:val="1"/>
        <w:rPr>
          <w:rStyle w:val="26"/>
          <w:rFonts w:ascii="黑体" w:hAnsi="黑体" w:eastAsia="黑体"/>
        </w:rPr>
      </w:pPr>
      <w:bookmarkStart w:id="40" w:name="_Toc15377218"/>
      <w:bookmarkStart w:id="41" w:name="_Toc15396610"/>
      <w:r>
        <w:rPr>
          <w:rFonts w:hint="eastAsia" w:ascii="黑体" w:eastAsia="黑体"/>
          <w:sz w:val="32"/>
          <w:szCs w:val="32"/>
        </w:rPr>
        <w:t>八、</w:t>
      </w:r>
      <w:r>
        <w:rPr>
          <w:rStyle w:val="26"/>
          <w:rFonts w:hint="eastAsia" w:ascii="黑体" w:hAnsi="黑体" w:eastAsia="黑体"/>
          <w:b w:val="0"/>
        </w:rPr>
        <w:t>政府性基金预算支出决算情况说明</w:t>
      </w:r>
      <w:bookmarkEnd w:id="40"/>
      <w:bookmarkEnd w:id="41"/>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numPr>
          <w:ilvl w:val="0"/>
          <w:numId w:val="3"/>
        </w:numPr>
        <w:spacing w:line="600" w:lineRule="exact"/>
        <w:ind w:firstLine="640"/>
        <w:outlineLvl w:val="1"/>
        <w:rPr>
          <w:rStyle w:val="26"/>
          <w:rFonts w:ascii="黑体" w:hAnsi="黑体" w:eastAsia="黑体"/>
          <w:b w:val="0"/>
        </w:rPr>
      </w:pPr>
      <w:bookmarkStart w:id="42" w:name="_Toc15396611"/>
      <w:bookmarkStart w:id="43" w:name="_Toc15377219"/>
      <w:r>
        <w:rPr>
          <w:rStyle w:val="26"/>
          <w:rFonts w:hint="eastAsia" w:ascii="黑体" w:hAnsi="黑体" w:eastAsia="黑体"/>
          <w:b w:val="0"/>
        </w:rPr>
        <w:t>国有资本经营预算支出决算情况说明</w:t>
      </w:r>
      <w:bookmarkEnd w:id="42"/>
      <w:bookmarkEnd w:id="43"/>
    </w:p>
    <w:p>
      <w:pPr>
        <w:spacing w:line="600" w:lineRule="exact"/>
        <w:ind w:firstLine="640"/>
        <w:rPr>
          <w:rFonts w:ascii="方正小标宋简体" w:hAnsi="方正小标宋简体" w:eastAsia="方正小标宋简体" w:cs="方正小标宋简体"/>
          <w:sz w:val="44"/>
          <w:szCs w:val="44"/>
        </w:rPr>
      </w:pPr>
      <w:r>
        <w:rPr>
          <w:rFonts w:ascii="仿宋_GB2312" w:eastAsia="仿宋_GB2312"/>
          <w:sz w:val="32"/>
          <w:szCs w:val="32"/>
        </w:rPr>
        <w:t>20</w:t>
      </w:r>
      <w:r>
        <w:rPr>
          <w:rFonts w:hint="eastAsia" w:ascii="仿宋_GB2312" w:eastAsia="仿宋_GB2312"/>
          <w:sz w:val="32"/>
          <w:szCs w:val="32"/>
        </w:rPr>
        <w:t>21年国有资本经营预算财政拨款支出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numPr>
          <w:ilvl w:val="0"/>
          <w:numId w:val="3"/>
        </w:numPr>
        <w:spacing w:line="600" w:lineRule="exact"/>
        <w:ind w:firstLine="640"/>
        <w:outlineLvl w:val="1"/>
        <w:rPr>
          <w:rStyle w:val="26"/>
          <w:rFonts w:ascii="黑体" w:hAnsi="黑体" w:eastAsia="黑体"/>
          <w:b w:val="0"/>
        </w:rPr>
      </w:pPr>
      <w:bookmarkStart w:id="44" w:name="_Toc15377221"/>
      <w:bookmarkStart w:id="45" w:name="_Toc15396612"/>
      <w:r>
        <w:rPr>
          <w:rStyle w:val="26"/>
          <w:rFonts w:hint="eastAsia" w:ascii="黑体" w:hAnsi="黑体" w:eastAsia="黑体"/>
          <w:b w:val="0"/>
        </w:rPr>
        <w:t>其他重要事项的情况说明</w:t>
      </w:r>
      <w:bookmarkEnd w:id="44"/>
      <w:bookmarkEnd w:id="45"/>
    </w:p>
    <w:p>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eastAsia="zh-CN"/>
        </w:rPr>
        <w:t>乐山市公安信息中心</w:t>
      </w:r>
      <w:r>
        <w:rPr>
          <w:rFonts w:hint="eastAsia" w:ascii="仿宋_GB2312" w:eastAsia="仿宋_GB2312"/>
          <w:sz w:val="32"/>
          <w:szCs w:val="32"/>
        </w:rPr>
        <w:t>机关运行经费支出</w:t>
      </w:r>
      <w:r>
        <w:rPr>
          <w:rFonts w:hint="eastAsia" w:ascii="仿宋_GB2312" w:eastAsia="仿宋_GB2312"/>
          <w:sz w:val="32"/>
          <w:szCs w:val="32"/>
          <w:lang w:val="en-US" w:eastAsia="zh-CN"/>
        </w:rPr>
        <w:t>0</w:t>
      </w:r>
      <w:r>
        <w:rPr>
          <w:rFonts w:hint="eastAsia" w:ascii="仿宋_GB2312" w:eastAsia="仿宋_GB2312"/>
          <w:sz w:val="32"/>
          <w:szCs w:val="32"/>
        </w:rPr>
        <w:t>万元，比</w:t>
      </w:r>
      <w:r>
        <w:rPr>
          <w:rFonts w:ascii="仿宋_GB2312" w:eastAsia="仿宋_GB2312"/>
          <w:sz w:val="32"/>
          <w:szCs w:val="32"/>
        </w:rPr>
        <w:t>20</w:t>
      </w:r>
      <w:r>
        <w:rPr>
          <w:rFonts w:hint="eastAsia" w:ascii="仿宋_GB2312" w:eastAsia="仿宋_GB2312"/>
          <w:sz w:val="32"/>
          <w:szCs w:val="32"/>
        </w:rPr>
        <w:t>20年增加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（或与</w:t>
      </w:r>
      <w:r>
        <w:rPr>
          <w:rFonts w:ascii="仿宋_GB2312" w:eastAsia="仿宋_GB2312"/>
          <w:sz w:val="32"/>
          <w:szCs w:val="32"/>
        </w:rPr>
        <w:t>20</w:t>
      </w:r>
      <w:r>
        <w:rPr>
          <w:rFonts w:hint="eastAsia" w:ascii="仿宋_GB2312" w:eastAsia="仿宋_GB2312"/>
          <w:sz w:val="32"/>
          <w:szCs w:val="32"/>
        </w:rPr>
        <w:t>20年决算数持平）。主要原因是</w:t>
      </w:r>
      <w:r>
        <w:rPr>
          <w:rFonts w:hint="eastAsia" w:ascii="仿宋_GB2312" w:eastAsia="仿宋_GB2312"/>
          <w:sz w:val="32"/>
          <w:szCs w:val="32"/>
          <w:lang w:eastAsia="zh-CN"/>
        </w:rPr>
        <w:t>本单位为事业单位，未使用机关运行经费相关科目，机关运行经费安排为零。</w:t>
      </w:r>
    </w:p>
    <w:p>
      <w:pPr>
        <w:autoSpaceDE w:val="0"/>
        <w:autoSpaceDN w:val="0"/>
        <w:adjustRightInd w:val="0"/>
        <w:spacing w:line="600" w:lineRule="exact"/>
        <w:ind w:firstLine="321" w:firstLineChars="1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eastAsia="zh-CN"/>
        </w:rPr>
        <w:t>乐山市公安信息中心</w:t>
      </w:r>
      <w:r>
        <w:rPr>
          <w:rFonts w:hint="eastAsia" w:ascii="仿宋_GB2312" w:eastAsia="仿宋_GB2312"/>
          <w:sz w:val="32"/>
          <w:szCs w:val="32"/>
        </w:rPr>
        <w:t>政府采购支出总额</w:t>
      </w:r>
      <w:r>
        <w:rPr>
          <w:rFonts w:hint="eastAsia" w:ascii="仿宋_GB2312" w:eastAsia="仿宋_GB2312"/>
          <w:sz w:val="32"/>
          <w:szCs w:val="32"/>
          <w:lang w:val="en-US" w:eastAsia="zh-CN"/>
        </w:rPr>
        <w:t>0</w:t>
      </w:r>
      <w:r>
        <w:rPr>
          <w:rFonts w:hint="eastAsia" w:ascii="仿宋_GB2312" w:eastAsia="仿宋_GB2312"/>
          <w:sz w:val="32"/>
          <w:szCs w:val="32"/>
        </w:rPr>
        <w:t>万元，其中：政府采购货物支出</w:t>
      </w:r>
      <w:r>
        <w:rPr>
          <w:rFonts w:hint="eastAsia" w:ascii="仿宋_GB2312" w:eastAsia="仿宋_GB2312"/>
          <w:sz w:val="32"/>
          <w:szCs w:val="32"/>
          <w:lang w:val="en-US" w:eastAsia="zh-CN"/>
        </w:rPr>
        <w:t>0</w:t>
      </w:r>
      <w:r>
        <w:rPr>
          <w:rFonts w:hint="eastAsia" w:ascii="仿宋_GB2312" w:eastAsia="仿宋_GB2312"/>
          <w:sz w:val="32"/>
          <w:szCs w:val="32"/>
        </w:rPr>
        <w:t>万元、政府采购工程支出</w:t>
      </w:r>
      <w:r>
        <w:rPr>
          <w:rFonts w:hint="eastAsia" w:ascii="仿宋_GB2312" w:eastAsia="仿宋_GB2312"/>
          <w:sz w:val="32"/>
          <w:szCs w:val="32"/>
          <w:lang w:val="en-US" w:eastAsia="zh-CN"/>
        </w:rPr>
        <w:t>0</w:t>
      </w:r>
      <w:r>
        <w:rPr>
          <w:rFonts w:hint="eastAsia" w:ascii="仿宋_GB2312" w:eastAsia="仿宋_GB2312"/>
          <w:sz w:val="32"/>
          <w:szCs w:val="32"/>
        </w:rPr>
        <w:t>万元、政府采购服务支出</w:t>
      </w:r>
      <w:r>
        <w:rPr>
          <w:rFonts w:hint="eastAsia" w:ascii="仿宋_GB2312" w:eastAsia="仿宋_GB2312"/>
          <w:sz w:val="32"/>
          <w:szCs w:val="32"/>
          <w:lang w:val="en-US" w:eastAsia="zh-CN"/>
        </w:rPr>
        <w:t>0</w:t>
      </w:r>
      <w:r>
        <w:rPr>
          <w:rFonts w:hint="eastAsia" w:ascii="仿宋_GB2312" w:eastAsia="仿宋_GB2312"/>
          <w:sz w:val="32"/>
          <w:szCs w:val="32"/>
        </w:rPr>
        <w:t>万元。授予中小企业合同金额</w:t>
      </w:r>
      <w:r>
        <w:rPr>
          <w:rFonts w:hint="eastAsia" w:ascii="仿宋_GB2312" w:eastAsia="仿宋_GB2312"/>
          <w:sz w:val="32"/>
          <w:szCs w:val="32"/>
          <w:lang w:val="en-US" w:eastAsia="zh-CN"/>
        </w:rPr>
        <w:t>0</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，其中：授予小微企业合同金额</w:t>
      </w:r>
      <w:r>
        <w:rPr>
          <w:rFonts w:hint="eastAsia" w:ascii="仿宋_GB2312" w:eastAsia="仿宋_GB2312"/>
          <w:sz w:val="32"/>
          <w:szCs w:val="32"/>
          <w:lang w:val="en-US" w:eastAsia="zh-CN"/>
        </w:rPr>
        <w:t>0</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pPr>
        <w:autoSpaceDE w:val="0"/>
        <w:autoSpaceDN w:val="0"/>
        <w:adjustRightInd w:val="0"/>
        <w:spacing w:line="600" w:lineRule="exact"/>
        <w:ind w:firstLine="640" w:firstLineChars="200"/>
        <w:jc w:val="left"/>
        <w:rPr>
          <w:rFonts w:ascii="仿宋" w:hAnsi="仿宋" w:eastAsia="仿宋"/>
          <w:b/>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eastAsia="仿宋_GB2312"/>
          <w:sz w:val="32"/>
          <w:szCs w:val="32"/>
          <w:lang w:eastAsia="zh-CN"/>
        </w:rPr>
        <w:t>乐山市公安信息中心</w:t>
      </w:r>
      <w:r>
        <w:rPr>
          <w:rFonts w:hint="eastAsia" w:ascii="仿宋_GB2312" w:eastAsia="仿宋_GB2312"/>
          <w:sz w:val="32"/>
          <w:szCs w:val="32"/>
        </w:rPr>
        <w:t>共有车辆</w:t>
      </w:r>
      <w:r>
        <w:rPr>
          <w:rFonts w:hint="eastAsia" w:ascii="仿宋_GB2312" w:eastAsia="仿宋_GB2312"/>
          <w:sz w:val="32"/>
          <w:szCs w:val="32"/>
          <w:lang w:val="en-US" w:eastAsia="zh-CN"/>
        </w:rPr>
        <w:t>0</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0辆。</w:t>
      </w:r>
      <w:r>
        <w:rPr>
          <w:rFonts w:hint="eastAsia" w:ascii="仿宋_GB2312" w:eastAsia="仿宋_GB2312"/>
          <w:sz w:val="32"/>
          <w:szCs w:val="32"/>
        </w:rPr>
        <w:t>单价</w:t>
      </w:r>
      <w:r>
        <w:rPr>
          <w:rFonts w:ascii="仿宋_GB2312" w:eastAsia="仿宋_GB2312"/>
          <w:sz w:val="32"/>
          <w:szCs w:val="32"/>
        </w:rPr>
        <w:t>50</w:t>
      </w:r>
      <w:r>
        <w:rPr>
          <w:rFonts w:hint="eastAsia" w:ascii="仿宋_GB2312" w:eastAsia="仿宋_GB2312"/>
          <w:sz w:val="32"/>
          <w:szCs w:val="32"/>
        </w:rPr>
        <w:t>万元以上通用设备</w:t>
      </w:r>
      <w:r>
        <w:rPr>
          <w:rFonts w:hint="eastAsia" w:ascii="仿宋_GB2312" w:eastAsia="仿宋_GB2312"/>
          <w:sz w:val="32"/>
          <w:szCs w:val="32"/>
          <w:lang w:val="en-US" w:eastAsia="zh-CN"/>
        </w:rPr>
        <w:t>0</w:t>
      </w:r>
      <w:r>
        <w:rPr>
          <w:rFonts w:hint="eastAsia" w:ascii="仿宋_GB2312" w:eastAsia="仿宋_GB2312"/>
          <w:sz w:val="32"/>
          <w:szCs w:val="32"/>
        </w:rPr>
        <w:t>台（套），单价</w:t>
      </w:r>
      <w:r>
        <w:rPr>
          <w:rFonts w:ascii="仿宋_GB2312" w:eastAsia="仿宋_GB2312"/>
          <w:sz w:val="32"/>
          <w:szCs w:val="32"/>
        </w:rPr>
        <w:t>100</w:t>
      </w:r>
      <w:r>
        <w:rPr>
          <w:rFonts w:hint="eastAsia" w:ascii="仿宋_GB2312" w:eastAsia="仿宋_GB2312"/>
          <w:sz w:val="32"/>
          <w:szCs w:val="32"/>
        </w:rPr>
        <w:t>万元以上专用设备</w:t>
      </w:r>
      <w:r>
        <w:rPr>
          <w:rFonts w:hint="eastAsia" w:ascii="仿宋_GB2312" w:eastAsia="仿宋_GB2312"/>
          <w:sz w:val="32"/>
          <w:szCs w:val="32"/>
          <w:lang w:val="en-US" w:eastAsia="zh-CN"/>
        </w:rPr>
        <w:t>0</w:t>
      </w:r>
      <w:r>
        <w:rPr>
          <w:rFonts w:hint="eastAsia" w:ascii="仿宋_GB2312" w:eastAsia="仿宋_GB2312"/>
          <w:sz w:val="32"/>
          <w:szCs w:val="32"/>
        </w:rPr>
        <w:t>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根据预算绩效管理要求，本单位在2021年度预算编制阶段，组织对</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项目（项目名称）等</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个项目开展了预算事前绩效评估，对</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个项目开展绩效监控，年终执行完毕后，对</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个项目开展了绩效自评，2021年特定目标类部门预算项目绩效目标自评表见附件（第四部分）。</w:t>
      </w:r>
    </w:p>
    <w:p>
      <w:pPr>
        <w:pStyle w:val="2"/>
        <w:spacing w:before="93"/>
        <w:rPr>
          <w:highlight w:val="yellow"/>
        </w:rPr>
      </w:pP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4"/>
        </w:numPr>
        <w:spacing w:line="600" w:lineRule="exact"/>
        <w:ind w:firstLine="660" w:firstLineChars="150"/>
        <w:jc w:val="center"/>
        <w:outlineLvl w:val="0"/>
        <w:rPr>
          <w:rStyle w:val="25"/>
          <w:rFonts w:ascii="黑体" w:hAnsi="黑体" w:eastAsia="黑体"/>
          <w:b w:val="0"/>
        </w:rPr>
      </w:pPr>
      <w:bookmarkStart w:id="49" w:name="_Toc15396613"/>
      <w:bookmarkStart w:id="50" w:name="_Toc15377225"/>
      <w:r>
        <w:rPr>
          <w:rFonts w:hint="eastAsia" w:ascii="黑体" w:hAnsi="黑体" w:eastAsia="黑体"/>
          <w:sz w:val="44"/>
          <w:szCs w:val="44"/>
        </w:rPr>
        <w:t>名</w:t>
      </w:r>
      <w:r>
        <w:rPr>
          <w:rStyle w:val="25"/>
          <w:rFonts w:hint="eastAsia" w:ascii="黑体" w:hAnsi="黑体" w:eastAsia="黑体"/>
          <w:b w:val="0"/>
        </w:rPr>
        <w:t>词解释</w:t>
      </w:r>
      <w:bookmarkEnd w:id="49"/>
      <w:bookmarkEnd w:id="50"/>
    </w:p>
    <w:p>
      <w:pPr>
        <w:spacing w:line="600" w:lineRule="exact"/>
        <w:jc w:val="left"/>
        <w:rPr>
          <w:rFonts w:ascii="宋体"/>
          <w:b/>
          <w:sz w:val="44"/>
          <w:szCs w:val="44"/>
        </w:rPr>
      </w:pPr>
    </w:p>
    <w:p>
      <w:pPr>
        <w:pStyle w:val="23"/>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ind w:firstLine="640" w:firstLineChars="200"/>
        <w:rPr>
          <w:rFonts w:ascii="仿宋_GB2312" w:eastAsia="仿宋_GB2312"/>
          <w:sz w:val="32"/>
          <w:szCs w:val="32"/>
        </w:rPr>
      </w:pPr>
      <w:r>
        <w:rPr>
          <w:rFonts w:hint="eastAsia" w:ascii="仿宋_GB2312" w:eastAsia="仿宋_GB2312"/>
          <w:sz w:val="32"/>
          <w:szCs w:val="32"/>
          <w:lang w:val="en-US" w:eastAsia="zh-CN"/>
        </w:rPr>
        <w:t>2</w:t>
      </w:r>
      <w:r>
        <w:rPr>
          <w:rFonts w:ascii="仿宋_GB2312" w:eastAsia="仿宋_GB2312"/>
          <w:sz w:val="32"/>
          <w:szCs w:val="32"/>
        </w:rPr>
        <w:t>.</w:t>
      </w:r>
      <w:r>
        <w:rPr>
          <w:rFonts w:hint="eastAsia" w:ascii="仿宋_GB2312" w:eastAsia="仿宋_GB2312"/>
          <w:sz w:val="32"/>
          <w:szCs w:val="32"/>
        </w:rPr>
        <w:t>一般公共服务（类）</w:t>
      </w:r>
      <w:r>
        <w:rPr>
          <w:rFonts w:hint="eastAsia" w:ascii="仿宋_GB2312" w:eastAsia="仿宋_GB2312"/>
          <w:sz w:val="32"/>
          <w:szCs w:val="32"/>
          <w:lang w:val="en-US" w:eastAsia="zh-CN"/>
        </w:rPr>
        <w:t>公安</w:t>
      </w:r>
      <w:r>
        <w:rPr>
          <w:rFonts w:hint="eastAsia" w:ascii="仿宋_GB2312" w:eastAsia="仿宋_GB2312"/>
          <w:sz w:val="32"/>
          <w:szCs w:val="32"/>
        </w:rPr>
        <w:t>（款）</w:t>
      </w:r>
      <w:r>
        <w:rPr>
          <w:rFonts w:hint="eastAsia" w:ascii="仿宋_GB2312" w:eastAsia="仿宋_GB2312"/>
          <w:sz w:val="32"/>
          <w:szCs w:val="32"/>
          <w:lang w:val="en-US" w:eastAsia="zh-CN"/>
        </w:rPr>
        <w:t>事业运行</w:t>
      </w:r>
      <w:r>
        <w:rPr>
          <w:rFonts w:hint="eastAsia" w:ascii="仿宋_GB2312" w:eastAsia="仿宋_GB2312"/>
          <w:sz w:val="32"/>
          <w:szCs w:val="32"/>
        </w:rPr>
        <w:t>（项）：指</w:t>
      </w:r>
      <w:r>
        <w:rPr>
          <w:rFonts w:hint="eastAsia" w:ascii="仿宋_GB2312" w:eastAsia="仿宋_GB2312"/>
          <w:sz w:val="32"/>
          <w:szCs w:val="32"/>
          <w:lang w:val="en-US" w:eastAsia="zh-CN"/>
        </w:rPr>
        <w:t>维护本单位基本运转资金</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3</w:t>
      </w:r>
      <w:r>
        <w:rPr>
          <w:rFonts w:ascii="仿宋_GB2312" w:eastAsia="仿宋_GB2312"/>
          <w:sz w:val="32"/>
          <w:szCs w:val="32"/>
        </w:rPr>
        <w:t>.</w:t>
      </w:r>
      <w:r>
        <w:rPr>
          <w:rFonts w:hint="eastAsia" w:ascii="仿宋_GB2312" w:eastAsia="仿宋_GB2312"/>
          <w:sz w:val="32"/>
          <w:szCs w:val="32"/>
        </w:rPr>
        <w:t>社会保障和就业（类</w:t>
      </w:r>
      <w:r>
        <w:rPr>
          <w:rFonts w:hint="eastAsia" w:ascii="仿宋_GB2312" w:eastAsia="仿宋_GB2312"/>
          <w:sz w:val="32"/>
          <w:szCs w:val="32"/>
          <w:lang w:eastAsia="zh-CN"/>
        </w:rPr>
        <w:t>）</w:t>
      </w:r>
      <w:r>
        <w:rPr>
          <w:rFonts w:hint="eastAsia" w:ascii="仿宋_GB2312" w:eastAsia="仿宋_GB2312"/>
          <w:sz w:val="32"/>
          <w:szCs w:val="32"/>
          <w:lang w:val="en-US" w:eastAsia="zh-CN"/>
        </w:rPr>
        <w:t>行政事业单位养老支出</w:t>
      </w:r>
      <w:r>
        <w:rPr>
          <w:rFonts w:hint="eastAsia" w:ascii="仿宋_GB2312" w:eastAsia="仿宋_GB2312"/>
          <w:sz w:val="32"/>
          <w:szCs w:val="32"/>
        </w:rPr>
        <w:t>（款）</w:t>
      </w:r>
      <w:r>
        <w:rPr>
          <w:rFonts w:hint="eastAsia" w:ascii="仿宋_GB2312" w:eastAsia="仿宋_GB2312"/>
          <w:sz w:val="32"/>
          <w:szCs w:val="32"/>
          <w:lang w:val="en-US" w:eastAsia="zh-CN"/>
        </w:rPr>
        <w:t>基本养老保险缴费和职业年金缴费</w:t>
      </w:r>
      <w:r>
        <w:rPr>
          <w:rFonts w:hint="eastAsia" w:ascii="仿宋_GB2312" w:eastAsia="仿宋_GB2312"/>
          <w:sz w:val="32"/>
          <w:szCs w:val="32"/>
        </w:rPr>
        <w:t>（项）：指</w:t>
      </w:r>
      <w:r>
        <w:rPr>
          <w:rFonts w:hint="eastAsia" w:ascii="仿宋_GB2312" w:eastAsia="仿宋_GB2312"/>
          <w:sz w:val="32"/>
          <w:szCs w:val="32"/>
          <w:lang w:val="en-US" w:eastAsia="zh-CN"/>
        </w:rPr>
        <w:t>缴纳本单位职工基本养老保险和职业年金支出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4</w:t>
      </w:r>
      <w:r>
        <w:rPr>
          <w:rFonts w:ascii="仿宋_GB2312" w:eastAsia="仿宋_GB2312"/>
          <w:sz w:val="32"/>
          <w:szCs w:val="32"/>
        </w:rPr>
        <w:t>.</w:t>
      </w:r>
      <w:r>
        <w:rPr>
          <w:rFonts w:hint="eastAsia" w:ascii="仿宋_GB2312" w:eastAsia="仿宋_GB2312"/>
          <w:sz w:val="32"/>
          <w:szCs w:val="32"/>
        </w:rPr>
        <w:t>医疗卫生与计划生育（类）</w:t>
      </w:r>
      <w:r>
        <w:rPr>
          <w:rFonts w:hint="eastAsia" w:ascii="仿宋_GB2312" w:eastAsia="仿宋_GB2312"/>
          <w:sz w:val="32"/>
          <w:szCs w:val="32"/>
          <w:lang w:val="en-US" w:eastAsia="zh-CN"/>
        </w:rPr>
        <w:t>行政事业单位医疗</w:t>
      </w:r>
      <w:r>
        <w:rPr>
          <w:rFonts w:hint="eastAsia" w:ascii="仿宋_GB2312" w:eastAsia="仿宋_GB2312"/>
          <w:sz w:val="32"/>
          <w:szCs w:val="32"/>
        </w:rPr>
        <w:t>（款</w:t>
      </w:r>
      <w:r>
        <w:rPr>
          <w:rFonts w:hint="eastAsia" w:ascii="仿宋_GB2312" w:eastAsia="仿宋_GB2312"/>
          <w:sz w:val="32"/>
          <w:szCs w:val="32"/>
          <w:lang w:eastAsia="zh-CN"/>
        </w:rPr>
        <w:t>）</w:t>
      </w:r>
      <w:r>
        <w:rPr>
          <w:rFonts w:hint="eastAsia" w:ascii="仿宋_GB2312" w:eastAsia="仿宋_GB2312"/>
          <w:sz w:val="32"/>
          <w:szCs w:val="32"/>
          <w:lang w:val="en-US" w:eastAsia="zh-CN"/>
        </w:rPr>
        <w:t>事业单位医疗</w:t>
      </w:r>
      <w:r>
        <w:rPr>
          <w:rFonts w:hint="eastAsia" w:ascii="仿宋_GB2312" w:eastAsia="仿宋_GB2312"/>
          <w:sz w:val="32"/>
          <w:szCs w:val="32"/>
        </w:rPr>
        <w:t>（项）：指</w:t>
      </w:r>
      <w:r>
        <w:rPr>
          <w:rFonts w:hint="eastAsia" w:ascii="仿宋_GB2312" w:eastAsia="仿宋_GB2312"/>
          <w:sz w:val="32"/>
          <w:szCs w:val="32"/>
          <w:lang w:val="en-US" w:eastAsia="zh-CN"/>
        </w:rPr>
        <w:t>缴纳本单位职工医疗保险支出</w:t>
      </w:r>
      <w:r>
        <w:rPr>
          <w:rFonts w:hint="eastAsia" w:ascii="仿宋_GB2312" w:eastAsia="仿宋_GB2312"/>
          <w:sz w:val="32"/>
          <w:szCs w:val="32"/>
        </w:rPr>
        <w:t>。</w:t>
      </w:r>
    </w:p>
    <w:p>
      <w:pPr>
        <w:ind w:firstLine="640" w:firstLineChars="200"/>
        <w:rPr>
          <w:rFonts w:ascii="仿宋" w:hAnsi="仿宋" w:eastAsia="仿宋"/>
          <w:b/>
          <w:sz w:val="32"/>
          <w:szCs w:val="32"/>
        </w:rPr>
      </w:pPr>
      <w:r>
        <w:rPr>
          <w:rFonts w:hint="eastAsia" w:ascii="仿宋_GB2312" w:eastAsia="仿宋_GB2312"/>
          <w:sz w:val="32"/>
          <w:szCs w:val="32"/>
          <w:lang w:val="en-US" w:eastAsia="zh-CN"/>
        </w:rPr>
        <w:t>5</w:t>
      </w:r>
      <w:r>
        <w:rPr>
          <w:rFonts w:ascii="仿宋_GB2312" w:eastAsia="仿宋_GB2312"/>
          <w:sz w:val="32"/>
          <w:szCs w:val="32"/>
        </w:rPr>
        <w:t>.</w:t>
      </w:r>
      <w:r>
        <w:rPr>
          <w:rFonts w:hint="eastAsia" w:ascii="仿宋_GB2312" w:eastAsia="仿宋_GB2312"/>
          <w:sz w:val="32"/>
          <w:szCs w:val="32"/>
        </w:rPr>
        <w:t>住房保障（类）</w:t>
      </w:r>
      <w:r>
        <w:rPr>
          <w:rFonts w:hint="eastAsia" w:ascii="仿宋_GB2312" w:eastAsia="仿宋_GB2312"/>
          <w:sz w:val="32"/>
          <w:szCs w:val="32"/>
          <w:lang w:val="en-US" w:eastAsia="zh-CN"/>
        </w:rPr>
        <w:t>住房改革支出</w:t>
      </w:r>
      <w:r>
        <w:rPr>
          <w:rFonts w:hint="eastAsia" w:ascii="仿宋_GB2312" w:eastAsia="仿宋_GB2312"/>
          <w:sz w:val="32"/>
          <w:szCs w:val="32"/>
        </w:rPr>
        <w:t>（款）</w:t>
      </w:r>
      <w:r>
        <w:rPr>
          <w:rFonts w:hint="eastAsia" w:ascii="仿宋_GB2312" w:eastAsia="仿宋_GB2312"/>
          <w:sz w:val="32"/>
          <w:szCs w:val="32"/>
          <w:lang w:val="en-US" w:eastAsia="zh-CN"/>
        </w:rPr>
        <w:t>住房公积金支出</w:t>
      </w:r>
      <w:r>
        <w:rPr>
          <w:rFonts w:hint="eastAsia" w:ascii="仿宋_GB2312" w:eastAsia="仿宋_GB2312"/>
          <w:sz w:val="32"/>
          <w:szCs w:val="32"/>
        </w:rPr>
        <w:t>（项）：指</w:t>
      </w:r>
      <w:r>
        <w:rPr>
          <w:rFonts w:hint="eastAsia" w:ascii="仿宋_GB2312" w:eastAsia="仿宋_GB2312"/>
          <w:sz w:val="32"/>
          <w:szCs w:val="32"/>
          <w:lang w:val="en-US" w:eastAsia="zh-CN"/>
        </w:rPr>
        <w:t>缴纳本单位职工住房公积金支出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6</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pStyle w:val="23"/>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7</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3"/>
        <w:spacing w:line="560" w:lineRule="exact"/>
        <w:ind w:firstLine="640" w:firstLineChars="200"/>
        <w:rPr>
          <w:rFonts w:ascii="仿宋_GB2312" w:eastAsia="仿宋_GB2312"/>
          <w:color w:val="auto"/>
          <w:sz w:val="32"/>
          <w:szCs w:val="32"/>
        </w:rPr>
      </w:pPr>
    </w:p>
    <w:p>
      <w:pPr>
        <w:pStyle w:val="23"/>
        <w:spacing w:line="560" w:lineRule="exact"/>
        <w:ind w:firstLine="643" w:firstLineChars="200"/>
        <w:rPr>
          <w:rFonts w:ascii="仿宋" w:hAnsi="仿宋" w:eastAsia="仿宋"/>
          <w:b/>
          <w:sz w:val="32"/>
          <w:szCs w:val="32"/>
        </w:rPr>
      </w:pPr>
    </w:p>
    <w:p>
      <w:pPr>
        <w:spacing w:line="600" w:lineRule="exact"/>
        <w:ind w:firstLine="2200" w:firstLineChars="500"/>
        <w:jc w:val="both"/>
        <w:outlineLvl w:val="0"/>
        <w:rPr>
          <w:rStyle w:val="25"/>
          <w:rFonts w:ascii="黑体" w:hAnsi="黑体" w:eastAsia="黑体"/>
          <w:b w:val="0"/>
        </w:rPr>
      </w:pPr>
      <w:bookmarkStart w:id="51" w:name="_Toc15396614"/>
      <w:bookmarkStart w:id="52" w:name="_Toc15377226"/>
      <w:r>
        <w:rPr>
          <w:rFonts w:hint="eastAsia" w:ascii="黑体" w:hAnsi="黑体" w:eastAsia="黑体"/>
          <w:sz w:val="44"/>
          <w:szCs w:val="44"/>
        </w:rPr>
        <w:t>第</w:t>
      </w:r>
      <w:r>
        <w:rPr>
          <w:rStyle w:val="25"/>
          <w:rFonts w:hint="eastAsia" w:ascii="黑体" w:hAnsi="黑体" w:eastAsia="黑体"/>
          <w:b w:val="0"/>
        </w:rPr>
        <w:t>四部分 附件</w:t>
      </w:r>
      <w:bookmarkEnd w:id="51"/>
    </w:p>
    <w:p>
      <w:pPr>
        <w:spacing w:line="572" w:lineRule="exact"/>
        <w:jc w:val="left"/>
        <w:outlineLvl w:val="0"/>
        <w:rPr>
          <w:rFonts w:ascii="仿宋_GB2312" w:hAnsi="仿宋_GB2312" w:eastAsia="仿宋_GB2312" w:cs="仿宋_GB2312"/>
          <w:sz w:val="32"/>
          <w:szCs w:val="32"/>
        </w:rPr>
      </w:pPr>
      <w:r>
        <w:rPr>
          <w:rFonts w:hint="eastAsia" w:ascii="黑体" w:hAnsi="黑体" w:eastAsia="黑体" w:cs="黑体"/>
          <w:sz w:val="32"/>
          <w:szCs w:val="32"/>
        </w:rPr>
        <w:t>附件</w:t>
      </w:r>
    </w:p>
    <w:tbl>
      <w:tblPr>
        <w:tblStyle w:val="16"/>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Layout w:type="fixed"/>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widowControl/>
              <w:jc w:val="center"/>
              <w:textAlignment w:val="center"/>
              <w:rPr>
                <w:rFonts w:ascii="宋体" w:hAnsi="宋体" w:cs="宋体"/>
                <w:b/>
                <w:sz w:val="32"/>
                <w:szCs w:val="32"/>
              </w:rPr>
            </w:pPr>
            <w:bookmarkStart w:id="53" w:name="_Toc15396618"/>
            <w:r>
              <w:rPr>
                <w:rFonts w:hint="eastAsia" w:ascii="宋体" w:hAnsi="宋体" w:cs="宋体"/>
                <w:b/>
                <w:sz w:val="32"/>
                <w:szCs w:val="32"/>
              </w:rPr>
              <w:t>2021年特定目标类部门预算项目绩效目标自评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lang w:bidi="ar"/>
              </w:rPr>
            </w:pPr>
          </w:p>
        </w:tc>
      </w:tr>
      <w:tr>
        <w:tblPrEx>
          <w:tblLayout w:type="fixed"/>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eastAsia" w:ascii="宋体" w:hAnsi="宋体" w:eastAsia="宋体" w:cs="宋体"/>
                <w:sz w:val="24"/>
                <w:lang w:eastAsia="zh-CN"/>
              </w:rPr>
            </w:pPr>
            <w:r>
              <w:rPr>
                <w:rFonts w:hint="eastAsia" w:ascii="宋体" w:hAnsi="宋体" w:cs="宋体"/>
                <w:sz w:val="24"/>
                <w:lang w:eastAsia="zh-CN"/>
              </w:rPr>
              <w:t>无</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lang w:eastAsia="zh-CN"/>
              </w:rPr>
            </w:pPr>
            <w:r>
              <w:rPr>
                <w:rFonts w:hint="eastAsia" w:ascii="宋体" w:hAnsi="宋体" w:cs="宋体"/>
                <w:sz w:val="24"/>
                <w:lang w:eastAsia="zh-CN"/>
              </w:rPr>
              <w:t>无</w:t>
            </w:r>
          </w:p>
        </w:tc>
      </w:tr>
      <w:tr>
        <w:tblPrEx>
          <w:tblLayout w:type="fixed"/>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项目预算</w:t>
            </w:r>
            <w:r>
              <w:rPr>
                <w:rFonts w:hint="eastAsia" w:ascii="宋体" w:hAnsi="宋体" w:cs="宋体"/>
                <w:kern w:val="0"/>
                <w:sz w:val="24"/>
                <w:lang w:bidi="ar"/>
              </w:rPr>
              <w:br w:type="textWrapping"/>
            </w:r>
            <w:r>
              <w:rPr>
                <w:rFonts w:hint="eastAsia" w:ascii="宋体" w:hAnsi="宋体" w:cs="宋体"/>
                <w:kern w:val="0"/>
                <w:sz w:val="24"/>
                <w:lang w:bidi="ar"/>
              </w:rPr>
              <w:t>执行情况</w:t>
            </w:r>
            <w:r>
              <w:rPr>
                <w:rFonts w:hint="eastAsia" w:ascii="宋体" w:hAnsi="宋体" w:cs="宋体"/>
                <w:kern w:val="0"/>
                <w:sz w:val="24"/>
                <w:lang w:bidi="ar"/>
              </w:rPr>
              <w:br w:type="textWrapping"/>
            </w:r>
            <w:r>
              <w:rPr>
                <w:rFonts w:hint="eastAsia" w:ascii="宋体" w:hAnsi="宋体" w:cs="宋体"/>
                <w:kern w:val="0"/>
                <w:sz w:val="24"/>
                <w:lang w:bidi="ar"/>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sz w:val="24"/>
                <w:lang w:eastAsia="zh-CN"/>
              </w:rPr>
            </w:pPr>
            <w:r>
              <w:rPr>
                <w:rFonts w:hint="eastAsia" w:ascii="宋体" w:hAnsi="宋体" w:cs="宋体"/>
                <w:sz w:val="24"/>
                <w:lang w:eastAsia="zh-CN"/>
              </w:rPr>
              <w:t>无数据</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hint="eastAsia" w:ascii="宋体" w:hAnsi="宋体" w:eastAsia="宋体" w:cs="宋体"/>
                <w:sz w:val="24"/>
                <w:lang w:eastAsia="zh-CN"/>
              </w:rPr>
            </w:pPr>
            <w:r>
              <w:rPr>
                <w:rFonts w:hint="eastAsia" w:ascii="宋体" w:hAnsi="宋体" w:cs="宋体"/>
                <w:sz w:val="24"/>
                <w:lang w:eastAsia="zh-CN"/>
              </w:rPr>
              <w:t>无数据</w:t>
            </w:r>
          </w:p>
        </w:tc>
      </w:tr>
      <w:tr>
        <w:tblPrEx>
          <w:tblLayout w:type="fixed"/>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p>
        </w:tc>
      </w:tr>
      <w:tr>
        <w:tblPrEx>
          <w:tblLayout w:type="fixed"/>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Layout w:type="fixed"/>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lang w:bidi="ar"/>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目标实际完成情况</w:t>
            </w:r>
          </w:p>
        </w:tc>
      </w:tr>
      <w:tr>
        <w:tblPrEx>
          <w:tblLayout w:type="fixed"/>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p>
        </w:tc>
      </w:tr>
      <w:tr>
        <w:tblPrEx>
          <w:tblLayout w:type="fixed"/>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实际完成指标值</w:t>
            </w:r>
          </w:p>
        </w:tc>
      </w:tr>
      <w:tr>
        <w:tblPrEx>
          <w:tblLayout w:type="fixed"/>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无</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Layout w:type="fixed"/>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Layout w:type="fixed"/>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Layout w:type="fixed"/>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Layout w:type="fixed"/>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效益</w:t>
            </w:r>
            <w:r>
              <w:rPr>
                <w:rFonts w:hint="eastAsia" w:ascii="仿宋_GB2312" w:hAnsi="仿宋_GB2312" w:eastAsia="仿宋_GB2312" w:cs="仿宋_GB2312"/>
                <w:kern w:val="0"/>
                <w:sz w:val="28"/>
                <w:szCs w:val="28"/>
                <w:lang w:bidi="ar"/>
              </w:rPr>
              <w:br w:type="textWrapping"/>
            </w: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Layout w:type="fixed"/>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Layout w:type="fixed"/>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Layout w:type="fixed"/>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Layout w:type="fixed"/>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满意</w:t>
            </w:r>
            <w:r>
              <w:rPr>
                <w:rFonts w:hint="eastAsia" w:ascii="仿宋_GB2312" w:hAnsi="仿宋_GB2312" w:eastAsia="仿宋_GB2312" w:cs="仿宋_GB2312"/>
                <w:kern w:val="0"/>
                <w:sz w:val="28"/>
                <w:szCs w:val="28"/>
                <w:lang w:bidi="ar"/>
              </w:rPr>
              <w:br w:type="textWrapping"/>
            </w:r>
            <w:r>
              <w:rPr>
                <w:rFonts w:hint="eastAsia" w:ascii="仿宋_GB2312" w:hAnsi="仿宋_GB2312" w:eastAsia="仿宋_GB2312" w:cs="仿宋_GB2312"/>
                <w:kern w:val="0"/>
                <w:sz w:val="28"/>
                <w:szCs w:val="28"/>
                <w:lang w:bidi="ar"/>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bl>
    <w:p>
      <w:pPr>
        <w:spacing w:line="600" w:lineRule="exact"/>
        <w:jc w:val="center"/>
        <w:outlineLvl w:val="0"/>
        <w:rPr>
          <w:rFonts w:ascii="黑体" w:hAnsi="黑体" w:eastAsia="黑体"/>
          <w:sz w:val="44"/>
          <w:szCs w:val="44"/>
        </w:rPr>
      </w:pPr>
    </w:p>
    <w:p>
      <w:pPr>
        <w:widowControl/>
        <w:adjustRightInd w:val="0"/>
        <w:snapToGrid w:val="0"/>
        <w:spacing w:line="580" w:lineRule="exact"/>
        <w:contextualSpacing/>
        <w:jc w:val="left"/>
      </w:pPr>
      <w:r>
        <w:rPr>
          <w:rFonts w:hint="eastAsia" w:ascii="仿宋_GB2312" w:hAnsi="宋体" w:eastAsia="仿宋_GB2312" w:cs="宋体"/>
          <w:color w:val="000000"/>
          <w:kern w:val="0"/>
          <w:sz w:val="32"/>
          <w:szCs w:val="32"/>
          <w:shd w:val="clear" w:color="auto" w:fill="FFFFFF"/>
        </w:rPr>
        <w:t>（注：有两个及以上特定目标类部门预算项目的，需分别开展绩效目标自评并填写附表）</w:t>
      </w: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Style w:val="25"/>
          <w:rFonts w:hint="eastAsia" w:ascii="黑体" w:hAnsi="黑体" w:eastAsia="黑体"/>
          <w:b w:val="0"/>
        </w:rPr>
      </w:pPr>
      <w:r>
        <w:rPr>
          <w:rFonts w:hint="eastAsia" w:ascii="黑体" w:hAnsi="黑体" w:eastAsia="黑体"/>
          <w:sz w:val="44"/>
          <w:szCs w:val="44"/>
        </w:rPr>
        <w:t>第</w:t>
      </w:r>
      <w:r>
        <w:rPr>
          <w:rStyle w:val="25"/>
          <w:rFonts w:hint="eastAsia" w:ascii="黑体" w:hAnsi="黑体" w:eastAsia="黑体"/>
          <w:b w:val="0"/>
        </w:rPr>
        <w:t>五部分 附表</w:t>
      </w:r>
      <w:bookmarkEnd w:id="52"/>
      <w:bookmarkEnd w:id="53"/>
      <w:bookmarkStart w:id="54" w:name="_Toc15396619"/>
    </w:p>
    <w:p>
      <w:pPr>
        <w:spacing w:line="600" w:lineRule="exact"/>
        <w:ind w:firstLine="210" w:firstLineChars="100"/>
        <w:jc w:val="both"/>
        <w:outlineLvl w:val="0"/>
        <w:rPr>
          <w:rFonts w:ascii="仿宋" w:hAnsi="仿宋" w:eastAsia="仿宋"/>
        </w:rPr>
      </w:pPr>
      <w:r>
        <w:rPr>
          <w:rFonts w:hint="eastAsia" w:ascii="仿宋" w:hAnsi="仿宋" w:eastAsia="仿宋"/>
          <w:b w:val="0"/>
        </w:rPr>
        <w:t>一、收</w:t>
      </w:r>
      <w:r>
        <w:rPr>
          <w:rStyle w:val="26"/>
          <w:rFonts w:hint="eastAsia" w:ascii="仿宋" w:hAnsi="仿宋" w:eastAsia="仿宋"/>
          <w:b w:val="0"/>
          <w:bCs w:val="0"/>
        </w:rPr>
        <w:t>入支出决算总表</w:t>
      </w:r>
      <w:bookmarkEnd w:id="54"/>
    </w:p>
    <w:p>
      <w:pPr>
        <w:pStyle w:val="4"/>
        <w:rPr>
          <w:rFonts w:ascii="仿宋" w:hAnsi="仿宋" w:eastAsia="仿宋"/>
        </w:rPr>
      </w:pPr>
      <w:bookmarkStart w:id="55" w:name="_Toc15396620"/>
      <w:r>
        <w:rPr>
          <w:rFonts w:hint="eastAsia" w:ascii="仿宋" w:hAnsi="仿宋" w:eastAsia="仿宋"/>
          <w:b w:val="0"/>
        </w:rPr>
        <w:t>二、收</w:t>
      </w:r>
      <w:r>
        <w:rPr>
          <w:rStyle w:val="26"/>
          <w:rFonts w:hint="eastAsia" w:ascii="仿宋" w:hAnsi="仿宋" w:eastAsia="仿宋"/>
          <w:b w:val="0"/>
          <w:bCs w:val="0"/>
        </w:rPr>
        <w:t>入决算表</w:t>
      </w:r>
      <w:bookmarkEnd w:id="55"/>
    </w:p>
    <w:p>
      <w:pPr>
        <w:pStyle w:val="4"/>
        <w:rPr>
          <w:rFonts w:ascii="仿宋" w:hAnsi="仿宋" w:eastAsia="仿宋"/>
        </w:rPr>
      </w:pPr>
      <w:bookmarkStart w:id="56" w:name="_Toc15396621"/>
      <w:r>
        <w:rPr>
          <w:rStyle w:val="26"/>
          <w:rFonts w:hint="eastAsia" w:ascii="仿宋" w:hAnsi="仿宋" w:eastAsia="仿宋"/>
          <w:b w:val="0"/>
          <w:bCs w:val="0"/>
        </w:rPr>
        <w:t>三、</w:t>
      </w:r>
      <w:r>
        <w:rPr>
          <w:rFonts w:hint="eastAsia" w:ascii="仿宋" w:hAnsi="仿宋" w:eastAsia="仿宋"/>
          <w:b w:val="0"/>
        </w:rPr>
        <w:t>支</w:t>
      </w:r>
      <w:r>
        <w:rPr>
          <w:rStyle w:val="26"/>
          <w:rFonts w:hint="eastAsia" w:ascii="仿宋" w:hAnsi="仿宋" w:eastAsia="仿宋"/>
          <w:b w:val="0"/>
          <w:bCs w:val="0"/>
        </w:rPr>
        <w:t>出决算表</w:t>
      </w:r>
      <w:bookmarkEnd w:id="56"/>
    </w:p>
    <w:p>
      <w:pPr>
        <w:pStyle w:val="4"/>
        <w:rPr>
          <w:rFonts w:ascii="仿宋" w:hAnsi="仿宋" w:eastAsia="仿宋"/>
          <w:b w:val="0"/>
        </w:rPr>
      </w:pPr>
      <w:bookmarkStart w:id="57" w:name="_Toc15396622"/>
      <w:r>
        <w:rPr>
          <w:rStyle w:val="26"/>
          <w:rFonts w:hint="eastAsia" w:ascii="仿宋" w:hAnsi="仿宋" w:eastAsia="仿宋"/>
          <w:b w:val="0"/>
          <w:bCs w:val="0"/>
        </w:rPr>
        <w:t>四、</w:t>
      </w:r>
      <w:r>
        <w:rPr>
          <w:rFonts w:hint="eastAsia" w:ascii="仿宋" w:hAnsi="仿宋" w:eastAsia="仿宋"/>
          <w:b w:val="0"/>
        </w:rPr>
        <w:t>财</w:t>
      </w:r>
      <w:r>
        <w:rPr>
          <w:rStyle w:val="26"/>
          <w:rFonts w:hint="eastAsia" w:ascii="仿宋" w:hAnsi="仿宋" w:eastAsia="仿宋"/>
          <w:b w:val="0"/>
          <w:bCs w:val="0"/>
        </w:rPr>
        <w:t>政拨款收入支出决算总表</w:t>
      </w:r>
      <w:bookmarkEnd w:id="57"/>
    </w:p>
    <w:p>
      <w:pPr>
        <w:pStyle w:val="4"/>
        <w:rPr>
          <w:rStyle w:val="26"/>
          <w:rFonts w:ascii="仿宋" w:hAnsi="仿宋" w:eastAsia="仿宋"/>
          <w:b w:val="0"/>
          <w:bCs w:val="0"/>
        </w:rPr>
      </w:pPr>
      <w:bookmarkStart w:id="58" w:name="_Toc15396623"/>
      <w:r>
        <w:rPr>
          <w:rStyle w:val="26"/>
          <w:rFonts w:hint="eastAsia" w:ascii="仿宋" w:hAnsi="仿宋" w:eastAsia="仿宋"/>
          <w:b w:val="0"/>
          <w:bCs w:val="0"/>
        </w:rPr>
        <w:t>五、</w:t>
      </w:r>
      <w:r>
        <w:rPr>
          <w:rFonts w:hint="eastAsia" w:ascii="仿宋" w:hAnsi="仿宋" w:eastAsia="仿宋"/>
          <w:b w:val="0"/>
        </w:rPr>
        <w:t>财</w:t>
      </w:r>
      <w:r>
        <w:rPr>
          <w:rStyle w:val="26"/>
          <w:rFonts w:hint="eastAsia" w:ascii="仿宋" w:hAnsi="仿宋" w:eastAsia="仿宋"/>
          <w:b w:val="0"/>
          <w:bCs w:val="0"/>
        </w:rPr>
        <w:t>政拨款支出决算明细表</w:t>
      </w:r>
      <w:bookmarkEnd w:id="58"/>
      <w:bookmarkStart w:id="59" w:name="_Toc15396624"/>
    </w:p>
    <w:p>
      <w:pPr>
        <w:pStyle w:val="4"/>
        <w:rPr>
          <w:rFonts w:ascii="仿宋" w:hAnsi="仿宋" w:eastAsia="仿宋"/>
        </w:rPr>
      </w:pPr>
      <w:r>
        <w:rPr>
          <w:rStyle w:val="26"/>
          <w:rFonts w:hint="eastAsia" w:ascii="仿宋" w:hAnsi="仿宋" w:eastAsia="仿宋"/>
          <w:b w:val="0"/>
          <w:bCs w:val="0"/>
        </w:rPr>
        <w:t>六、</w:t>
      </w:r>
      <w:r>
        <w:rPr>
          <w:rFonts w:hint="eastAsia" w:ascii="仿宋" w:hAnsi="仿宋" w:eastAsia="仿宋"/>
          <w:b w:val="0"/>
        </w:rPr>
        <w:t>一</w:t>
      </w:r>
      <w:r>
        <w:rPr>
          <w:rStyle w:val="26"/>
          <w:rFonts w:hint="eastAsia" w:ascii="仿宋" w:hAnsi="仿宋" w:eastAsia="仿宋"/>
          <w:b w:val="0"/>
          <w:bCs w:val="0"/>
        </w:rPr>
        <w:t>般公共预算财政拨款支出决算表</w:t>
      </w:r>
      <w:bookmarkEnd w:id="59"/>
    </w:p>
    <w:p>
      <w:pPr>
        <w:pStyle w:val="4"/>
        <w:rPr>
          <w:rFonts w:ascii="仿宋" w:hAnsi="仿宋" w:eastAsia="仿宋"/>
        </w:rPr>
      </w:pPr>
      <w:bookmarkStart w:id="60" w:name="_Toc15396625"/>
      <w:r>
        <w:rPr>
          <w:rStyle w:val="26"/>
          <w:rFonts w:hint="eastAsia" w:ascii="仿宋" w:hAnsi="仿宋" w:eastAsia="仿宋"/>
          <w:b w:val="0"/>
          <w:bCs w:val="0"/>
        </w:rPr>
        <w:t>七、</w:t>
      </w:r>
      <w:r>
        <w:rPr>
          <w:rFonts w:hint="eastAsia" w:ascii="仿宋" w:hAnsi="仿宋" w:eastAsia="仿宋"/>
          <w:b w:val="0"/>
        </w:rPr>
        <w:t>一</w:t>
      </w:r>
      <w:r>
        <w:rPr>
          <w:rStyle w:val="26"/>
          <w:rFonts w:hint="eastAsia" w:ascii="仿宋" w:hAnsi="仿宋" w:eastAsia="仿宋"/>
          <w:b w:val="0"/>
          <w:bCs w:val="0"/>
        </w:rPr>
        <w:t>般公共预算财政拨款支出决算明细表</w:t>
      </w:r>
      <w:bookmarkEnd w:id="60"/>
    </w:p>
    <w:p>
      <w:pPr>
        <w:pStyle w:val="4"/>
        <w:rPr>
          <w:rFonts w:ascii="仿宋" w:hAnsi="仿宋" w:eastAsia="仿宋"/>
        </w:rPr>
      </w:pPr>
      <w:bookmarkStart w:id="61" w:name="_Toc15396626"/>
      <w:r>
        <w:rPr>
          <w:rStyle w:val="26"/>
          <w:rFonts w:hint="eastAsia" w:ascii="仿宋" w:hAnsi="仿宋" w:eastAsia="仿宋"/>
          <w:b w:val="0"/>
          <w:bCs w:val="0"/>
        </w:rPr>
        <w:t>八、</w:t>
      </w:r>
      <w:r>
        <w:rPr>
          <w:rFonts w:hint="eastAsia" w:ascii="仿宋" w:hAnsi="仿宋" w:eastAsia="仿宋"/>
          <w:b w:val="0"/>
        </w:rPr>
        <w:t>一</w:t>
      </w:r>
      <w:r>
        <w:rPr>
          <w:rStyle w:val="26"/>
          <w:rFonts w:hint="eastAsia" w:ascii="仿宋" w:hAnsi="仿宋" w:eastAsia="仿宋"/>
          <w:b w:val="0"/>
          <w:bCs w:val="0"/>
        </w:rPr>
        <w:t>般公共预算财政拨款基本支出决算表</w:t>
      </w:r>
      <w:bookmarkEnd w:id="61"/>
    </w:p>
    <w:p>
      <w:pPr>
        <w:pStyle w:val="4"/>
        <w:rPr>
          <w:rFonts w:ascii="仿宋" w:hAnsi="仿宋" w:eastAsia="仿宋"/>
        </w:rPr>
      </w:pPr>
      <w:bookmarkStart w:id="62" w:name="_Toc15396627"/>
      <w:r>
        <w:rPr>
          <w:rStyle w:val="26"/>
          <w:rFonts w:hint="eastAsia" w:ascii="仿宋" w:hAnsi="仿宋" w:eastAsia="仿宋"/>
          <w:b w:val="0"/>
          <w:bCs w:val="0"/>
        </w:rPr>
        <w:t>九、</w:t>
      </w:r>
      <w:r>
        <w:rPr>
          <w:rFonts w:hint="eastAsia" w:ascii="仿宋" w:hAnsi="仿宋" w:eastAsia="仿宋"/>
          <w:b w:val="0"/>
        </w:rPr>
        <w:t>一</w:t>
      </w:r>
      <w:r>
        <w:rPr>
          <w:rStyle w:val="26"/>
          <w:rFonts w:hint="eastAsia" w:ascii="仿宋" w:hAnsi="仿宋" w:eastAsia="仿宋"/>
          <w:b w:val="0"/>
          <w:bCs w:val="0"/>
        </w:rPr>
        <w:t>般公共预算财政拨款项目支出决算表</w:t>
      </w:r>
      <w:bookmarkEnd w:id="62"/>
    </w:p>
    <w:p>
      <w:pPr>
        <w:pStyle w:val="4"/>
        <w:rPr>
          <w:rFonts w:ascii="仿宋" w:hAnsi="仿宋" w:eastAsia="仿宋"/>
        </w:rPr>
      </w:pPr>
      <w:bookmarkStart w:id="63" w:name="_Toc15396628"/>
      <w:r>
        <w:rPr>
          <w:rStyle w:val="26"/>
          <w:rFonts w:hint="eastAsia" w:ascii="仿宋" w:hAnsi="仿宋" w:eastAsia="仿宋"/>
          <w:b w:val="0"/>
          <w:bCs w:val="0"/>
        </w:rPr>
        <w:t>十、</w:t>
      </w:r>
      <w:r>
        <w:rPr>
          <w:rFonts w:hint="eastAsia" w:ascii="仿宋" w:hAnsi="仿宋" w:eastAsia="仿宋"/>
          <w:b w:val="0"/>
        </w:rPr>
        <w:t>一</w:t>
      </w:r>
      <w:r>
        <w:rPr>
          <w:rStyle w:val="26"/>
          <w:rFonts w:hint="eastAsia" w:ascii="仿宋" w:hAnsi="仿宋" w:eastAsia="仿宋"/>
          <w:b w:val="0"/>
          <w:bCs w:val="0"/>
        </w:rPr>
        <w:t>般公共预算财政拨款“三公”经费支出决算表</w:t>
      </w:r>
      <w:bookmarkEnd w:id="63"/>
    </w:p>
    <w:p>
      <w:pPr>
        <w:pStyle w:val="4"/>
        <w:rPr>
          <w:rFonts w:ascii="仿宋" w:hAnsi="仿宋" w:eastAsia="仿宋"/>
        </w:rPr>
      </w:pPr>
      <w:bookmarkStart w:id="64" w:name="_Toc15396629"/>
      <w:r>
        <w:rPr>
          <w:rStyle w:val="26"/>
          <w:rFonts w:hint="eastAsia" w:ascii="仿宋" w:hAnsi="仿宋" w:eastAsia="仿宋"/>
          <w:b w:val="0"/>
          <w:bCs w:val="0"/>
        </w:rPr>
        <w:t>十一、</w:t>
      </w:r>
      <w:r>
        <w:rPr>
          <w:rFonts w:hint="eastAsia" w:ascii="仿宋" w:hAnsi="仿宋" w:eastAsia="仿宋"/>
          <w:b w:val="0"/>
        </w:rPr>
        <w:t>政</w:t>
      </w:r>
      <w:r>
        <w:rPr>
          <w:rStyle w:val="26"/>
          <w:rFonts w:hint="eastAsia" w:ascii="仿宋" w:hAnsi="仿宋" w:eastAsia="仿宋"/>
          <w:b w:val="0"/>
          <w:bCs w:val="0"/>
        </w:rPr>
        <w:t>府性基金预算财政拨款收入支出决算表</w:t>
      </w:r>
      <w:bookmarkEnd w:id="64"/>
    </w:p>
    <w:p>
      <w:pPr>
        <w:pStyle w:val="4"/>
        <w:rPr>
          <w:rFonts w:ascii="仿宋" w:hAnsi="仿宋" w:eastAsia="仿宋"/>
        </w:rPr>
      </w:pPr>
      <w:bookmarkStart w:id="65" w:name="_Toc15396630"/>
      <w:r>
        <w:rPr>
          <w:rStyle w:val="26"/>
          <w:rFonts w:hint="eastAsia" w:ascii="仿宋" w:hAnsi="仿宋" w:eastAsia="仿宋"/>
          <w:b w:val="0"/>
          <w:bCs w:val="0"/>
        </w:rPr>
        <w:t>十二、</w:t>
      </w:r>
      <w:r>
        <w:rPr>
          <w:rFonts w:hint="eastAsia" w:ascii="仿宋" w:hAnsi="仿宋" w:eastAsia="仿宋"/>
          <w:b w:val="0"/>
        </w:rPr>
        <w:t>政</w:t>
      </w:r>
      <w:r>
        <w:rPr>
          <w:rStyle w:val="26"/>
          <w:rFonts w:hint="eastAsia" w:ascii="仿宋" w:hAnsi="仿宋" w:eastAsia="仿宋"/>
          <w:b w:val="0"/>
          <w:bCs w:val="0"/>
        </w:rPr>
        <w:t>府性基金预算财政拨款“三公”经费支出决算表</w:t>
      </w:r>
      <w:bookmarkEnd w:id="65"/>
    </w:p>
    <w:p>
      <w:pPr>
        <w:pStyle w:val="4"/>
        <w:rPr>
          <w:rStyle w:val="26"/>
          <w:rFonts w:ascii="仿宋" w:hAnsi="仿宋" w:eastAsia="仿宋"/>
          <w:b w:val="0"/>
          <w:bCs w:val="0"/>
        </w:rPr>
      </w:pPr>
      <w:bookmarkStart w:id="66" w:name="_Toc15396631"/>
      <w:r>
        <w:rPr>
          <w:rStyle w:val="26"/>
          <w:rFonts w:hint="eastAsia" w:ascii="仿宋" w:hAnsi="仿宋" w:eastAsia="仿宋"/>
          <w:b w:val="0"/>
          <w:bCs w:val="0"/>
        </w:rPr>
        <w:t>十三、</w:t>
      </w:r>
      <w:r>
        <w:rPr>
          <w:rFonts w:hint="eastAsia" w:ascii="仿宋" w:hAnsi="仿宋" w:eastAsia="仿宋"/>
          <w:b w:val="0"/>
        </w:rPr>
        <w:t>国</w:t>
      </w:r>
      <w:r>
        <w:rPr>
          <w:rStyle w:val="26"/>
          <w:rFonts w:hint="eastAsia" w:ascii="仿宋" w:hAnsi="仿宋" w:eastAsia="仿宋"/>
          <w:b w:val="0"/>
          <w:bCs w:val="0"/>
        </w:rPr>
        <w:t>有资本经营预算财政拨款收入支出决算表</w:t>
      </w:r>
      <w:bookmarkEnd w:id="66"/>
    </w:p>
    <w:p>
      <w:pPr>
        <w:rPr>
          <w:rFonts w:eastAsia="仿宋"/>
        </w:rPr>
      </w:pPr>
      <w:r>
        <w:rPr>
          <w:rStyle w:val="26"/>
          <w:rFonts w:hint="eastAsia" w:ascii="仿宋" w:hAnsi="仿宋" w:eastAsia="仿宋"/>
          <w:b w:val="0"/>
          <w:bCs w:val="0"/>
        </w:rPr>
        <w:t>十四、国有资本经营预算财政拨款支出决算表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8"/>
          <w:jc w:val="center"/>
        </w:pPr>
        <w:r>
          <w:fldChar w:fldCharType="begin"/>
        </w:r>
        <w:r>
          <w:instrText xml:space="preserve">PAGE   \* MERGEFORMAT</w:instrText>
        </w:r>
        <w:r>
          <w:fldChar w:fldCharType="separate"/>
        </w:r>
        <w:r>
          <w:rPr>
            <w:lang w:val="zh-CN"/>
          </w:rPr>
          <w:t>17</w:t>
        </w:r>
        <w: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F193F39D"/>
    <w:multiLevelType w:val="singleLevel"/>
    <w:tmpl w:val="F193F39D"/>
    <w:lvl w:ilvl="0" w:tentative="0">
      <w:start w:val="1"/>
      <w:numFmt w:val="chineseCounting"/>
      <w:suff w:val="nothing"/>
      <w:lvlText w:val="%1、"/>
      <w:lvlJc w:val="left"/>
      <w:rPr>
        <w:rFonts w:hint="eastAsia"/>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609F9"/>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57CE8"/>
    <w:rsid w:val="00A67AB5"/>
    <w:rsid w:val="00A733B2"/>
    <w:rsid w:val="00A741C2"/>
    <w:rsid w:val="00A774A1"/>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A6A66"/>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0507A8"/>
    <w:rsid w:val="02496346"/>
    <w:rsid w:val="055545C8"/>
    <w:rsid w:val="0828282F"/>
    <w:rsid w:val="09553857"/>
    <w:rsid w:val="0A2032A3"/>
    <w:rsid w:val="0B8A37D8"/>
    <w:rsid w:val="0D8731B4"/>
    <w:rsid w:val="0DDA6523"/>
    <w:rsid w:val="10C055FF"/>
    <w:rsid w:val="118107EC"/>
    <w:rsid w:val="11DD6519"/>
    <w:rsid w:val="16BB723D"/>
    <w:rsid w:val="18015F3F"/>
    <w:rsid w:val="1B017DB4"/>
    <w:rsid w:val="1B8C087F"/>
    <w:rsid w:val="1BE8440E"/>
    <w:rsid w:val="1D155CEE"/>
    <w:rsid w:val="1E1F1518"/>
    <w:rsid w:val="1F9675B0"/>
    <w:rsid w:val="207B2261"/>
    <w:rsid w:val="20E3474F"/>
    <w:rsid w:val="20F57F95"/>
    <w:rsid w:val="240371BF"/>
    <w:rsid w:val="253B01B2"/>
    <w:rsid w:val="25C741E6"/>
    <w:rsid w:val="27842671"/>
    <w:rsid w:val="27F92273"/>
    <w:rsid w:val="28205AB3"/>
    <w:rsid w:val="29FD04D3"/>
    <w:rsid w:val="2ABE7A3E"/>
    <w:rsid w:val="2B1A3C3E"/>
    <w:rsid w:val="2D2563F7"/>
    <w:rsid w:val="2EFA178C"/>
    <w:rsid w:val="301B15CD"/>
    <w:rsid w:val="30B46D73"/>
    <w:rsid w:val="319F7F4E"/>
    <w:rsid w:val="355B197B"/>
    <w:rsid w:val="39AE70AB"/>
    <w:rsid w:val="39E51F3D"/>
    <w:rsid w:val="3C0C0783"/>
    <w:rsid w:val="3F8A26D1"/>
    <w:rsid w:val="3F9F3A96"/>
    <w:rsid w:val="40D45A90"/>
    <w:rsid w:val="41816170"/>
    <w:rsid w:val="430A275B"/>
    <w:rsid w:val="45185E55"/>
    <w:rsid w:val="493C27E9"/>
    <w:rsid w:val="49491F44"/>
    <w:rsid w:val="496F39ED"/>
    <w:rsid w:val="49FF41D3"/>
    <w:rsid w:val="4AAA1D37"/>
    <w:rsid w:val="4BE068DB"/>
    <w:rsid w:val="4BF6002B"/>
    <w:rsid w:val="4BFC713C"/>
    <w:rsid w:val="4ECE2238"/>
    <w:rsid w:val="50D9378C"/>
    <w:rsid w:val="51DB4B86"/>
    <w:rsid w:val="55333C3E"/>
    <w:rsid w:val="567E7819"/>
    <w:rsid w:val="57C8600C"/>
    <w:rsid w:val="5B4C0AB9"/>
    <w:rsid w:val="5CED3086"/>
    <w:rsid w:val="5DF4789F"/>
    <w:rsid w:val="62B61CF1"/>
    <w:rsid w:val="6391602D"/>
    <w:rsid w:val="63FC5244"/>
    <w:rsid w:val="64CA39A1"/>
    <w:rsid w:val="652D66A6"/>
    <w:rsid w:val="680C1B75"/>
    <w:rsid w:val="6948599E"/>
    <w:rsid w:val="6C4A05C8"/>
    <w:rsid w:val="6C664EFF"/>
    <w:rsid w:val="6DEF02AA"/>
    <w:rsid w:val="6E19569B"/>
    <w:rsid w:val="6EFF1FE1"/>
    <w:rsid w:val="716A2CFD"/>
    <w:rsid w:val="72734D90"/>
    <w:rsid w:val="786F03DE"/>
    <w:rsid w:val="7972126C"/>
    <w:rsid w:val="79E7B28D"/>
    <w:rsid w:val="7A9D56B1"/>
    <w:rsid w:val="7F3A2436"/>
    <w:rsid w:val="7F9F20EE"/>
    <w:rsid w:val="9E3A10E2"/>
    <w:rsid w:val="F2E1F9D4"/>
    <w:rsid w:val="F788081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link w:val="22"/>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8"/>
    <w:unhideWhenUsed/>
    <w:qFormat/>
    <w:uiPriority w:val="99"/>
    <w:rPr>
      <w:sz w:val="18"/>
      <w:szCs w:val="18"/>
    </w:rPr>
  </w:style>
  <w:style w:type="paragraph" w:styleId="8">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paragraph" w:styleId="12">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4">
    <w:name w:val="Strong"/>
    <w:basedOn w:val="13"/>
    <w:qFormat/>
    <w:uiPriority w:val="99"/>
    <w:rPr>
      <w:b/>
    </w:rPr>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7">
    <w:name w:val="Header Char"/>
    <w:basedOn w:val="13"/>
    <w:semiHidden/>
    <w:qFormat/>
    <w:uiPriority w:val="99"/>
    <w:rPr>
      <w:rFonts w:ascii="Times New Roman" w:hAnsi="Times New Roman"/>
      <w:sz w:val="18"/>
      <w:szCs w:val="18"/>
    </w:rPr>
  </w:style>
  <w:style w:type="character" w:customStyle="1" w:styleId="18">
    <w:name w:val="页眉 字符"/>
    <w:link w:val="9"/>
    <w:semiHidden/>
    <w:qFormat/>
    <w:locked/>
    <w:uiPriority w:val="99"/>
    <w:rPr>
      <w:sz w:val="18"/>
    </w:rPr>
  </w:style>
  <w:style w:type="character" w:customStyle="1" w:styleId="19">
    <w:name w:val="Footer Char"/>
    <w:basedOn w:val="13"/>
    <w:semiHidden/>
    <w:qFormat/>
    <w:uiPriority w:val="99"/>
    <w:rPr>
      <w:rFonts w:ascii="Times New Roman" w:hAnsi="Times New Roman"/>
      <w:sz w:val="18"/>
      <w:szCs w:val="18"/>
    </w:rPr>
  </w:style>
  <w:style w:type="character" w:customStyle="1" w:styleId="20">
    <w:name w:val="页脚 字符"/>
    <w:link w:val="8"/>
    <w:qFormat/>
    <w:locked/>
    <w:uiPriority w:val="99"/>
    <w:rPr>
      <w:sz w:val="18"/>
    </w:rPr>
  </w:style>
  <w:style w:type="character" w:customStyle="1" w:styleId="21">
    <w:name w:val="Body Text Char"/>
    <w:basedOn w:val="13"/>
    <w:semiHidden/>
    <w:qFormat/>
    <w:uiPriority w:val="99"/>
    <w:rPr>
      <w:rFonts w:ascii="Times New Roman" w:hAnsi="Times New Roman"/>
      <w:szCs w:val="24"/>
    </w:rPr>
  </w:style>
  <w:style w:type="character" w:customStyle="1" w:styleId="22">
    <w:name w:val="正文文本 字符"/>
    <w:link w:val="2"/>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4">
    <w:name w:val="List Paragraph"/>
    <w:basedOn w:val="1"/>
    <w:qFormat/>
    <w:uiPriority w:val="34"/>
    <w:pPr>
      <w:ind w:firstLine="420" w:firstLineChars="200"/>
    </w:pPr>
  </w:style>
  <w:style w:type="character" w:customStyle="1" w:styleId="25">
    <w:name w:val="标题 1 字符"/>
    <w:basedOn w:val="13"/>
    <w:link w:val="3"/>
    <w:qFormat/>
    <w:uiPriority w:val="9"/>
    <w:rPr>
      <w:rFonts w:ascii="Times New Roman" w:hAnsi="Times New Roman"/>
      <w:b/>
      <w:bCs/>
      <w:kern w:val="44"/>
      <w:sz w:val="44"/>
      <w:szCs w:val="44"/>
    </w:rPr>
  </w:style>
  <w:style w:type="character" w:customStyle="1" w:styleId="26">
    <w:name w:val="标题 2 字符"/>
    <w:basedOn w:val="13"/>
    <w:link w:val="4"/>
    <w:qFormat/>
    <w:uiPriority w:val="9"/>
    <w:rPr>
      <w:rFonts w:asciiTheme="majorHAnsi" w:hAnsiTheme="majorHAnsi" w:eastAsiaTheme="majorEastAsia" w:cstheme="majorBidi"/>
      <w:b/>
      <w:bCs/>
      <w:kern w:val="2"/>
      <w:sz w:val="32"/>
      <w:szCs w:val="32"/>
    </w:rPr>
  </w:style>
  <w:style w:type="paragraph" w:customStyle="1" w:styleId="27">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字符"/>
    <w:basedOn w:val="13"/>
    <w:link w:val="7"/>
    <w:semiHidden/>
    <w:qFormat/>
    <w:uiPriority w:val="99"/>
    <w:rPr>
      <w:rFonts w:ascii="Times New Roman" w:hAnsi="Times New Roman"/>
      <w:kern w:val="2"/>
      <w:sz w:val="18"/>
      <w:szCs w:val="18"/>
    </w:rPr>
  </w:style>
  <w:style w:type="character" w:customStyle="1" w:styleId="29">
    <w:name w:val="标题 3 字符"/>
    <w:basedOn w:val="13"/>
    <w:link w:val="5"/>
    <w:qFormat/>
    <w:uiPriority w:val="9"/>
    <w:rPr>
      <w:rFonts w:ascii="Times New Roman" w:hAnsi="Times New Roman"/>
      <w:b/>
      <w:bCs/>
      <w:kern w:val="2"/>
      <w:sz w:val="32"/>
      <w:szCs w:val="32"/>
    </w:rPr>
  </w:style>
  <w:style w:type="paragraph" w:customStyle="1" w:styleId="30">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6.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收、入支出决算总计变动情况图</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2020</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extLst>
                <c:ext xmlns:c15="http://schemas.microsoft.com/office/drawing/2012/chart" uri="{02D57815-91ED-43cb-92C2-25804820EDAC}">
                  <c15:fullRef>
                    <c15:sqref>Sheet1!$A$3:$A$5</c15:sqref>
                  </c15:fullRef>
                </c:ext>
              </c:extLst>
              <c:f>Sheet1!$A$3:$A$4</c:f>
              <c:numCache>
                <c:formatCode>General</c:formatCode>
                <c:ptCount val="2"/>
              </c:numCache>
            </c:numRef>
          </c:cat>
          <c:val>
            <c:numRef>
              <c:extLst>
                <c:ext xmlns:c15="http://schemas.microsoft.com/office/drawing/2012/chart" uri="{02D57815-91ED-43cb-92C2-25804820EDAC}">
                  <c15:fullRef>
                    <c15:sqref>Sheet1!$B$2:$B$5</c15:sqref>
                  </c15:fullRef>
                </c:ext>
              </c:extLst>
              <c:f>Sheet1!$B$2:$B$3</c:f>
              <c:numCache>
                <c:formatCode>General</c:formatCode>
                <c:ptCount val="2"/>
                <c:pt idx="0">
                  <c:v>149.2</c:v>
                </c:pt>
              </c:numCache>
            </c:numRef>
          </c:val>
        </c:ser>
        <c:ser>
          <c:idx val="1"/>
          <c:order val="1"/>
          <c:tx>
            <c:strRef>
              <c:f>Sheet1!$C$1</c:f>
              <c:strCache>
                <c:ptCount val="1"/>
                <c:pt idx="0">
                  <c:v>2021</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extLst>
                <c:ext xmlns:c15="http://schemas.microsoft.com/office/drawing/2012/chart" uri="{02D57815-91ED-43cb-92C2-25804820EDAC}">
                  <c15:fullRef>
                    <c15:sqref>Sheet1!$A$3:$A$5</c15:sqref>
                  </c15:fullRef>
                </c:ext>
              </c:extLst>
              <c:f>Sheet1!$A$3:$A$4</c:f>
              <c:numCache>
                <c:formatCode>General</c:formatCode>
                <c:ptCount val="2"/>
              </c:numCache>
            </c:numRef>
          </c:cat>
          <c:val>
            <c:numRef>
              <c:extLst>
                <c:ext xmlns:c15="http://schemas.microsoft.com/office/drawing/2012/chart" uri="{02D57815-91ED-43cb-92C2-25804820EDAC}">
                  <c15:fullRef>
                    <c15:sqref>Sheet1!$C$2:$C$5</c15:sqref>
                  </c15:fullRef>
                </c:ext>
              </c:extLst>
              <c:f>Sheet1!$C$2:$C$3</c:f>
              <c:numCache>
                <c:formatCode>General</c:formatCode>
                <c:ptCount val="2"/>
                <c:pt idx="0">
                  <c:v>152.47</c:v>
                </c:pt>
              </c:numCache>
            </c:numRef>
          </c:val>
        </c:ser>
        <c:dLbls>
          <c:showLegendKey val="0"/>
          <c:showVal val="0"/>
          <c:showCatName val="0"/>
          <c:showSerName val="0"/>
          <c:showPercent val="0"/>
          <c:showBubbleSize val="0"/>
        </c:dLbls>
        <c:gapWidth val="219"/>
        <c:overlap val="-27"/>
        <c:axId val="587335219"/>
        <c:axId val="228228698"/>
        <c:extLst>
          <c:ext xmlns:c15="http://schemas.microsoft.com/office/drawing/2012/chart" uri="{02D57815-91ED-43cb-92C2-25804820EDAC}">
            <c15:filteredBarSeries>
              <c15:ser>
                <c:idx val="2"/>
                <c:order val="2"/>
                <c:tx>
                  <c:strRef>
                    <c:extLst>
                      <c:ext uri="{02D57815-91ED-43cb-92C2-25804820EDAC}">
                        <c15:formulaRef>
                          <c15:sqref>Sheet1!$D$1</c15:sqref>
                        </c15:formulaRef>
                      </c:ext>
                    </c:extLst>
                    <c:strCache>
                      <c:ptCount val="1"/>
                      <c:pt idx="0">
                        <c:v/>
                      </c:pt>
                    </c:strCache>
                  </c:strRef>
                </c:tx>
                <c:spPr>
                  <a:solidFill>
                    <a:schemeClr val="accent3"/>
                  </a:solidFill>
                  <a:ln>
                    <a:noFill/>
                  </a:ln>
                  <a:effectLst/>
                </c:spPr>
                <c:invertIfNegative val="0"/>
                <c:dLbls>
                  <c:delete val="1"/>
                </c:dLbls>
                <c:cat>
                  <c:numRef>
                    <c:extLst>
                      <c:ext uri="{02D57815-91ED-43cb-92C2-25804820EDAC}">
                        <c15:fullRef>
                          <c15:sqref>Sheet1!$A$3:$A$5</c15:sqref>
                        </c15:fullRef>
                        <c15:formulaRef>
                          <c15:sqref>Sheet1!$A$3:$A$4</c15:sqref>
                        </c15:formulaRef>
                      </c:ext>
                    </c:extLst>
                    <c:numCache>
                      <c:formatCode>General</c:formatCode>
                      <c:ptCount val="2"/>
                    </c:numCache>
                  </c:numRef>
                </c:cat>
                <c:val>
                  <c:numRef>
                    <c:extLst>
                      <c:ext uri="{02D57815-91ED-43cb-92C2-25804820EDAC}">
                        <c15:fullRef>
                          <c15:sqref>Sheet1!$D$2:$D$5</c15:sqref>
                        </c15:fullRef>
                        <c15:formulaRef>
                          <c15:sqref>Sheet1!$D$2:$D$3</c15:sqref>
                        </c15:formulaRef>
                      </c:ext>
                    </c:extLst>
                    <c:numCache>
                      <c:formatCode>General</c:formatCode>
                      <c:ptCount val="2"/>
                    </c:numCache>
                  </c:numRef>
                </c:val>
              </c15:ser>
            </c15:filteredBarSeries>
          </c:ext>
        </c:extLst>
      </c:barChart>
      <c:catAx>
        <c:axId val="587335219"/>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28228698"/>
        <c:crosses val="autoZero"/>
        <c:auto val="1"/>
        <c:lblAlgn val="ctr"/>
        <c:lblOffset val="100"/>
        <c:noMultiLvlLbl val="0"/>
      </c:catAx>
      <c:valAx>
        <c:axId val="22822869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87335219"/>
        <c:crosses val="autoZero"/>
        <c:crossBetween val="between"/>
      </c:valAx>
      <c:spPr>
        <a:noFill/>
        <a:ln>
          <a:noFill/>
        </a:ln>
        <a:effectLst/>
      </c:spPr>
    </c:plotArea>
    <c:legend>
      <c:legendPos val="b"/>
      <c:layout>
        <c:manualLayout>
          <c:xMode val="edge"/>
          <c:yMode val="edge"/>
          <c:x val="0.41"/>
          <c:y val="0.894666666666667"/>
          <c:w val="0.180125"/>
          <c:h val="0.100333333333333"/>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2021</a:t>
            </a:r>
            <a:r>
              <a:rPr altLang="zh-CN"/>
              <a:t>年度收入</a:t>
            </a:r>
            <a:r>
              <a:t>决算结构图</a:t>
            </a:r>
          </a:p>
        </c:rich>
      </c:tx>
      <c:layout/>
      <c:overlay val="0"/>
      <c:spPr>
        <a:noFill/>
        <a:ln>
          <a:noFill/>
        </a:ln>
        <a:effectLst/>
      </c:spPr>
    </c:title>
    <c:autoTitleDeleted val="0"/>
    <c:plotArea>
      <c:layout/>
      <c:pieChart>
        <c:varyColors val="1"/>
        <c:ser>
          <c:idx val="0"/>
          <c:order val="0"/>
          <c:tx>
            <c:strRef>
              <c:f>Sheet1!$B$1</c:f>
              <c:strCache>
                <c:ptCount val="1"/>
                <c:pt idx="0">
                  <c:v>系列 1</c:v>
                </c:pt>
              </c:strCache>
            </c:strRef>
          </c:tx>
          <c:spPr/>
          <c:explosion val="0"/>
          <c:dPt>
            <c:idx val="0"/>
            <c:bubble3D val="0"/>
            <c:spPr>
              <a:solidFill>
                <a:schemeClr val="accent1"/>
              </a:solidFill>
              <a:ln>
                <a:no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2021年</c:v>
                </c:pt>
              </c:strCache>
            </c:strRef>
          </c:cat>
          <c:val>
            <c:numRef>
              <c:f>Sheet1!$B$2</c:f>
              <c:numCache>
                <c:formatCode>General</c:formatCode>
                <c:ptCount val="1"/>
                <c:pt idx="0">
                  <c:v>152.47</c:v>
                </c:pt>
              </c:numCache>
            </c:numRef>
          </c:val>
        </c:ser>
        <c:dLbls>
          <c:showLegendKey val="0"/>
          <c:showVal val="0"/>
          <c:showCatName val="0"/>
          <c:showSerName val="0"/>
          <c:showPercent val="0"/>
          <c:showBubbleSize val="0"/>
          <c:showLeaderLines val="1"/>
        </c:dLbls>
        <c:firstSliceAng val="0"/>
        <c:extLst>
          <c:ext xmlns:c15="http://schemas.microsoft.com/office/drawing/2012/chart" uri="{02D57815-91ED-43cb-92C2-25804820EDAC}">
            <c15:filteredPieSeries>
              <c15:ser>
                <c:idx val="1"/>
                <c:order val="1"/>
                <c:tx>
                  <c:strRef>
                    <c:extLst>
                      <c:ext uri="{02D57815-91ED-43cb-92C2-25804820EDAC}">
                        <c15:formulaRef>
                          <c15:sqref>Sheet1!#REF!</c15:sqref>
                        </c15:formulaRef>
                      </c:ext>
                    </c:extLst>
                    <c:strCache>
                      <c:ptCount val="1"/>
                      <c:pt idx="0">
                        <c:v/>
                      </c:pt>
                    </c:strCache>
                  </c:strRef>
                </c:tx>
                <c:spPr/>
                <c:explosion val="0"/>
                <c:dPt>
                  <c:idx val="0"/>
                  <c:bubble3D val="0"/>
                  <c:spPr>
                    <a:solidFill>
                      <a:schemeClr val="accent1"/>
                    </a:solidFill>
                    <a:ln>
                      <a:noFill/>
                    </a:ln>
                    <a:effectLst/>
                  </c:spPr>
                </c:dPt>
                <c:dLbls>
                  <c:delete val="1"/>
                </c:dLbls>
                <c:cat>
                  <c:strRef>
                    <c:extLst>
                      <c:ext uri="{02D57815-91ED-43cb-92C2-25804820EDAC}">
                        <c15:fullRef>
                          <c15:sqref/>
                        </c15:fullRef>
                        <c15:formulaRef>
                          <c15:sqref>Sheet1!$A$2</c15:sqref>
                        </c15:formulaRef>
                      </c:ext>
                    </c:extLst>
                    <c:strCache>
                      <c:ptCount val="1"/>
                      <c:pt idx="0">
                        <c:v>2021年</c:v>
                      </c:pt>
                    </c:strCache>
                  </c:strRef>
                </c:cat>
                <c:val>
                  <c:numRef>
                    <c:extLst>
                      <c:ext uri="{02D57815-91ED-43cb-92C2-25804820EDAC}">
                        <c15:formulaRef>
                          <c15:sqref>Sheet1!#REF!</c15:sqref>
                        </c15:formulaRef>
                      </c:ext>
                    </c:extLst>
                    <c:numCache>
                      <c:formatCode>General</c:formatCode>
                      <c:ptCount val="1"/>
                      <c:pt idx="0">
                        <c:v>1</c:v>
                      </c:pt>
                    </c:numCache>
                  </c:numRef>
                </c:val>
              </c15:ser>
            </c15:filteredPieSeries>
            <c15:filteredPieSeries>
              <c15:ser>
                <c:idx val="2"/>
                <c:order val="2"/>
                <c:tx>
                  <c:strRef>
                    <c:extLst>
                      <c:ext uri="{02D57815-91ED-43cb-92C2-25804820EDAC}">
                        <c15:formulaRef>
                          <c15:sqref>Sheet1!#REF!</c15:sqref>
                        </c15:formulaRef>
                      </c:ext>
                    </c:extLst>
                    <c:strCache>
                      <c:ptCount val="1"/>
                      <c:pt idx="0">
                        <c:v/>
                      </c:pt>
                    </c:strCache>
                  </c:strRef>
                </c:tx>
                <c:spPr/>
                <c:explosion val="0"/>
                <c:dPt>
                  <c:idx val="0"/>
                  <c:bubble3D val="0"/>
                  <c:spPr>
                    <a:solidFill>
                      <a:schemeClr val="accent1"/>
                    </a:solidFill>
                    <a:ln>
                      <a:noFill/>
                    </a:ln>
                    <a:effectLst/>
                  </c:spPr>
                </c:dPt>
                <c:dLbls>
                  <c:delete val="1"/>
                </c:dLbls>
                <c:cat>
                  <c:strRef>
                    <c:extLst>
                      <c:ext uri="{02D57815-91ED-43cb-92C2-25804820EDAC}">
                        <c15:fullRef>
                          <c15:sqref/>
                        </c15:fullRef>
                        <c15:formulaRef>
                          <c15:sqref>Sheet1!$A$2</c15:sqref>
                        </c15:formulaRef>
                      </c:ext>
                    </c:extLst>
                    <c:strCache>
                      <c:ptCount val="1"/>
                      <c:pt idx="0">
                        <c:v>2021年</c:v>
                      </c:pt>
                    </c:strCache>
                  </c:strRef>
                </c:cat>
                <c:val>
                  <c:numRef>
                    <c:extLst>
                      <c:ext uri="{02D57815-91ED-43cb-92C2-25804820EDAC}">
                        <c15:formulaRef>
                          <c15:sqref>Sheet1!#REF!</c15:sqref>
                        </c15:formulaRef>
                      </c:ext>
                    </c:extLst>
                    <c:numCache>
                      <c:formatCode>General</c:formatCode>
                      <c:ptCount val="1"/>
                      <c:pt idx="0">
                        <c:v>1</c:v>
                      </c:pt>
                    </c:numCache>
                  </c:numRef>
                </c:val>
              </c15:ser>
            </c15:filteredPieSeries>
          </c:ext>
        </c:extLst>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2021</a:t>
            </a:r>
            <a:r>
              <a:rPr altLang="zh-CN"/>
              <a:t>年度支出</a:t>
            </a:r>
            <a:r>
              <a:t>决算结构图</a:t>
            </a:r>
          </a:p>
        </c:rich>
      </c:tx>
      <c:layout/>
      <c:overlay val="0"/>
      <c:spPr>
        <a:noFill/>
        <a:ln>
          <a:noFill/>
        </a:ln>
        <a:effectLst/>
      </c:spPr>
    </c:title>
    <c:autoTitleDeleted val="0"/>
    <c:plotArea>
      <c:layout/>
      <c:pieChart>
        <c:varyColors val="1"/>
        <c:ser>
          <c:idx val="0"/>
          <c:order val="0"/>
          <c:tx>
            <c:strRef>
              <c:f>Sheet1!$B$1</c:f>
              <c:strCache>
                <c:ptCount val="1"/>
                <c:pt idx="0">
                  <c:v>系列 1</c:v>
                </c:pt>
              </c:strCache>
            </c:strRef>
          </c:tx>
          <c:spPr/>
          <c:explosion val="0"/>
          <c:dPt>
            <c:idx val="0"/>
            <c:bubble3D val="0"/>
            <c:spPr>
              <a:solidFill>
                <a:schemeClr val="accent1"/>
              </a:solidFill>
              <a:ln>
                <a:no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2021年</c:v>
                </c:pt>
              </c:strCache>
            </c:strRef>
          </c:cat>
          <c:val>
            <c:numRef>
              <c:f>Sheet1!$B$2</c:f>
              <c:numCache>
                <c:formatCode>General</c:formatCode>
                <c:ptCount val="1"/>
                <c:pt idx="0">
                  <c:v>152.47</c:v>
                </c:pt>
              </c:numCache>
            </c:numRef>
          </c:val>
        </c:ser>
        <c:dLbls>
          <c:showLegendKey val="0"/>
          <c:showVal val="0"/>
          <c:showCatName val="0"/>
          <c:showSerName val="0"/>
          <c:showPercent val="0"/>
          <c:showBubbleSize val="0"/>
          <c:showLeaderLines val="1"/>
        </c:dLbls>
        <c:firstSliceAng val="0"/>
        <c:extLst>
          <c:ext xmlns:c15="http://schemas.microsoft.com/office/drawing/2012/chart" uri="{02D57815-91ED-43cb-92C2-25804820EDAC}">
            <c15:filteredPieSeries>
              <c15:ser>
                <c:idx val="1"/>
                <c:order val="1"/>
                <c:tx>
                  <c:strRef>
                    <c:extLst>
                      <c:ext uri="{02D57815-91ED-43cb-92C2-25804820EDAC}">
                        <c15:formulaRef>
                          <c15:sqref>Sheet1!#REF!</c15:sqref>
                        </c15:formulaRef>
                      </c:ext>
                    </c:extLst>
                    <c:strCache>
                      <c:ptCount val="1"/>
                      <c:pt idx="0">
                        <c:v/>
                      </c:pt>
                    </c:strCache>
                  </c:strRef>
                </c:tx>
                <c:spPr/>
                <c:explosion val="0"/>
                <c:dPt>
                  <c:idx val="0"/>
                  <c:bubble3D val="0"/>
                  <c:spPr>
                    <a:solidFill>
                      <a:schemeClr val="accent1"/>
                    </a:solidFill>
                    <a:ln>
                      <a:noFill/>
                    </a:ln>
                    <a:effectLst/>
                  </c:spPr>
                </c:dPt>
                <c:dLbls>
                  <c:delete val="1"/>
                </c:dLbls>
                <c:cat>
                  <c:strRef>
                    <c:extLst>
                      <c:ext uri="{02D57815-91ED-43cb-92C2-25804820EDAC}">
                        <c15:fullRef>
                          <c15:sqref/>
                        </c15:fullRef>
                        <c15:formulaRef>
                          <c15:sqref>Sheet1!$A$2</c15:sqref>
                        </c15:formulaRef>
                      </c:ext>
                    </c:extLst>
                    <c:strCache>
                      <c:ptCount val="1"/>
                      <c:pt idx="0">
                        <c:v>2021年</c:v>
                      </c:pt>
                    </c:strCache>
                  </c:strRef>
                </c:cat>
                <c:val>
                  <c:numRef>
                    <c:extLst>
                      <c:ext uri="{02D57815-91ED-43cb-92C2-25804820EDAC}">
                        <c15:formulaRef>
                          <c15:sqref>Sheet1!#REF!</c15:sqref>
                        </c15:formulaRef>
                      </c:ext>
                    </c:extLst>
                    <c:numCache>
                      <c:formatCode>General</c:formatCode>
                      <c:ptCount val="1"/>
                      <c:pt idx="0">
                        <c:v>1</c:v>
                      </c:pt>
                    </c:numCache>
                  </c:numRef>
                </c:val>
              </c15:ser>
            </c15:filteredPieSeries>
            <c15:filteredPieSeries>
              <c15:ser>
                <c:idx val="2"/>
                <c:order val="2"/>
                <c:tx>
                  <c:strRef>
                    <c:extLst>
                      <c:ext uri="{02D57815-91ED-43cb-92C2-25804820EDAC}">
                        <c15:formulaRef>
                          <c15:sqref>Sheet1!#REF!</c15:sqref>
                        </c15:formulaRef>
                      </c:ext>
                    </c:extLst>
                    <c:strCache>
                      <c:ptCount val="1"/>
                      <c:pt idx="0">
                        <c:v/>
                      </c:pt>
                    </c:strCache>
                  </c:strRef>
                </c:tx>
                <c:spPr/>
                <c:explosion val="0"/>
                <c:dPt>
                  <c:idx val="0"/>
                  <c:bubble3D val="0"/>
                  <c:spPr>
                    <a:solidFill>
                      <a:schemeClr val="accent1"/>
                    </a:solidFill>
                    <a:ln>
                      <a:noFill/>
                    </a:ln>
                    <a:effectLst/>
                  </c:spPr>
                </c:dPt>
                <c:dLbls>
                  <c:delete val="1"/>
                </c:dLbls>
                <c:cat>
                  <c:strRef>
                    <c:extLst>
                      <c:ext uri="{02D57815-91ED-43cb-92C2-25804820EDAC}">
                        <c15:fullRef>
                          <c15:sqref/>
                        </c15:fullRef>
                        <c15:formulaRef>
                          <c15:sqref>Sheet1!$A$2</c15:sqref>
                        </c15:formulaRef>
                      </c:ext>
                    </c:extLst>
                    <c:strCache>
                      <c:ptCount val="1"/>
                      <c:pt idx="0">
                        <c:v>2021年</c:v>
                      </c:pt>
                    </c:strCache>
                  </c:strRef>
                </c:cat>
                <c:val>
                  <c:numRef>
                    <c:extLst>
                      <c:ext uri="{02D57815-91ED-43cb-92C2-25804820EDAC}">
                        <c15:formulaRef>
                          <c15:sqref>Sheet1!#REF!</c15:sqref>
                        </c15:formulaRef>
                      </c:ext>
                    </c:extLst>
                    <c:numCache>
                      <c:formatCode>General</c:formatCode>
                      <c:ptCount val="1"/>
                      <c:pt idx="0">
                        <c:v>1</c:v>
                      </c:pt>
                    </c:numCache>
                  </c:numRef>
                </c:val>
              </c15:ser>
            </c15:filteredPieSeries>
          </c:ext>
        </c:extLst>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财政拨款收、入支出决算总计变动情况图</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2020</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extLst>
                <c:ext xmlns:c15="http://schemas.microsoft.com/office/drawing/2012/chart" uri="{02D57815-91ED-43cb-92C2-25804820EDAC}">
                  <c15:fullRef>
                    <c15:sqref>Sheet1!$A$3:$A$5</c15:sqref>
                  </c15:fullRef>
                </c:ext>
              </c:extLst>
              <c:f>Sheet1!$A$3:$A$4</c:f>
              <c:numCache>
                <c:formatCode>General</c:formatCode>
                <c:ptCount val="2"/>
              </c:numCache>
            </c:numRef>
          </c:cat>
          <c:val>
            <c:numRef>
              <c:extLst>
                <c:ext xmlns:c15="http://schemas.microsoft.com/office/drawing/2012/chart" uri="{02D57815-91ED-43cb-92C2-25804820EDAC}">
                  <c15:fullRef>
                    <c15:sqref>Sheet1!$B$2:$B$5</c15:sqref>
                  </c15:fullRef>
                </c:ext>
              </c:extLst>
              <c:f>Sheet1!$B$2:$B$3</c:f>
              <c:numCache>
                <c:formatCode>General</c:formatCode>
                <c:ptCount val="2"/>
                <c:pt idx="0">
                  <c:v>149.2</c:v>
                </c:pt>
              </c:numCache>
            </c:numRef>
          </c:val>
        </c:ser>
        <c:ser>
          <c:idx val="1"/>
          <c:order val="1"/>
          <c:tx>
            <c:strRef>
              <c:f>Sheet1!$C$1</c:f>
              <c:strCache>
                <c:ptCount val="1"/>
                <c:pt idx="0">
                  <c:v>2021</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extLst>
                <c:ext xmlns:c15="http://schemas.microsoft.com/office/drawing/2012/chart" uri="{02D57815-91ED-43cb-92C2-25804820EDAC}">
                  <c15:fullRef>
                    <c15:sqref>Sheet1!$A$3:$A$5</c15:sqref>
                  </c15:fullRef>
                </c:ext>
              </c:extLst>
              <c:f>Sheet1!$A$3:$A$4</c:f>
              <c:numCache>
                <c:formatCode>General</c:formatCode>
                <c:ptCount val="2"/>
              </c:numCache>
            </c:numRef>
          </c:cat>
          <c:val>
            <c:numRef>
              <c:extLst>
                <c:ext xmlns:c15="http://schemas.microsoft.com/office/drawing/2012/chart" uri="{02D57815-91ED-43cb-92C2-25804820EDAC}">
                  <c15:fullRef>
                    <c15:sqref>Sheet1!$C$2:$C$5</c15:sqref>
                  </c15:fullRef>
                </c:ext>
              </c:extLst>
              <c:f>Sheet1!$C$2:$C$3</c:f>
              <c:numCache>
                <c:formatCode>General</c:formatCode>
                <c:ptCount val="2"/>
                <c:pt idx="0">
                  <c:v>152.47</c:v>
                </c:pt>
              </c:numCache>
            </c:numRef>
          </c:val>
        </c:ser>
        <c:dLbls>
          <c:showLegendKey val="0"/>
          <c:showVal val="0"/>
          <c:showCatName val="0"/>
          <c:showSerName val="0"/>
          <c:showPercent val="0"/>
          <c:showBubbleSize val="0"/>
        </c:dLbls>
        <c:gapWidth val="219"/>
        <c:overlap val="-27"/>
        <c:axId val="587335219"/>
        <c:axId val="228228698"/>
        <c:extLst>
          <c:ext xmlns:c15="http://schemas.microsoft.com/office/drawing/2012/chart" uri="{02D57815-91ED-43cb-92C2-25804820EDAC}">
            <c15:filteredBarSeries>
              <c15:ser>
                <c:idx val="2"/>
                <c:order val="2"/>
                <c:tx>
                  <c:strRef>
                    <c:extLst>
                      <c:ext uri="{02D57815-91ED-43cb-92C2-25804820EDAC}">
                        <c15:formulaRef>
                          <c15:sqref>Sheet1!$D$1</c15:sqref>
                        </c15:formulaRef>
                      </c:ext>
                    </c:extLst>
                    <c:strCache>
                      <c:ptCount val="1"/>
                      <c:pt idx="0">
                        <c:v/>
                      </c:pt>
                    </c:strCache>
                  </c:strRef>
                </c:tx>
                <c:spPr>
                  <a:solidFill>
                    <a:schemeClr val="accent3"/>
                  </a:solidFill>
                  <a:ln>
                    <a:noFill/>
                  </a:ln>
                  <a:effectLst/>
                </c:spPr>
                <c:invertIfNegative val="0"/>
                <c:dLbls>
                  <c:delete val="1"/>
                </c:dLbls>
                <c:cat>
                  <c:numRef>
                    <c:extLst>
                      <c:ext uri="{02D57815-91ED-43cb-92C2-25804820EDAC}">
                        <c15:fullRef>
                          <c15:sqref>Sheet1!$A$3:$A$5</c15:sqref>
                        </c15:fullRef>
                        <c15:formulaRef>
                          <c15:sqref>Sheet1!$A$3:$A$4</c15:sqref>
                        </c15:formulaRef>
                      </c:ext>
                    </c:extLst>
                    <c:numCache>
                      <c:formatCode>General</c:formatCode>
                      <c:ptCount val="2"/>
                    </c:numCache>
                  </c:numRef>
                </c:cat>
                <c:val>
                  <c:numRef>
                    <c:extLst>
                      <c:ext uri="{02D57815-91ED-43cb-92C2-25804820EDAC}">
                        <c15:fullRef>
                          <c15:sqref>Sheet1!$D$2:$D$5</c15:sqref>
                        </c15:fullRef>
                        <c15:formulaRef>
                          <c15:sqref>Sheet1!$D$2:$D$3</c15:sqref>
                        </c15:formulaRef>
                      </c:ext>
                    </c:extLst>
                    <c:numCache>
                      <c:formatCode>General</c:formatCode>
                      <c:ptCount val="2"/>
                    </c:numCache>
                  </c:numRef>
                </c:val>
              </c15:ser>
            </c15:filteredBarSeries>
          </c:ext>
        </c:extLst>
      </c:barChart>
      <c:catAx>
        <c:axId val="587335219"/>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28228698"/>
        <c:crosses val="autoZero"/>
        <c:auto val="1"/>
        <c:lblAlgn val="ctr"/>
        <c:lblOffset val="100"/>
        <c:noMultiLvlLbl val="0"/>
      </c:catAx>
      <c:valAx>
        <c:axId val="22822869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87335219"/>
        <c:crosses val="autoZero"/>
        <c:crossBetween val="between"/>
      </c:valAx>
      <c:spPr>
        <a:noFill/>
        <a:ln>
          <a:noFill/>
        </a:ln>
        <a:effectLst/>
      </c:spPr>
    </c:plotArea>
    <c:legend>
      <c:legendPos val="b"/>
      <c:layout>
        <c:manualLayout>
          <c:xMode val="edge"/>
          <c:yMode val="edge"/>
          <c:x val="0.41"/>
          <c:y val="0.894666666666667"/>
          <c:w val="0.180125"/>
          <c:h val="0.100333333333333"/>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财政拨款支出决算变动情况图</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2020</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extLst>
                <c:ext xmlns:c15="http://schemas.microsoft.com/office/drawing/2012/chart" uri="{02D57815-91ED-43cb-92C2-25804820EDAC}">
                  <c15:fullRef>
                    <c15:sqref>Sheet1!$A$3:$A$5</c15:sqref>
                  </c15:fullRef>
                </c:ext>
              </c:extLst>
              <c:f>Sheet1!$A$3:$A$4</c:f>
              <c:numCache>
                <c:formatCode>General</c:formatCode>
                <c:ptCount val="2"/>
              </c:numCache>
            </c:numRef>
          </c:cat>
          <c:val>
            <c:numRef>
              <c:extLst>
                <c:ext xmlns:c15="http://schemas.microsoft.com/office/drawing/2012/chart" uri="{02D57815-91ED-43cb-92C2-25804820EDAC}">
                  <c15:fullRef>
                    <c15:sqref>Sheet1!$B$2:$B$5</c15:sqref>
                  </c15:fullRef>
                </c:ext>
              </c:extLst>
              <c:f>Sheet1!$B$2:$B$3</c:f>
              <c:numCache>
                <c:formatCode>General</c:formatCode>
                <c:ptCount val="2"/>
                <c:pt idx="0">
                  <c:v>149.2</c:v>
                </c:pt>
              </c:numCache>
            </c:numRef>
          </c:val>
        </c:ser>
        <c:ser>
          <c:idx val="1"/>
          <c:order val="1"/>
          <c:tx>
            <c:strRef>
              <c:f>Sheet1!$C$1</c:f>
              <c:strCache>
                <c:ptCount val="1"/>
                <c:pt idx="0">
                  <c:v>2021</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extLst>
                <c:ext xmlns:c15="http://schemas.microsoft.com/office/drawing/2012/chart" uri="{02D57815-91ED-43cb-92C2-25804820EDAC}">
                  <c15:fullRef>
                    <c15:sqref>Sheet1!$A$3:$A$5</c15:sqref>
                  </c15:fullRef>
                </c:ext>
              </c:extLst>
              <c:f>Sheet1!$A$3:$A$4</c:f>
              <c:numCache>
                <c:formatCode>General</c:formatCode>
                <c:ptCount val="2"/>
              </c:numCache>
            </c:numRef>
          </c:cat>
          <c:val>
            <c:numRef>
              <c:extLst>
                <c:ext xmlns:c15="http://schemas.microsoft.com/office/drawing/2012/chart" uri="{02D57815-91ED-43cb-92C2-25804820EDAC}">
                  <c15:fullRef>
                    <c15:sqref>Sheet1!$C$2:$C$5</c15:sqref>
                  </c15:fullRef>
                </c:ext>
              </c:extLst>
              <c:f>Sheet1!$C$2:$C$3</c:f>
              <c:numCache>
                <c:formatCode>General</c:formatCode>
                <c:ptCount val="2"/>
                <c:pt idx="0">
                  <c:v>152.47</c:v>
                </c:pt>
              </c:numCache>
            </c:numRef>
          </c:val>
        </c:ser>
        <c:dLbls>
          <c:showLegendKey val="0"/>
          <c:showVal val="0"/>
          <c:showCatName val="0"/>
          <c:showSerName val="0"/>
          <c:showPercent val="0"/>
          <c:showBubbleSize val="0"/>
        </c:dLbls>
        <c:gapWidth val="219"/>
        <c:overlap val="-27"/>
        <c:axId val="587335219"/>
        <c:axId val="228228698"/>
        <c:extLst>
          <c:ext xmlns:c15="http://schemas.microsoft.com/office/drawing/2012/chart" uri="{02D57815-91ED-43cb-92C2-25804820EDAC}">
            <c15:filteredBarSeries>
              <c15:ser>
                <c:idx val="2"/>
                <c:order val="2"/>
                <c:tx>
                  <c:strRef>
                    <c:extLst>
                      <c:ext uri="{02D57815-91ED-43cb-92C2-25804820EDAC}">
                        <c15:formulaRef>
                          <c15:sqref>Sheet1!$D$1</c15:sqref>
                        </c15:formulaRef>
                      </c:ext>
                    </c:extLst>
                    <c:strCache>
                      <c:ptCount val="1"/>
                      <c:pt idx="0">
                        <c:v/>
                      </c:pt>
                    </c:strCache>
                  </c:strRef>
                </c:tx>
                <c:spPr>
                  <a:solidFill>
                    <a:schemeClr val="accent3"/>
                  </a:solidFill>
                  <a:ln>
                    <a:noFill/>
                  </a:ln>
                  <a:effectLst/>
                </c:spPr>
                <c:invertIfNegative val="0"/>
                <c:dLbls>
                  <c:delete val="1"/>
                </c:dLbls>
                <c:cat>
                  <c:numRef>
                    <c:extLst>
                      <c:ext uri="{02D57815-91ED-43cb-92C2-25804820EDAC}">
                        <c15:fullRef>
                          <c15:sqref>Sheet1!$A$3:$A$5</c15:sqref>
                        </c15:fullRef>
                        <c15:formulaRef>
                          <c15:sqref>Sheet1!$A$3:$A$4</c15:sqref>
                        </c15:formulaRef>
                      </c:ext>
                    </c:extLst>
                    <c:numCache>
                      <c:formatCode>General</c:formatCode>
                      <c:ptCount val="2"/>
                    </c:numCache>
                  </c:numRef>
                </c:cat>
                <c:val>
                  <c:numRef>
                    <c:extLst>
                      <c:ext uri="{02D57815-91ED-43cb-92C2-25804820EDAC}">
                        <c15:fullRef>
                          <c15:sqref>Sheet1!$D$2:$D$5</c15:sqref>
                        </c15:fullRef>
                        <c15:formulaRef>
                          <c15:sqref>Sheet1!$D$2:$D$3</c15:sqref>
                        </c15:formulaRef>
                      </c:ext>
                    </c:extLst>
                    <c:numCache>
                      <c:formatCode>General</c:formatCode>
                      <c:ptCount val="2"/>
                    </c:numCache>
                  </c:numRef>
                </c:val>
              </c15:ser>
            </c15:filteredBarSeries>
          </c:ext>
        </c:extLst>
      </c:barChart>
      <c:catAx>
        <c:axId val="587335219"/>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28228698"/>
        <c:crosses val="autoZero"/>
        <c:auto val="1"/>
        <c:lblAlgn val="ctr"/>
        <c:lblOffset val="100"/>
        <c:noMultiLvlLbl val="0"/>
      </c:catAx>
      <c:valAx>
        <c:axId val="22822869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87335219"/>
        <c:crosses val="autoZero"/>
        <c:crossBetween val="between"/>
      </c:valAx>
      <c:spPr>
        <a:noFill/>
        <a:ln>
          <a:noFill/>
        </a:ln>
        <a:effectLst/>
      </c:spPr>
    </c:plotArea>
    <c:legend>
      <c:legendPos val="b"/>
      <c:layout>
        <c:manualLayout>
          <c:xMode val="edge"/>
          <c:yMode val="edge"/>
          <c:x val="0.41"/>
          <c:y val="0.894666666666667"/>
          <c:w val="0.180125"/>
          <c:h val="0.100333333333333"/>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财政拨款支出决算结构图</a:t>
            </a:r>
          </a:p>
        </c:rich>
      </c:tx>
      <c:layout/>
      <c:overlay val="0"/>
      <c:spPr>
        <a:noFill/>
        <a:ln>
          <a:noFill/>
        </a:ln>
        <a:effectLst/>
      </c:spPr>
    </c:title>
    <c:autoTitleDeleted val="0"/>
    <c:plotArea>
      <c:layout/>
      <c:pieChart>
        <c:varyColors val="1"/>
        <c:ser>
          <c:idx val="0"/>
          <c:order val="0"/>
          <c:tx>
            <c:strRef>
              <c:f>Sheet1!$B$1</c:f>
              <c:strCache>
                <c:ptCount val="1"/>
                <c:pt idx="0">
                  <c:v>支出决算结构情况</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0"/>
              <c:layout>
                <c:manualLayout>
                  <c:x val="-0.139707406175109"/>
                  <c:y val="-0.166613798597398"/>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0287694272471182"/>
                  <c:y val="0.0546601789863901"/>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3"/>
              <c:layout>
                <c:manualLayout>
                  <c:x val="0.0571721174838715"/>
                  <c:y val="0.0280527698276729"/>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179033164699269"/>
                      <c:h val="0.128225175918686"/>
                    </c:manualLayout>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一般公共服务（类）</c:v>
                </c:pt>
                <c:pt idx="1">
                  <c:v>社会保障和就业（类）</c:v>
                </c:pt>
                <c:pt idx="2">
                  <c:v>卫生健康支出</c:v>
                </c:pt>
                <c:pt idx="3">
                  <c:v>住房保障支出</c:v>
                </c:pt>
              </c:strCache>
            </c:strRef>
          </c:cat>
          <c:val>
            <c:numRef>
              <c:f>Sheet1!$B$2:$B$5</c:f>
              <c:numCache>
                <c:formatCode>General</c:formatCode>
                <c:ptCount val="4"/>
                <c:pt idx="0">
                  <c:v>117.54</c:v>
                </c:pt>
                <c:pt idx="1">
                  <c:v>17.35</c:v>
                </c:pt>
                <c:pt idx="2">
                  <c:v>4.4</c:v>
                </c:pt>
                <c:pt idx="3">
                  <c:v>13.18</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17</Pages>
  <Words>940</Words>
  <Characters>5361</Characters>
  <Lines>44</Lines>
  <Paragraphs>12</Paragraphs>
  <TotalTime>11</TotalTime>
  <ScaleCrop>false</ScaleCrop>
  <LinksUpToDate>false</LinksUpToDate>
  <CharactersWithSpaces>6289</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2020-08-05T01:49:00Z</dcterms:created>
  <dc:creator>曹颖</dc:creator>
  <cp:lastModifiedBy>user</cp:lastModifiedBy>
  <cp:lastPrinted>2022-08-06T02:23:00Z</cp:lastPrinted>
  <dcterms:modified xsi:type="dcterms:W3CDTF">2023-10-07T01:07:09Z</dcterms:modified>
  <dc:title>四川省***</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