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B72787">
      <w:pPr>
        <w:rPr>
          <w:b w:val="0"/>
          <w:bCs w:val="0"/>
        </w:rPr>
      </w:pPr>
      <w:bookmarkStart w:id="0" w:name="_Toc15396597"/>
      <w:bookmarkStart w:id="1" w:name="_Toc15378441"/>
      <w:bookmarkStart w:id="2" w:name="_Toc15306267"/>
      <w:bookmarkStart w:id="3" w:name="_Toc15377193"/>
      <w:bookmarkStart w:id="4" w:name="_Toc15377425"/>
      <w:bookmarkStart w:id="5" w:name="_Toc15396475"/>
    </w:p>
    <w:bookmarkEnd w:id="0"/>
    <w:bookmarkEnd w:id="1"/>
    <w:bookmarkEnd w:id="2"/>
    <w:bookmarkEnd w:id="3"/>
    <w:bookmarkEnd w:id="4"/>
    <w:bookmarkEnd w:id="5"/>
    <w:p w14:paraId="3B742CA0">
      <w:pPr>
        <w:pStyle w:val="6"/>
        <w:spacing w:before="93"/>
        <w:rPr>
          <w:rFonts w:hint="eastAsia" w:ascii="方正小标宋简体" w:hAnsi="宋体" w:eastAsia="方正小标宋简体"/>
          <w:b w:val="0"/>
          <w:bCs w:val="0"/>
          <w:kern w:val="2"/>
          <w:sz w:val="44"/>
          <w:szCs w:val="44"/>
        </w:rPr>
      </w:pPr>
    </w:p>
    <w:p w14:paraId="72E0D402">
      <w:pPr>
        <w:adjustRightInd w:val="0"/>
        <w:snapToGrid w:val="0"/>
        <w:spacing w:line="360" w:lineRule="auto"/>
        <w:jc w:val="center"/>
        <w:rPr>
          <w:rFonts w:hint="eastAsia" w:ascii="方正小标宋简体" w:hAnsi="方正小标宋简体" w:eastAsia="方正小标宋简体" w:cs="方正小标宋简体"/>
          <w:b w:val="0"/>
          <w:bCs w:val="0"/>
          <w:sz w:val="72"/>
          <w:szCs w:val="72"/>
        </w:rPr>
      </w:pPr>
      <w:bookmarkStart w:id="6" w:name="_Toc25810"/>
      <w:r>
        <w:rPr>
          <w:rFonts w:hint="eastAsia" w:ascii="方正小标宋简体" w:hAnsi="方正小标宋简体" w:eastAsia="方正小标宋简体" w:cs="方正小标宋简体"/>
          <w:b w:val="0"/>
          <w:bCs w:val="0"/>
          <w:sz w:val="72"/>
          <w:szCs w:val="72"/>
        </w:rPr>
        <w:t>2024年度</w:t>
      </w:r>
      <w:bookmarkEnd w:id="6"/>
    </w:p>
    <w:p w14:paraId="63E25687">
      <w:pPr>
        <w:adjustRightInd w:val="0"/>
        <w:snapToGrid w:val="0"/>
        <w:spacing w:line="360" w:lineRule="auto"/>
        <w:jc w:val="center"/>
        <w:rPr>
          <w:rFonts w:hint="eastAsia" w:ascii="方正小标宋简体" w:hAnsi="方正小标宋简体" w:eastAsia="方正小标宋简体" w:cs="方正小标宋简体"/>
          <w:b w:val="0"/>
          <w:bCs w:val="0"/>
          <w:sz w:val="72"/>
          <w:szCs w:val="72"/>
        </w:rPr>
      </w:pPr>
      <w:bookmarkStart w:id="7" w:name="_Toc15396476"/>
      <w:bookmarkStart w:id="8" w:name="_Toc15377426"/>
      <w:bookmarkStart w:id="9" w:name="_Toc15377194"/>
      <w:bookmarkStart w:id="10" w:name="_Toc15396598"/>
      <w:bookmarkStart w:id="11" w:name="_Toc6837"/>
      <w:bookmarkStart w:id="12" w:name="_Toc15378442"/>
      <w:r>
        <w:rPr>
          <w:rFonts w:hint="eastAsia" w:ascii="方正小标宋简体" w:hAnsi="方正小标宋简体" w:eastAsia="方正小标宋简体" w:cs="方正小标宋简体"/>
          <w:b w:val="0"/>
          <w:bCs w:val="0"/>
          <w:sz w:val="72"/>
          <w:szCs w:val="72"/>
        </w:rPr>
        <w:t>四川省</w:t>
      </w:r>
      <w:bookmarkStart w:id="13" w:name="_Toc15306268"/>
      <w:r>
        <w:rPr>
          <w:rFonts w:hint="eastAsia" w:ascii="方正小标宋简体" w:hAnsi="方正小标宋简体" w:eastAsia="方正小标宋简体" w:cs="方正小标宋简体"/>
          <w:b w:val="0"/>
          <w:bCs w:val="0"/>
          <w:sz w:val="72"/>
          <w:szCs w:val="72"/>
        </w:rPr>
        <w:t>乐山市知识产权</w:t>
      </w:r>
    </w:p>
    <w:p w14:paraId="3632416B">
      <w:pPr>
        <w:adjustRightInd w:val="0"/>
        <w:snapToGrid w:val="0"/>
        <w:spacing w:line="360" w:lineRule="auto"/>
        <w:jc w:val="center"/>
        <w:rPr>
          <w:rFonts w:hint="eastAsia" w:ascii="方正小标宋简体" w:hAnsi="方正小标宋简体" w:eastAsia="方正小标宋简体" w:cs="方正小标宋简体"/>
          <w:b w:val="0"/>
          <w:bCs w:val="0"/>
          <w:sz w:val="72"/>
          <w:szCs w:val="72"/>
        </w:rPr>
      </w:pPr>
      <w:r>
        <w:rPr>
          <w:rFonts w:hint="eastAsia" w:ascii="方正小标宋简体" w:hAnsi="方正小标宋简体" w:eastAsia="方正小标宋简体" w:cs="方正小标宋简体"/>
          <w:b w:val="0"/>
          <w:bCs w:val="0"/>
          <w:sz w:val="72"/>
          <w:szCs w:val="72"/>
        </w:rPr>
        <w:t>服务促进中心单位决算</w:t>
      </w:r>
      <w:bookmarkEnd w:id="7"/>
      <w:bookmarkEnd w:id="8"/>
      <w:bookmarkEnd w:id="9"/>
      <w:bookmarkEnd w:id="10"/>
      <w:bookmarkEnd w:id="11"/>
      <w:bookmarkEnd w:id="12"/>
      <w:bookmarkEnd w:id="13"/>
    </w:p>
    <w:p w14:paraId="410486E7">
      <w:pPr>
        <w:rPr>
          <w:b w:val="0"/>
          <w:bCs w:val="0"/>
        </w:rPr>
      </w:pPr>
    </w:p>
    <w:p w14:paraId="65B82E5F">
      <w:pPr>
        <w:widowControl/>
        <w:jc w:val="center"/>
        <w:rPr>
          <w:rFonts w:eastAsia="黑体" w:cstheme="minorBidi"/>
          <w:b w:val="0"/>
          <w:bCs w:val="0"/>
          <w:sz w:val="28"/>
          <w:szCs w:val="28"/>
        </w:rPr>
      </w:pPr>
      <w:r>
        <w:rPr>
          <w:rFonts w:eastAsia="方正小标宋简体"/>
          <w:b w:val="0"/>
          <w:bCs w:val="0"/>
          <w:sz w:val="36"/>
          <w:szCs w:val="36"/>
        </w:rPr>
        <w:br w:type="page"/>
      </w:r>
    </w:p>
    <w:sdt>
      <w:sdtPr>
        <w:rPr>
          <w:rFonts w:ascii="宋体" w:hAnsi="宋体"/>
          <w:b w:val="0"/>
          <w:bCs w:val="0"/>
        </w:rPr>
        <w:id w:val="147476460"/>
        <w15:color w:val="DBDBDB"/>
        <w:docPartObj>
          <w:docPartGallery w:val="Table of Contents"/>
          <w:docPartUnique/>
        </w:docPartObj>
      </w:sdtPr>
      <w:sdtEndPr>
        <w:rPr>
          <w:rFonts w:ascii="Times New Roman" w:hAnsi="Times New Roman"/>
          <w:b w:val="0"/>
          <w:bCs w:val="0"/>
        </w:rPr>
      </w:sdtEndPr>
      <w:sdtContent>
        <w:p w14:paraId="65D7E646">
          <w:pPr>
            <w:jc w:val="center"/>
            <w:rPr>
              <w:rFonts w:hint="eastAsia" w:asciiTheme="minorEastAsia" w:hAnsiTheme="minorEastAsia" w:eastAsiaTheme="minorEastAsia"/>
              <w:b w:val="0"/>
              <w:bCs w:val="0"/>
              <w:sz w:val="44"/>
              <w:szCs w:val="44"/>
            </w:rPr>
          </w:pPr>
          <w:r>
            <w:rPr>
              <w:rFonts w:asciiTheme="minorEastAsia" w:hAnsiTheme="minorEastAsia" w:eastAsiaTheme="minorEastAsia"/>
              <w:b w:val="0"/>
              <w:bCs w:val="0"/>
              <w:sz w:val="44"/>
              <w:szCs w:val="44"/>
            </w:rPr>
            <w:t>目录</w:t>
          </w:r>
        </w:p>
        <w:p w14:paraId="499175C3">
          <w:pPr>
            <w:pStyle w:val="13"/>
            <w:rPr>
              <w:rFonts w:hint="eastAsia"/>
              <w:b w:val="0"/>
              <w:bCs w:val="0"/>
            </w:rPr>
          </w:pPr>
          <w:r>
            <w:rPr>
              <w:rFonts w:hint="eastAsia"/>
              <w:b w:val="0"/>
              <w:bCs w:val="0"/>
              <w:color w:val="C00000"/>
            </w:rPr>
            <w:t>公开时间：2025年10月</w:t>
          </w:r>
          <w:r>
            <w:rPr>
              <w:rFonts w:hint="eastAsia"/>
              <w:b w:val="0"/>
              <w:bCs w:val="0"/>
              <w:color w:val="C00000"/>
              <w:lang w:val="en-US" w:eastAsia="zh-CN"/>
            </w:rPr>
            <w:t>10</w:t>
          </w:r>
          <w:r>
            <w:rPr>
              <w:rFonts w:hint="eastAsia"/>
              <w:b w:val="0"/>
              <w:bCs w:val="0"/>
              <w:color w:val="C00000"/>
            </w:rPr>
            <w:t>日</w:t>
          </w:r>
        </w:p>
        <w:p w14:paraId="77566C9B">
          <w:pPr>
            <w:pStyle w:val="14"/>
            <w:rPr>
              <w:b w:val="0"/>
              <w:bCs w:val="0"/>
            </w:rPr>
          </w:pPr>
        </w:p>
        <w:p w14:paraId="26A9FD9F">
          <w:pPr>
            <w:pStyle w:val="13"/>
            <w:tabs>
              <w:tab w:val="right" w:leader="dot" w:pos="8306"/>
              <w:tab w:val="clear" w:pos="8296"/>
            </w:tabs>
            <w:rPr>
              <w:rFonts w:hint="eastAsia"/>
              <w:b w:val="0"/>
              <w:bCs w:val="0"/>
            </w:rPr>
          </w:pPr>
          <w:r>
            <w:rPr>
              <w:b w:val="0"/>
              <w:bCs w:val="0"/>
            </w:rPr>
            <w:fldChar w:fldCharType="begin"/>
          </w:r>
          <w:r>
            <w:rPr>
              <w:b w:val="0"/>
              <w:bCs w:val="0"/>
            </w:rPr>
            <w:instrText xml:space="preserve">TOC \o "1-1" \h \u </w:instrText>
          </w:r>
          <w:r>
            <w:rPr>
              <w:b w:val="0"/>
              <w:bCs w:val="0"/>
            </w:rPr>
            <w:fldChar w:fldCharType="separate"/>
          </w:r>
          <w:r>
            <w:rPr>
              <w:b w:val="0"/>
              <w:bCs w:val="0"/>
            </w:rPr>
            <w:fldChar w:fldCharType="begin"/>
          </w:r>
          <w:r>
            <w:rPr>
              <w:b w:val="0"/>
              <w:bCs w:val="0"/>
            </w:rPr>
            <w:instrText xml:space="preserve"> HYPERLINK \l "_Toc7358" </w:instrText>
          </w:r>
          <w:r>
            <w:rPr>
              <w:b w:val="0"/>
              <w:bCs w:val="0"/>
            </w:rPr>
            <w:fldChar w:fldCharType="separate"/>
          </w:r>
          <w:r>
            <w:rPr>
              <w:rFonts w:hint="eastAsia" w:eastAsia="方正小标宋简体" w:cs="方正小标宋简体"/>
              <w:b w:val="0"/>
              <w:bCs w:val="0"/>
            </w:rPr>
            <w:t>第一部分  部门概况</w:t>
          </w:r>
          <w:r>
            <w:rPr>
              <w:b w:val="0"/>
              <w:bCs w:val="0"/>
            </w:rPr>
            <w:tab/>
          </w:r>
          <w:r>
            <w:rPr>
              <w:b w:val="0"/>
              <w:bCs w:val="0"/>
            </w:rPr>
            <w:fldChar w:fldCharType="begin"/>
          </w:r>
          <w:r>
            <w:rPr>
              <w:b w:val="0"/>
              <w:bCs w:val="0"/>
            </w:rPr>
            <w:instrText xml:space="preserve"> PAGEREF _Toc7358 \h </w:instrText>
          </w:r>
          <w:r>
            <w:rPr>
              <w:b w:val="0"/>
              <w:bCs w:val="0"/>
            </w:rPr>
            <w:fldChar w:fldCharType="separate"/>
          </w:r>
          <w:r>
            <w:rPr>
              <w:b w:val="0"/>
              <w:bCs w:val="0"/>
            </w:rPr>
            <w:t>1</w:t>
          </w:r>
          <w:r>
            <w:rPr>
              <w:b w:val="0"/>
              <w:bCs w:val="0"/>
            </w:rPr>
            <w:fldChar w:fldCharType="end"/>
          </w:r>
          <w:r>
            <w:rPr>
              <w:b w:val="0"/>
              <w:bCs w:val="0"/>
            </w:rPr>
            <w:fldChar w:fldCharType="end"/>
          </w:r>
        </w:p>
        <w:p w14:paraId="62738FB5">
          <w:pPr>
            <w:pStyle w:val="13"/>
            <w:tabs>
              <w:tab w:val="right" w:leader="dot" w:pos="8306"/>
              <w:tab w:val="clear" w:pos="8296"/>
            </w:tabs>
            <w:rPr>
              <w:rFonts w:hint="eastAsia"/>
              <w:b w:val="0"/>
              <w:bCs w:val="0"/>
            </w:rPr>
          </w:pPr>
          <w:r>
            <w:rPr>
              <w:b w:val="0"/>
              <w:bCs w:val="0"/>
            </w:rPr>
            <w:fldChar w:fldCharType="begin"/>
          </w:r>
          <w:r>
            <w:rPr>
              <w:b w:val="0"/>
              <w:bCs w:val="0"/>
            </w:rPr>
            <w:instrText xml:space="preserve"> HYPERLINK \l "_Toc13243" </w:instrText>
          </w:r>
          <w:r>
            <w:rPr>
              <w:b w:val="0"/>
              <w:bCs w:val="0"/>
            </w:rPr>
            <w:fldChar w:fldCharType="separate"/>
          </w:r>
          <w:r>
            <w:rPr>
              <w:rFonts w:hint="eastAsia" w:ascii="Times New Roman" w:hAnsi="Times New Roman" w:eastAsia="黑体"/>
              <w:b w:val="0"/>
              <w:bCs w:val="0"/>
            </w:rPr>
            <w:t>一、部门职责</w:t>
          </w:r>
          <w:r>
            <w:rPr>
              <w:b w:val="0"/>
              <w:bCs w:val="0"/>
            </w:rPr>
            <w:tab/>
          </w:r>
          <w:r>
            <w:rPr>
              <w:b w:val="0"/>
              <w:bCs w:val="0"/>
            </w:rPr>
            <w:fldChar w:fldCharType="begin"/>
          </w:r>
          <w:r>
            <w:rPr>
              <w:b w:val="0"/>
              <w:bCs w:val="0"/>
            </w:rPr>
            <w:instrText xml:space="preserve"> PAGEREF _Toc13243 \h </w:instrText>
          </w:r>
          <w:r>
            <w:rPr>
              <w:b w:val="0"/>
              <w:bCs w:val="0"/>
            </w:rPr>
            <w:fldChar w:fldCharType="separate"/>
          </w:r>
          <w:r>
            <w:rPr>
              <w:b w:val="0"/>
              <w:bCs w:val="0"/>
            </w:rPr>
            <w:t>1</w:t>
          </w:r>
          <w:r>
            <w:rPr>
              <w:b w:val="0"/>
              <w:bCs w:val="0"/>
            </w:rPr>
            <w:fldChar w:fldCharType="end"/>
          </w:r>
          <w:r>
            <w:rPr>
              <w:b w:val="0"/>
              <w:bCs w:val="0"/>
            </w:rPr>
            <w:fldChar w:fldCharType="end"/>
          </w:r>
        </w:p>
        <w:p w14:paraId="065CEF85">
          <w:pPr>
            <w:pStyle w:val="13"/>
            <w:tabs>
              <w:tab w:val="right" w:leader="dot" w:pos="8306"/>
              <w:tab w:val="clear" w:pos="8296"/>
            </w:tabs>
            <w:rPr>
              <w:rFonts w:hint="eastAsia"/>
              <w:b w:val="0"/>
              <w:bCs w:val="0"/>
            </w:rPr>
          </w:pPr>
          <w:r>
            <w:rPr>
              <w:b w:val="0"/>
              <w:bCs w:val="0"/>
            </w:rPr>
            <w:fldChar w:fldCharType="begin"/>
          </w:r>
          <w:r>
            <w:rPr>
              <w:b w:val="0"/>
              <w:bCs w:val="0"/>
            </w:rPr>
            <w:instrText xml:space="preserve"> HYPERLINK \l "_Toc17724" </w:instrText>
          </w:r>
          <w:r>
            <w:rPr>
              <w:b w:val="0"/>
              <w:bCs w:val="0"/>
            </w:rPr>
            <w:fldChar w:fldCharType="separate"/>
          </w:r>
          <w:r>
            <w:rPr>
              <w:rFonts w:hint="eastAsia" w:ascii="Times New Roman" w:hAnsi="Times New Roman" w:eastAsia="黑体"/>
              <w:b w:val="0"/>
              <w:bCs w:val="0"/>
            </w:rPr>
            <w:t>二、机构设置</w:t>
          </w:r>
          <w:r>
            <w:rPr>
              <w:b w:val="0"/>
              <w:bCs w:val="0"/>
            </w:rPr>
            <w:tab/>
          </w:r>
          <w:r>
            <w:rPr>
              <w:b w:val="0"/>
              <w:bCs w:val="0"/>
            </w:rPr>
            <w:fldChar w:fldCharType="begin"/>
          </w:r>
          <w:r>
            <w:rPr>
              <w:b w:val="0"/>
              <w:bCs w:val="0"/>
            </w:rPr>
            <w:instrText xml:space="preserve"> PAGEREF _Toc17724 \h </w:instrText>
          </w:r>
          <w:r>
            <w:rPr>
              <w:b w:val="0"/>
              <w:bCs w:val="0"/>
            </w:rPr>
            <w:fldChar w:fldCharType="separate"/>
          </w:r>
          <w:r>
            <w:rPr>
              <w:b w:val="0"/>
              <w:bCs w:val="0"/>
            </w:rPr>
            <w:t>1</w:t>
          </w:r>
          <w:r>
            <w:rPr>
              <w:b w:val="0"/>
              <w:bCs w:val="0"/>
            </w:rPr>
            <w:fldChar w:fldCharType="end"/>
          </w:r>
          <w:r>
            <w:rPr>
              <w:b w:val="0"/>
              <w:bCs w:val="0"/>
            </w:rPr>
            <w:fldChar w:fldCharType="end"/>
          </w:r>
        </w:p>
        <w:p w14:paraId="365D6FD9">
          <w:pPr>
            <w:pStyle w:val="13"/>
            <w:tabs>
              <w:tab w:val="right" w:leader="dot" w:pos="8306"/>
              <w:tab w:val="clear" w:pos="8296"/>
            </w:tabs>
            <w:rPr>
              <w:rFonts w:hint="eastAsia"/>
              <w:b w:val="0"/>
              <w:bCs w:val="0"/>
            </w:rPr>
          </w:pPr>
          <w:r>
            <w:rPr>
              <w:b w:val="0"/>
              <w:bCs w:val="0"/>
            </w:rPr>
            <w:fldChar w:fldCharType="begin"/>
          </w:r>
          <w:r>
            <w:rPr>
              <w:b w:val="0"/>
              <w:bCs w:val="0"/>
            </w:rPr>
            <w:instrText xml:space="preserve"> HYPERLINK \l "_Toc31355" </w:instrText>
          </w:r>
          <w:r>
            <w:rPr>
              <w:b w:val="0"/>
              <w:bCs w:val="0"/>
            </w:rPr>
            <w:fldChar w:fldCharType="separate"/>
          </w:r>
          <w:r>
            <w:rPr>
              <w:rFonts w:hint="eastAsia" w:ascii="黑体" w:hAnsi="黑体" w:eastAsia="黑体" w:cs="方正小标宋简体"/>
              <w:b w:val="0"/>
              <w:bCs w:val="0"/>
              <w:szCs w:val="44"/>
            </w:rPr>
            <w:t>第二部分  2024年度部门决算情况说明</w:t>
          </w:r>
          <w:r>
            <w:rPr>
              <w:b w:val="0"/>
              <w:bCs w:val="0"/>
            </w:rPr>
            <w:tab/>
          </w:r>
          <w:r>
            <w:rPr>
              <w:b w:val="0"/>
              <w:bCs w:val="0"/>
            </w:rPr>
            <w:fldChar w:fldCharType="begin"/>
          </w:r>
          <w:r>
            <w:rPr>
              <w:b w:val="0"/>
              <w:bCs w:val="0"/>
            </w:rPr>
            <w:instrText xml:space="preserve"> PAGEREF _Toc31355 \h </w:instrText>
          </w:r>
          <w:r>
            <w:rPr>
              <w:b w:val="0"/>
              <w:bCs w:val="0"/>
            </w:rPr>
            <w:fldChar w:fldCharType="separate"/>
          </w:r>
          <w:r>
            <w:rPr>
              <w:b w:val="0"/>
              <w:bCs w:val="0"/>
            </w:rPr>
            <w:t>2</w:t>
          </w:r>
          <w:r>
            <w:rPr>
              <w:b w:val="0"/>
              <w:bCs w:val="0"/>
            </w:rPr>
            <w:fldChar w:fldCharType="end"/>
          </w:r>
          <w:r>
            <w:rPr>
              <w:b w:val="0"/>
              <w:bCs w:val="0"/>
            </w:rPr>
            <w:fldChar w:fldCharType="end"/>
          </w:r>
        </w:p>
        <w:p w14:paraId="3998A9F4">
          <w:pPr>
            <w:pStyle w:val="13"/>
            <w:tabs>
              <w:tab w:val="right" w:leader="dot" w:pos="8306"/>
              <w:tab w:val="clear" w:pos="8296"/>
            </w:tabs>
            <w:rPr>
              <w:rFonts w:hint="eastAsia"/>
              <w:b w:val="0"/>
              <w:bCs w:val="0"/>
            </w:rPr>
          </w:pPr>
          <w:r>
            <w:rPr>
              <w:b w:val="0"/>
              <w:bCs w:val="0"/>
            </w:rPr>
            <w:fldChar w:fldCharType="begin"/>
          </w:r>
          <w:r>
            <w:rPr>
              <w:b w:val="0"/>
              <w:bCs w:val="0"/>
            </w:rPr>
            <w:instrText xml:space="preserve"> HYPERLINK \l "_Toc5605" </w:instrText>
          </w:r>
          <w:r>
            <w:rPr>
              <w:b w:val="0"/>
              <w:bCs w:val="0"/>
            </w:rPr>
            <w:fldChar w:fldCharType="separate"/>
          </w:r>
          <w:r>
            <w:rPr>
              <w:rFonts w:hint="eastAsia" w:eastAsia="黑体"/>
              <w:b w:val="0"/>
              <w:bCs w:val="0"/>
              <w:szCs w:val="32"/>
            </w:rPr>
            <w:t>一、收</w:t>
          </w:r>
          <w:r>
            <w:rPr>
              <w:rFonts w:hint="eastAsia" w:ascii="Times New Roman" w:hAnsi="Times New Roman" w:eastAsia="黑体"/>
              <w:b w:val="0"/>
              <w:bCs w:val="0"/>
            </w:rPr>
            <w:t>入支出决算总体情况说明</w:t>
          </w:r>
          <w:r>
            <w:rPr>
              <w:b w:val="0"/>
              <w:bCs w:val="0"/>
            </w:rPr>
            <w:tab/>
          </w:r>
          <w:r>
            <w:rPr>
              <w:b w:val="0"/>
              <w:bCs w:val="0"/>
            </w:rPr>
            <w:fldChar w:fldCharType="begin"/>
          </w:r>
          <w:r>
            <w:rPr>
              <w:b w:val="0"/>
              <w:bCs w:val="0"/>
            </w:rPr>
            <w:instrText xml:space="preserve"> PAGEREF _Toc5605 \h </w:instrText>
          </w:r>
          <w:r>
            <w:rPr>
              <w:b w:val="0"/>
              <w:bCs w:val="0"/>
            </w:rPr>
            <w:fldChar w:fldCharType="separate"/>
          </w:r>
          <w:r>
            <w:rPr>
              <w:b w:val="0"/>
              <w:bCs w:val="0"/>
            </w:rPr>
            <w:t>2</w:t>
          </w:r>
          <w:r>
            <w:rPr>
              <w:b w:val="0"/>
              <w:bCs w:val="0"/>
            </w:rPr>
            <w:fldChar w:fldCharType="end"/>
          </w:r>
          <w:r>
            <w:rPr>
              <w:b w:val="0"/>
              <w:bCs w:val="0"/>
            </w:rPr>
            <w:fldChar w:fldCharType="end"/>
          </w:r>
        </w:p>
        <w:p w14:paraId="30BCD27A">
          <w:pPr>
            <w:pStyle w:val="13"/>
            <w:tabs>
              <w:tab w:val="right" w:leader="dot" w:pos="8306"/>
              <w:tab w:val="clear" w:pos="8296"/>
            </w:tabs>
            <w:rPr>
              <w:rFonts w:hint="eastAsia"/>
              <w:b w:val="0"/>
              <w:bCs w:val="0"/>
            </w:rPr>
          </w:pPr>
          <w:r>
            <w:rPr>
              <w:b w:val="0"/>
              <w:bCs w:val="0"/>
            </w:rPr>
            <w:fldChar w:fldCharType="begin"/>
          </w:r>
          <w:r>
            <w:rPr>
              <w:b w:val="0"/>
              <w:bCs w:val="0"/>
            </w:rPr>
            <w:instrText xml:space="preserve"> HYPERLINK \l "_Toc26855" </w:instrText>
          </w:r>
          <w:r>
            <w:rPr>
              <w:b w:val="0"/>
              <w:bCs w:val="0"/>
            </w:rPr>
            <w:fldChar w:fldCharType="separate"/>
          </w:r>
          <w:r>
            <w:rPr>
              <w:rFonts w:hint="eastAsia" w:eastAsia="黑体"/>
              <w:b w:val="0"/>
              <w:bCs w:val="0"/>
              <w:szCs w:val="32"/>
            </w:rPr>
            <w:t>二、收入决算情况说明</w:t>
          </w:r>
          <w:r>
            <w:rPr>
              <w:b w:val="0"/>
              <w:bCs w:val="0"/>
            </w:rPr>
            <w:tab/>
          </w:r>
          <w:r>
            <w:rPr>
              <w:b w:val="0"/>
              <w:bCs w:val="0"/>
            </w:rPr>
            <w:fldChar w:fldCharType="begin"/>
          </w:r>
          <w:r>
            <w:rPr>
              <w:b w:val="0"/>
              <w:bCs w:val="0"/>
            </w:rPr>
            <w:instrText xml:space="preserve"> PAGEREF _Toc26855 \h </w:instrText>
          </w:r>
          <w:r>
            <w:rPr>
              <w:b w:val="0"/>
              <w:bCs w:val="0"/>
            </w:rPr>
            <w:fldChar w:fldCharType="separate"/>
          </w:r>
          <w:r>
            <w:rPr>
              <w:b w:val="0"/>
              <w:bCs w:val="0"/>
            </w:rPr>
            <w:t>2</w:t>
          </w:r>
          <w:r>
            <w:rPr>
              <w:b w:val="0"/>
              <w:bCs w:val="0"/>
            </w:rPr>
            <w:fldChar w:fldCharType="end"/>
          </w:r>
          <w:r>
            <w:rPr>
              <w:b w:val="0"/>
              <w:bCs w:val="0"/>
            </w:rPr>
            <w:fldChar w:fldCharType="end"/>
          </w:r>
        </w:p>
        <w:p w14:paraId="56E36E2E">
          <w:pPr>
            <w:pStyle w:val="13"/>
            <w:tabs>
              <w:tab w:val="right" w:leader="dot" w:pos="8306"/>
              <w:tab w:val="clear" w:pos="8296"/>
            </w:tabs>
            <w:rPr>
              <w:rFonts w:hint="eastAsia"/>
              <w:b w:val="0"/>
              <w:bCs w:val="0"/>
            </w:rPr>
          </w:pPr>
          <w:r>
            <w:rPr>
              <w:b w:val="0"/>
              <w:bCs w:val="0"/>
            </w:rPr>
            <w:fldChar w:fldCharType="begin"/>
          </w:r>
          <w:r>
            <w:rPr>
              <w:b w:val="0"/>
              <w:bCs w:val="0"/>
            </w:rPr>
            <w:instrText xml:space="preserve"> HYPERLINK \l "_Toc15382" </w:instrText>
          </w:r>
          <w:r>
            <w:rPr>
              <w:b w:val="0"/>
              <w:bCs w:val="0"/>
            </w:rPr>
            <w:fldChar w:fldCharType="separate"/>
          </w:r>
          <w:r>
            <w:rPr>
              <w:rFonts w:hint="eastAsia" w:eastAsia="黑体"/>
              <w:b w:val="0"/>
              <w:bCs w:val="0"/>
              <w:szCs w:val="32"/>
            </w:rPr>
            <w:t>三、支</w:t>
          </w:r>
          <w:r>
            <w:rPr>
              <w:rFonts w:hint="eastAsia" w:ascii="Times New Roman" w:hAnsi="Times New Roman" w:eastAsia="黑体"/>
              <w:b w:val="0"/>
              <w:bCs w:val="0"/>
            </w:rPr>
            <w:t>出决算情况说明</w:t>
          </w:r>
          <w:r>
            <w:rPr>
              <w:b w:val="0"/>
              <w:bCs w:val="0"/>
            </w:rPr>
            <w:tab/>
          </w:r>
          <w:r>
            <w:rPr>
              <w:b w:val="0"/>
              <w:bCs w:val="0"/>
            </w:rPr>
            <w:fldChar w:fldCharType="begin"/>
          </w:r>
          <w:r>
            <w:rPr>
              <w:b w:val="0"/>
              <w:bCs w:val="0"/>
            </w:rPr>
            <w:instrText xml:space="preserve"> PAGEREF _Toc15382 \h </w:instrText>
          </w:r>
          <w:r>
            <w:rPr>
              <w:b w:val="0"/>
              <w:bCs w:val="0"/>
            </w:rPr>
            <w:fldChar w:fldCharType="separate"/>
          </w:r>
          <w:r>
            <w:rPr>
              <w:b w:val="0"/>
              <w:bCs w:val="0"/>
            </w:rPr>
            <w:t>3</w:t>
          </w:r>
          <w:r>
            <w:rPr>
              <w:b w:val="0"/>
              <w:bCs w:val="0"/>
            </w:rPr>
            <w:fldChar w:fldCharType="end"/>
          </w:r>
          <w:r>
            <w:rPr>
              <w:b w:val="0"/>
              <w:bCs w:val="0"/>
            </w:rPr>
            <w:fldChar w:fldCharType="end"/>
          </w:r>
        </w:p>
        <w:p w14:paraId="6E06CF12">
          <w:pPr>
            <w:pStyle w:val="13"/>
            <w:tabs>
              <w:tab w:val="right" w:leader="dot" w:pos="8306"/>
              <w:tab w:val="clear" w:pos="8296"/>
            </w:tabs>
            <w:rPr>
              <w:rFonts w:hint="eastAsia"/>
              <w:b w:val="0"/>
              <w:bCs w:val="0"/>
            </w:rPr>
          </w:pPr>
          <w:r>
            <w:rPr>
              <w:b w:val="0"/>
              <w:bCs w:val="0"/>
            </w:rPr>
            <w:fldChar w:fldCharType="begin"/>
          </w:r>
          <w:r>
            <w:rPr>
              <w:b w:val="0"/>
              <w:bCs w:val="0"/>
            </w:rPr>
            <w:instrText xml:space="preserve"> HYPERLINK \l "_Toc27161" </w:instrText>
          </w:r>
          <w:r>
            <w:rPr>
              <w:b w:val="0"/>
              <w:bCs w:val="0"/>
            </w:rPr>
            <w:fldChar w:fldCharType="separate"/>
          </w:r>
          <w:r>
            <w:rPr>
              <w:rFonts w:hint="eastAsia" w:eastAsia="黑体"/>
              <w:b w:val="0"/>
              <w:bCs w:val="0"/>
              <w:szCs w:val="32"/>
            </w:rPr>
            <w:t>四、财</w:t>
          </w:r>
          <w:r>
            <w:rPr>
              <w:rFonts w:hint="eastAsia" w:ascii="Times New Roman" w:hAnsi="Times New Roman" w:eastAsia="黑体"/>
              <w:b w:val="0"/>
              <w:bCs w:val="0"/>
            </w:rPr>
            <w:t>政拨款收入支出决算总体情况说明</w:t>
          </w:r>
          <w:r>
            <w:rPr>
              <w:b w:val="0"/>
              <w:bCs w:val="0"/>
            </w:rPr>
            <w:tab/>
          </w:r>
          <w:r>
            <w:rPr>
              <w:b w:val="0"/>
              <w:bCs w:val="0"/>
            </w:rPr>
            <w:fldChar w:fldCharType="begin"/>
          </w:r>
          <w:r>
            <w:rPr>
              <w:b w:val="0"/>
              <w:bCs w:val="0"/>
            </w:rPr>
            <w:instrText xml:space="preserve"> PAGEREF _Toc27161 \h </w:instrText>
          </w:r>
          <w:r>
            <w:rPr>
              <w:b w:val="0"/>
              <w:bCs w:val="0"/>
            </w:rPr>
            <w:fldChar w:fldCharType="separate"/>
          </w:r>
          <w:r>
            <w:rPr>
              <w:b w:val="0"/>
              <w:bCs w:val="0"/>
            </w:rPr>
            <w:t>3</w:t>
          </w:r>
          <w:r>
            <w:rPr>
              <w:b w:val="0"/>
              <w:bCs w:val="0"/>
            </w:rPr>
            <w:fldChar w:fldCharType="end"/>
          </w:r>
          <w:r>
            <w:rPr>
              <w:b w:val="0"/>
              <w:bCs w:val="0"/>
            </w:rPr>
            <w:fldChar w:fldCharType="end"/>
          </w:r>
        </w:p>
        <w:p w14:paraId="1642E91E">
          <w:pPr>
            <w:pStyle w:val="13"/>
            <w:tabs>
              <w:tab w:val="right" w:leader="dot" w:pos="8306"/>
              <w:tab w:val="clear" w:pos="8296"/>
            </w:tabs>
            <w:rPr>
              <w:rFonts w:hint="eastAsia"/>
              <w:b w:val="0"/>
              <w:bCs w:val="0"/>
            </w:rPr>
          </w:pPr>
          <w:r>
            <w:rPr>
              <w:b w:val="0"/>
              <w:bCs w:val="0"/>
            </w:rPr>
            <w:fldChar w:fldCharType="begin"/>
          </w:r>
          <w:r>
            <w:rPr>
              <w:b w:val="0"/>
              <w:bCs w:val="0"/>
            </w:rPr>
            <w:instrText xml:space="preserve"> HYPERLINK \l "_Toc1232" </w:instrText>
          </w:r>
          <w:r>
            <w:rPr>
              <w:b w:val="0"/>
              <w:bCs w:val="0"/>
            </w:rPr>
            <w:fldChar w:fldCharType="separate"/>
          </w:r>
          <w:r>
            <w:rPr>
              <w:rFonts w:hint="eastAsia" w:eastAsia="黑体"/>
              <w:b w:val="0"/>
              <w:bCs w:val="0"/>
              <w:szCs w:val="32"/>
            </w:rPr>
            <w:t>五、一</w:t>
          </w:r>
          <w:r>
            <w:rPr>
              <w:rFonts w:hint="eastAsia" w:ascii="Times New Roman" w:hAnsi="Times New Roman" w:eastAsia="黑体"/>
              <w:b w:val="0"/>
              <w:bCs w:val="0"/>
            </w:rPr>
            <w:t>般公共预算财政拨款支出决算情况说</w:t>
          </w:r>
          <w:bookmarkStart w:id="99" w:name="_GoBack"/>
          <w:bookmarkEnd w:id="99"/>
          <w:r>
            <w:rPr>
              <w:rFonts w:hint="eastAsia" w:ascii="Times New Roman" w:hAnsi="Times New Roman" w:eastAsia="黑体"/>
              <w:b w:val="0"/>
              <w:bCs w:val="0"/>
            </w:rPr>
            <w:t>明</w:t>
          </w:r>
          <w:r>
            <w:rPr>
              <w:b w:val="0"/>
              <w:bCs w:val="0"/>
            </w:rPr>
            <w:tab/>
          </w:r>
          <w:r>
            <w:rPr>
              <w:b w:val="0"/>
              <w:bCs w:val="0"/>
            </w:rPr>
            <w:fldChar w:fldCharType="begin"/>
          </w:r>
          <w:r>
            <w:rPr>
              <w:b w:val="0"/>
              <w:bCs w:val="0"/>
            </w:rPr>
            <w:instrText xml:space="preserve"> PAGEREF _Toc1232 \h </w:instrText>
          </w:r>
          <w:r>
            <w:rPr>
              <w:b w:val="0"/>
              <w:bCs w:val="0"/>
            </w:rPr>
            <w:fldChar w:fldCharType="separate"/>
          </w:r>
          <w:r>
            <w:rPr>
              <w:b w:val="0"/>
              <w:bCs w:val="0"/>
            </w:rPr>
            <w:t>4</w:t>
          </w:r>
          <w:r>
            <w:rPr>
              <w:b w:val="0"/>
              <w:bCs w:val="0"/>
            </w:rPr>
            <w:fldChar w:fldCharType="end"/>
          </w:r>
          <w:r>
            <w:rPr>
              <w:b w:val="0"/>
              <w:bCs w:val="0"/>
            </w:rPr>
            <w:fldChar w:fldCharType="end"/>
          </w:r>
        </w:p>
        <w:p w14:paraId="1FF5D5E1">
          <w:pPr>
            <w:pStyle w:val="13"/>
            <w:tabs>
              <w:tab w:val="right" w:leader="dot" w:pos="8306"/>
              <w:tab w:val="clear" w:pos="8296"/>
            </w:tabs>
            <w:rPr>
              <w:rFonts w:hint="eastAsia"/>
              <w:b w:val="0"/>
              <w:bCs w:val="0"/>
            </w:rPr>
          </w:pPr>
          <w:r>
            <w:rPr>
              <w:b w:val="0"/>
              <w:bCs w:val="0"/>
            </w:rPr>
            <w:fldChar w:fldCharType="begin"/>
          </w:r>
          <w:r>
            <w:rPr>
              <w:b w:val="0"/>
              <w:bCs w:val="0"/>
            </w:rPr>
            <w:instrText xml:space="preserve"> HYPERLINK \l "_Toc13340" </w:instrText>
          </w:r>
          <w:r>
            <w:rPr>
              <w:b w:val="0"/>
              <w:bCs w:val="0"/>
            </w:rPr>
            <w:fldChar w:fldCharType="separate"/>
          </w:r>
          <w:r>
            <w:rPr>
              <w:rFonts w:hint="eastAsia" w:eastAsia="黑体"/>
              <w:b w:val="0"/>
              <w:bCs w:val="0"/>
              <w:szCs w:val="32"/>
            </w:rPr>
            <w:t>六、一</w:t>
          </w:r>
          <w:r>
            <w:rPr>
              <w:rFonts w:hint="eastAsia" w:ascii="Times New Roman" w:hAnsi="Times New Roman" w:eastAsia="黑体"/>
              <w:b w:val="0"/>
              <w:bCs w:val="0"/>
            </w:rPr>
            <w:t>般公共预算财政拨款基本支出决算情况说明</w:t>
          </w:r>
          <w:r>
            <w:rPr>
              <w:b w:val="0"/>
              <w:bCs w:val="0"/>
            </w:rPr>
            <w:tab/>
          </w:r>
          <w:r>
            <w:rPr>
              <w:b w:val="0"/>
              <w:bCs w:val="0"/>
            </w:rPr>
            <w:fldChar w:fldCharType="begin"/>
          </w:r>
          <w:r>
            <w:rPr>
              <w:b w:val="0"/>
              <w:bCs w:val="0"/>
            </w:rPr>
            <w:instrText xml:space="preserve"> PAGEREF _Toc13340 \h </w:instrText>
          </w:r>
          <w:r>
            <w:rPr>
              <w:b w:val="0"/>
              <w:bCs w:val="0"/>
            </w:rPr>
            <w:fldChar w:fldCharType="separate"/>
          </w:r>
          <w:r>
            <w:rPr>
              <w:b w:val="0"/>
              <w:bCs w:val="0"/>
            </w:rPr>
            <w:t>7</w:t>
          </w:r>
          <w:r>
            <w:rPr>
              <w:b w:val="0"/>
              <w:bCs w:val="0"/>
            </w:rPr>
            <w:fldChar w:fldCharType="end"/>
          </w:r>
          <w:r>
            <w:rPr>
              <w:b w:val="0"/>
              <w:bCs w:val="0"/>
            </w:rPr>
            <w:fldChar w:fldCharType="end"/>
          </w:r>
        </w:p>
        <w:p w14:paraId="351AD222">
          <w:pPr>
            <w:pStyle w:val="13"/>
            <w:tabs>
              <w:tab w:val="right" w:leader="dot" w:pos="8306"/>
              <w:tab w:val="clear" w:pos="8296"/>
            </w:tabs>
            <w:rPr>
              <w:rFonts w:hint="eastAsia"/>
              <w:b w:val="0"/>
              <w:bCs w:val="0"/>
            </w:rPr>
          </w:pPr>
          <w:r>
            <w:rPr>
              <w:b w:val="0"/>
              <w:bCs w:val="0"/>
            </w:rPr>
            <w:fldChar w:fldCharType="begin"/>
          </w:r>
          <w:r>
            <w:rPr>
              <w:b w:val="0"/>
              <w:bCs w:val="0"/>
            </w:rPr>
            <w:instrText xml:space="preserve"> HYPERLINK \l "_Toc7891" </w:instrText>
          </w:r>
          <w:r>
            <w:rPr>
              <w:b w:val="0"/>
              <w:bCs w:val="0"/>
            </w:rPr>
            <w:fldChar w:fldCharType="separate"/>
          </w:r>
          <w:r>
            <w:rPr>
              <w:rFonts w:hint="eastAsia" w:eastAsia="黑体"/>
              <w:b w:val="0"/>
              <w:bCs w:val="0"/>
              <w:szCs w:val="32"/>
            </w:rPr>
            <w:t>七、</w:t>
          </w:r>
          <w:r>
            <w:rPr>
              <w:rFonts w:hint="eastAsia" w:ascii="Times New Roman" w:hAnsi="Times New Roman" w:eastAsia="黑体"/>
              <w:b w:val="0"/>
              <w:bCs w:val="0"/>
            </w:rPr>
            <w:t>财政拨款“三公”经费支出决算情况说明</w:t>
          </w:r>
          <w:r>
            <w:rPr>
              <w:b w:val="0"/>
              <w:bCs w:val="0"/>
            </w:rPr>
            <w:tab/>
          </w:r>
          <w:r>
            <w:rPr>
              <w:b w:val="0"/>
              <w:bCs w:val="0"/>
            </w:rPr>
            <w:fldChar w:fldCharType="begin"/>
          </w:r>
          <w:r>
            <w:rPr>
              <w:b w:val="0"/>
              <w:bCs w:val="0"/>
            </w:rPr>
            <w:instrText xml:space="preserve"> PAGEREF _Toc7891 \h </w:instrText>
          </w:r>
          <w:r>
            <w:rPr>
              <w:b w:val="0"/>
              <w:bCs w:val="0"/>
            </w:rPr>
            <w:fldChar w:fldCharType="separate"/>
          </w:r>
          <w:r>
            <w:rPr>
              <w:b w:val="0"/>
              <w:bCs w:val="0"/>
            </w:rPr>
            <w:t>8</w:t>
          </w:r>
          <w:r>
            <w:rPr>
              <w:b w:val="0"/>
              <w:bCs w:val="0"/>
            </w:rPr>
            <w:fldChar w:fldCharType="end"/>
          </w:r>
          <w:r>
            <w:rPr>
              <w:b w:val="0"/>
              <w:bCs w:val="0"/>
            </w:rPr>
            <w:fldChar w:fldCharType="end"/>
          </w:r>
        </w:p>
        <w:p w14:paraId="60FC416F">
          <w:pPr>
            <w:pStyle w:val="13"/>
            <w:tabs>
              <w:tab w:val="right" w:leader="dot" w:pos="8306"/>
              <w:tab w:val="clear" w:pos="8296"/>
            </w:tabs>
            <w:rPr>
              <w:rFonts w:hint="eastAsia" w:eastAsia="仿宋"/>
              <w:b w:val="0"/>
              <w:bCs w:val="0"/>
              <w:lang w:val="en-US" w:eastAsia="zh-CN"/>
            </w:rPr>
          </w:pPr>
          <w:r>
            <w:rPr>
              <w:b w:val="0"/>
              <w:bCs w:val="0"/>
            </w:rPr>
            <w:fldChar w:fldCharType="begin"/>
          </w:r>
          <w:r>
            <w:rPr>
              <w:b w:val="0"/>
              <w:bCs w:val="0"/>
            </w:rPr>
            <w:instrText xml:space="preserve"> HYPERLINK \l "_Toc20486" </w:instrText>
          </w:r>
          <w:r>
            <w:rPr>
              <w:b w:val="0"/>
              <w:bCs w:val="0"/>
            </w:rPr>
            <w:fldChar w:fldCharType="separate"/>
          </w:r>
          <w:r>
            <w:rPr>
              <w:rFonts w:hint="eastAsia" w:eastAsia="黑体"/>
              <w:b w:val="0"/>
              <w:bCs w:val="0"/>
              <w:szCs w:val="32"/>
            </w:rPr>
            <w:t>八、</w:t>
          </w:r>
          <w:r>
            <w:rPr>
              <w:rFonts w:hint="eastAsia" w:ascii="Times New Roman" w:hAnsi="Times New Roman" w:eastAsia="黑体"/>
              <w:b w:val="0"/>
              <w:bCs w:val="0"/>
            </w:rPr>
            <w:t>政府性基金预算支出决算情况说明</w:t>
          </w:r>
          <w:r>
            <w:rPr>
              <w:b w:val="0"/>
              <w:bCs w:val="0"/>
            </w:rPr>
            <w:tab/>
          </w:r>
          <w:r>
            <w:rPr>
              <w:b w:val="0"/>
              <w:bCs w:val="0"/>
            </w:rPr>
            <w:fldChar w:fldCharType="begin"/>
          </w:r>
          <w:r>
            <w:rPr>
              <w:b w:val="0"/>
              <w:bCs w:val="0"/>
            </w:rPr>
            <w:instrText xml:space="preserve"> PAGEREF _Toc20486 \h </w:instrText>
          </w:r>
          <w:r>
            <w:rPr>
              <w:b w:val="0"/>
              <w:bCs w:val="0"/>
            </w:rPr>
            <w:fldChar w:fldCharType="separate"/>
          </w:r>
          <w:r>
            <w:rPr>
              <w:b w:val="0"/>
              <w:bCs w:val="0"/>
            </w:rPr>
            <w:fldChar w:fldCharType="end"/>
          </w:r>
          <w:r>
            <w:rPr>
              <w:b w:val="0"/>
              <w:bCs w:val="0"/>
            </w:rPr>
            <w:fldChar w:fldCharType="end"/>
          </w:r>
          <w:r>
            <w:rPr>
              <w:rFonts w:hint="eastAsia"/>
              <w:b w:val="0"/>
              <w:bCs w:val="0"/>
              <w:lang w:val="en-US" w:eastAsia="zh-CN"/>
            </w:rPr>
            <w:t>9</w:t>
          </w:r>
        </w:p>
        <w:p w14:paraId="48672C6B">
          <w:pPr>
            <w:pStyle w:val="13"/>
            <w:tabs>
              <w:tab w:val="right" w:leader="dot" w:pos="8306"/>
              <w:tab w:val="clear" w:pos="8296"/>
            </w:tabs>
            <w:rPr>
              <w:rFonts w:hint="eastAsia"/>
              <w:b w:val="0"/>
              <w:bCs w:val="0"/>
            </w:rPr>
          </w:pPr>
          <w:r>
            <w:rPr>
              <w:b w:val="0"/>
              <w:bCs w:val="0"/>
            </w:rPr>
            <w:fldChar w:fldCharType="begin"/>
          </w:r>
          <w:r>
            <w:rPr>
              <w:b w:val="0"/>
              <w:bCs w:val="0"/>
            </w:rPr>
            <w:instrText xml:space="preserve"> HYPERLINK \l "_Toc5844" </w:instrText>
          </w:r>
          <w:r>
            <w:rPr>
              <w:b w:val="0"/>
              <w:bCs w:val="0"/>
            </w:rPr>
            <w:fldChar w:fldCharType="separate"/>
          </w:r>
          <w:r>
            <w:rPr>
              <w:rFonts w:hint="eastAsia" w:ascii="Times New Roman" w:hAnsi="Times New Roman" w:eastAsia="黑体"/>
              <w:b w:val="0"/>
              <w:bCs w:val="0"/>
            </w:rPr>
            <w:t>九、国有资本经营预算支出决算情况说明</w:t>
          </w:r>
          <w:r>
            <w:rPr>
              <w:b w:val="0"/>
              <w:bCs w:val="0"/>
            </w:rPr>
            <w:tab/>
          </w:r>
          <w:r>
            <w:rPr>
              <w:rFonts w:hint="eastAsia"/>
              <w:b w:val="0"/>
              <w:bCs w:val="0"/>
              <w:lang w:val="en-US" w:eastAsia="zh-CN"/>
            </w:rPr>
            <w:t>9</w:t>
          </w:r>
          <w:r>
            <w:rPr>
              <w:b w:val="0"/>
              <w:bCs w:val="0"/>
            </w:rPr>
            <w:fldChar w:fldCharType="end"/>
          </w:r>
        </w:p>
        <w:p w14:paraId="391FF0B2">
          <w:pPr>
            <w:pStyle w:val="13"/>
            <w:tabs>
              <w:tab w:val="right" w:leader="dot" w:pos="8306"/>
              <w:tab w:val="clear" w:pos="8296"/>
            </w:tabs>
            <w:rPr>
              <w:rFonts w:hint="eastAsia"/>
              <w:b w:val="0"/>
              <w:bCs w:val="0"/>
            </w:rPr>
          </w:pPr>
          <w:r>
            <w:rPr>
              <w:b w:val="0"/>
              <w:bCs w:val="0"/>
            </w:rPr>
            <w:fldChar w:fldCharType="begin"/>
          </w:r>
          <w:r>
            <w:rPr>
              <w:b w:val="0"/>
              <w:bCs w:val="0"/>
            </w:rPr>
            <w:instrText xml:space="preserve"> HYPERLINK \l "_Toc26603" </w:instrText>
          </w:r>
          <w:r>
            <w:rPr>
              <w:b w:val="0"/>
              <w:bCs w:val="0"/>
            </w:rPr>
            <w:fldChar w:fldCharType="separate"/>
          </w:r>
          <w:r>
            <w:rPr>
              <w:rFonts w:hint="eastAsia" w:ascii="Times New Roman" w:hAnsi="Times New Roman" w:eastAsia="黑体"/>
              <w:b w:val="0"/>
              <w:bCs w:val="0"/>
            </w:rPr>
            <w:t>十、其他重要事项的情况说明</w:t>
          </w:r>
          <w:r>
            <w:rPr>
              <w:b w:val="0"/>
              <w:bCs w:val="0"/>
            </w:rPr>
            <w:tab/>
          </w:r>
          <w:r>
            <w:rPr>
              <w:b w:val="0"/>
              <w:bCs w:val="0"/>
            </w:rPr>
            <w:fldChar w:fldCharType="begin"/>
          </w:r>
          <w:r>
            <w:rPr>
              <w:b w:val="0"/>
              <w:bCs w:val="0"/>
            </w:rPr>
            <w:instrText xml:space="preserve"> PAGEREF _Toc26603 \h </w:instrText>
          </w:r>
          <w:r>
            <w:rPr>
              <w:b w:val="0"/>
              <w:bCs w:val="0"/>
            </w:rPr>
            <w:fldChar w:fldCharType="separate"/>
          </w:r>
          <w:r>
            <w:rPr>
              <w:b w:val="0"/>
              <w:bCs w:val="0"/>
            </w:rPr>
            <w:t>11</w:t>
          </w:r>
          <w:r>
            <w:rPr>
              <w:b w:val="0"/>
              <w:bCs w:val="0"/>
            </w:rPr>
            <w:fldChar w:fldCharType="end"/>
          </w:r>
          <w:r>
            <w:rPr>
              <w:b w:val="0"/>
              <w:bCs w:val="0"/>
            </w:rPr>
            <w:fldChar w:fldCharType="end"/>
          </w:r>
        </w:p>
        <w:p w14:paraId="19619EC1">
          <w:pPr>
            <w:pStyle w:val="13"/>
            <w:tabs>
              <w:tab w:val="right" w:leader="dot" w:pos="8306"/>
              <w:tab w:val="clear" w:pos="8296"/>
            </w:tabs>
            <w:rPr>
              <w:rFonts w:hint="eastAsia"/>
              <w:b w:val="0"/>
              <w:bCs w:val="0"/>
            </w:rPr>
          </w:pPr>
          <w:r>
            <w:rPr>
              <w:b w:val="0"/>
              <w:bCs w:val="0"/>
            </w:rPr>
            <w:fldChar w:fldCharType="begin"/>
          </w:r>
          <w:r>
            <w:rPr>
              <w:b w:val="0"/>
              <w:bCs w:val="0"/>
            </w:rPr>
            <w:instrText xml:space="preserve"> HYPERLINK \l "_Toc9750" </w:instrText>
          </w:r>
          <w:r>
            <w:rPr>
              <w:b w:val="0"/>
              <w:bCs w:val="0"/>
            </w:rPr>
            <w:fldChar w:fldCharType="separate"/>
          </w:r>
          <w:r>
            <w:rPr>
              <w:rFonts w:hint="eastAsia" w:eastAsia="黑体"/>
              <w:b w:val="0"/>
              <w:bCs w:val="0"/>
              <w:szCs w:val="44"/>
            </w:rPr>
            <w:t>第三部分  名词解释</w:t>
          </w:r>
          <w:r>
            <w:rPr>
              <w:b w:val="0"/>
              <w:bCs w:val="0"/>
            </w:rPr>
            <w:tab/>
          </w:r>
          <w:r>
            <w:rPr>
              <w:b w:val="0"/>
              <w:bCs w:val="0"/>
            </w:rPr>
            <w:fldChar w:fldCharType="begin"/>
          </w:r>
          <w:r>
            <w:rPr>
              <w:b w:val="0"/>
              <w:bCs w:val="0"/>
            </w:rPr>
            <w:instrText xml:space="preserve"> PAGEREF _Toc9750 \h </w:instrText>
          </w:r>
          <w:r>
            <w:rPr>
              <w:b w:val="0"/>
              <w:bCs w:val="0"/>
            </w:rPr>
            <w:fldChar w:fldCharType="separate"/>
          </w:r>
          <w:r>
            <w:rPr>
              <w:b w:val="0"/>
              <w:bCs w:val="0"/>
            </w:rPr>
            <w:t>12</w:t>
          </w:r>
          <w:r>
            <w:rPr>
              <w:b w:val="0"/>
              <w:bCs w:val="0"/>
            </w:rPr>
            <w:fldChar w:fldCharType="end"/>
          </w:r>
          <w:r>
            <w:rPr>
              <w:b w:val="0"/>
              <w:bCs w:val="0"/>
            </w:rPr>
            <w:fldChar w:fldCharType="end"/>
          </w:r>
        </w:p>
        <w:p w14:paraId="51140D88">
          <w:pPr>
            <w:pStyle w:val="13"/>
            <w:tabs>
              <w:tab w:val="right" w:leader="dot" w:pos="8306"/>
              <w:tab w:val="clear" w:pos="8296"/>
            </w:tabs>
            <w:rPr>
              <w:rFonts w:hint="eastAsia"/>
              <w:b w:val="0"/>
              <w:bCs w:val="0"/>
            </w:rPr>
          </w:pPr>
          <w:r>
            <w:rPr>
              <w:b w:val="0"/>
              <w:bCs w:val="0"/>
            </w:rPr>
            <w:fldChar w:fldCharType="begin"/>
          </w:r>
          <w:r>
            <w:rPr>
              <w:b w:val="0"/>
              <w:bCs w:val="0"/>
            </w:rPr>
            <w:instrText xml:space="preserve"> HYPERLINK \l "_Toc12658" </w:instrText>
          </w:r>
          <w:r>
            <w:rPr>
              <w:b w:val="0"/>
              <w:bCs w:val="0"/>
            </w:rPr>
            <w:fldChar w:fldCharType="separate"/>
          </w:r>
          <w:r>
            <w:rPr>
              <w:rFonts w:hint="eastAsia" w:eastAsia="黑体"/>
              <w:b w:val="0"/>
              <w:bCs w:val="0"/>
              <w:szCs w:val="44"/>
            </w:rPr>
            <w:t>第四部分  附件</w:t>
          </w:r>
          <w:r>
            <w:rPr>
              <w:b w:val="0"/>
              <w:bCs w:val="0"/>
            </w:rPr>
            <w:tab/>
          </w:r>
          <w:r>
            <w:rPr>
              <w:b w:val="0"/>
              <w:bCs w:val="0"/>
            </w:rPr>
            <w:fldChar w:fldCharType="begin"/>
          </w:r>
          <w:r>
            <w:rPr>
              <w:b w:val="0"/>
              <w:bCs w:val="0"/>
            </w:rPr>
            <w:instrText xml:space="preserve"> PAGEREF _Toc12658 \h </w:instrText>
          </w:r>
          <w:r>
            <w:rPr>
              <w:b w:val="0"/>
              <w:bCs w:val="0"/>
            </w:rPr>
            <w:fldChar w:fldCharType="separate"/>
          </w:r>
          <w:r>
            <w:rPr>
              <w:b w:val="0"/>
              <w:bCs w:val="0"/>
            </w:rPr>
            <w:t>14</w:t>
          </w:r>
          <w:r>
            <w:rPr>
              <w:b w:val="0"/>
              <w:bCs w:val="0"/>
            </w:rPr>
            <w:fldChar w:fldCharType="end"/>
          </w:r>
          <w:r>
            <w:rPr>
              <w:b w:val="0"/>
              <w:bCs w:val="0"/>
            </w:rPr>
            <w:fldChar w:fldCharType="end"/>
          </w:r>
        </w:p>
        <w:p w14:paraId="0957F5D3">
          <w:pPr>
            <w:pStyle w:val="13"/>
            <w:tabs>
              <w:tab w:val="right" w:leader="dot" w:pos="8306"/>
              <w:tab w:val="clear" w:pos="8296"/>
            </w:tabs>
            <w:rPr>
              <w:rFonts w:hint="eastAsia"/>
              <w:b w:val="0"/>
              <w:bCs w:val="0"/>
            </w:rPr>
          </w:pPr>
          <w:r>
            <w:rPr>
              <w:b w:val="0"/>
              <w:bCs w:val="0"/>
            </w:rPr>
            <w:fldChar w:fldCharType="begin"/>
          </w:r>
          <w:r>
            <w:rPr>
              <w:b w:val="0"/>
              <w:bCs w:val="0"/>
            </w:rPr>
            <w:instrText xml:space="preserve"> HYPERLINK \l "_Toc28470" </w:instrText>
          </w:r>
          <w:r>
            <w:rPr>
              <w:b w:val="0"/>
              <w:bCs w:val="0"/>
            </w:rPr>
            <w:fldChar w:fldCharType="separate"/>
          </w:r>
          <w:r>
            <w:rPr>
              <w:rFonts w:hint="eastAsia" w:eastAsia="黑体"/>
              <w:b w:val="0"/>
              <w:bCs w:val="0"/>
              <w:szCs w:val="44"/>
            </w:rPr>
            <w:t>第</w:t>
          </w:r>
          <w:r>
            <w:rPr>
              <w:rFonts w:hint="eastAsia" w:eastAsia="黑体"/>
              <w:b w:val="0"/>
              <w:bCs w:val="0"/>
            </w:rPr>
            <w:t>五部分 附表</w:t>
          </w:r>
          <w:r>
            <w:rPr>
              <w:b w:val="0"/>
              <w:bCs w:val="0"/>
            </w:rPr>
            <w:tab/>
          </w:r>
          <w:r>
            <w:rPr>
              <w:b w:val="0"/>
              <w:bCs w:val="0"/>
            </w:rPr>
            <w:fldChar w:fldCharType="begin"/>
          </w:r>
          <w:r>
            <w:rPr>
              <w:b w:val="0"/>
              <w:bCs w:val="0"/>
            </w:rPr>
            <w:instrText xml:space="preserve"> PAGEREF _Toc28470 \h </w:instrText>
          </w:r>
          <w:r>
            <w:rPr>
              <w:b w:val="0"/>
              <w:bCs w:val="0"/>
            </w:rPr>
            <w:fldChar w:fldCharType="separate"/>
          </w:r>
          <w:r>
            <w:rPr>
              <w:b w:val="0"/>
              <w:bCs w:val="0"/>
            </w:rPr>
            <w:t>18</w:t>
          </w:r>
          <w:r>
            <w:rPr>
              <w:b w:val="0"/>
              <w:bCs w:val="0"/>
            </w:rPr>
            <w:fldChar w:fldCharType="end"/>
          </w:r>
          <w:r>
            <w:rPr>
              <w:b w:val="0"/>
              <w:bCs w:val="0"/>
            </w:rPr>
            <w:fldChar w:fldCharType="end"/>
          </w:r>
        </w:p>
        <w:p w14:paraId="0E7E43D9">
          <w:pPr>
            <w:pStyle w:val="13"/>
            <w:tabs>
              <w:tab w:val="right" w:leader="dot" w:pos="8306"/>
              <w:tab w:val="clear" w:pos="8296"/>
            </w:tabs>
            <w:rPr>
              <w:rFonts w:hint="eastAsia"/>
              <w:b w:val="0"/>
              <w:bCs w:val="0"/>
            </w:rPr>
          </w:pPr>
          <w:r>
            <w:rPr>
              <w:b w:val="0"/>
              <w:bCs w:val="0"/>
            </w:rPr>
            <w:fldChar w:fldCharType="begin"/>
          </w:r>
          <w:r>
            <w:rPr>
              <w:b w:val="0"/>
              <w:bCs w:val="0"/>
            </w:rPr>
            <w:instrText xml:space="preserve"> HYPERLINK \l "_Toc16917" </w:instrText>
          </w:r>
          <w:r>
            <w:rPr>
              <w:b w:val="0"/>
              <w:bCs w:val="0"/>
            </w:rPr>
            <w:fldChar w:fldCharType="separate"/>
          </w:r>
          <w:r>
            <w:rPr>
              <w:rFonts w:hint="eastAsia" w:ascii="Times New Roman" w:hAnsi="Times New Roman" w:eastAsia="黑体"/>
              <w:b w:val="0"/>
              <w:bCs w:val="0"/>
            </w:rPr>
            <w:t>一、收入支出决算总表</w:t>
          </w:r>
          <w:r>
            <w:rPr>
              <w:b w:val="0"/>
              <w:bCs w:val="0"/>
            </w:rPr>
            <w:tab/>
          </w:r>
          <w:r>
            <w:rPr>
              <w:b w:val="0"/>
              <w:bCs w:val="0"/>
            </w:rPr>
            <w:fldChar w:fldCharType="begin"/>
          </w:r>
          <w:r>
            <w:rPr>
              <w:b w:val="0"/>
              <w:bCs w:val="0"/>
            </w:rPr>
            <w:instrText xml:space="preserve"> PAGEREF _Toc16917 \h </w:instrText>
          </w:r>
          <w:r>
            <w:rPr>
              <w:b w:val="0"/>
              <w:bCs w:val="0"/>
            </w:rPr>
            <w:fldChar w:fldCharType="separate"/>
          </w:r>
          <w:r>
            <w:rPr>
              <w:b w:val="0"/>
              <w:bCs w:val="0"/>
            </w:rPr>
            <w:t>18</w:t>
          </w:r>
          <w:r>
            <w:rPr>
              <w:b w:val="0"/>
              <w:bCs w:val="0"/>
            </w:rPr>
            <w:fldChar w:fldCharType="end"/>
          </w:r>
          <w:r>
            <w:rPr>
              <w:b w:val="0"/>
              <w:bCs w:val="0"/>
            </w:rPr>
            <w:fldChar w:fldCharType="end"/>
          </w:r>
        </w:p>
        <w:p w14:paraId="1CFD850C">
          <w:pPr>
            <w:pStyle w:val="13"/>
            <w:tabs>
              <w:tab w:val="right" w:leader="dot" w:pos="8306"/>
              <w:tab w:val="clear" w:pos="8296"/>
            </w:tabs>
            <w:rPr>
              <w:rFonts w:hint="eastAsia"/>
              <w:b w:val="0"/>
              <w:bCs w:val="0"/>
            </w:rPr>
          </w:pPr>
          <w:r>
            <w:rPr>
              <w:b w:val="0"/>
              <w:bCs w:val="0"/>
            </w:rPr>
            <w:fldChar w:fldCharType="begin"/>
          </w:r>
          <w:r>
            <w:rPr>
              <w:b w:val="0"/>
              <w:bCs w:val="0"/>
            </w:rPr>
            <w:instrText xml:space="preserve"> HYPERLINK \l "_Toc25063" </w:instrText>
          </w:r>
          <w:r>
            <w:rPr>
              <w:b w:val="0"/>
              <w:bCs w:val="0"/>
            </w:rPr>
            <w:fldChar w:fldCharType="separate"/>
          </w:r>
          <w:r>
            <w:rPr>
              <w:rFonts w:hint="eastAsia" w:ascii="Times New Roman" w:hAnsi="Times New Roman" w:eastAsia="黑体"/>
              <w:b w:val="0"/>
              <w:bCs w:val="0"/>
            </w:rPr>
            <w:t>二、收入决算表</w:t>
          </w:r>
          <w:r>
            <w:rPr>
              <w:b w:val="0"/>
              <w:bCs w:val="0"/>
            </w:rPr>
            <w:tab/>
          </w:r>
          <w:r>
            <w:rPr>
              <w:b w:val="0"/>
              <w:bCs w:val="0"/>
            </w:rPr>
            <w:fldChar w:fldCharType="begin"/>
          </w:r>
          <w:r>
            <w:rPr>
              <w:b w:val="0"/>
              <w:bCs w:val="0"/>
            </w:rPr>
            <w:instrText xml:space="preserve"> PAGEREF _Toc25063 \h </w:instrText>
          </w:r>
          <w:r>
            <w:rPr>
              <w:b w:val="0"/>
              <w:bCs w:val="0"/>
            </w:rPr>
            <w:fldChar w:fldCharType="separate"/>
          </w:r>
          <w:r>
            <w:rPr>
              <w:b w:val="0"/>
              <w:bCs w:val="0"/>
            </w:rPr>
            <w:t>18</w:t>
          </w:r>
          <w:r>
            <w:rPr>
              <w:b w:val="0"/>
              <w:bCs w:val="0"/>
            </w:rPr>
            <w:fldChar w:fldCharType="end"/>
          </w:r>
          <w:r>
            <w:rPr>
              <w:b w:val="0"/>
              <w:bCs w:val="0"/>
            </w:rPr>
            <w:fldChar w:fldCharType="end"/>
          </w:r>
        </w:p>
        <w:p w14:paraId="44E5CD17">
          <w:pPr>
            <w:pStyle w:val="13"/>
            <w:tabs>
              <w:tab w:val="right" w:leader="dot" w:pos="8306"/>
              <w:tab w:val="clear" w:pos="8296"/>
            </w:tabs>
            <w:rPr>
              <w:rFonts w:hint="eastAsia"/>
              <w:b w:val="0"/>
              <w:bCs w:val="0"/>
            </w:rPr>
          </w:pPr>
          <w:r>
            <w:rPr>
              <w:b w:val="0"/>
              <w:bCs w:val="0"/>
            </w:rPr>
            <w:fldChar w:fldCharType="begin"/>
          </w:r>
          <w:r>
            <w:rPr>
              <w:b w:val="0"/>
              <w:bCs w:val="0"/>
            </w:rPr>
            <w:instrText xml:space="preserve"> HYPERLINK \l "_Toc16975" </w:instrText>
          </w:r>
          <w:r>
            <w:rPr>
              <w:b w:val="0"/>
              <w:bCs w:val="0"/>
            </w:rPr>
            <w:fldChar w:fldCharType="separate"/>
          </w:r>
          <w:r>
            <w:rPr>
              <w:rFonts w:hint="eastAsia" w:ascii="Times New Roman" w:hAnsi="Times New Roman" w:eastAsia="黑体"/>
              <w:b w:val="0"/>
              <w:bCs w:val="0"/>
            </w:rPr>
            <w:t>三、支出决算表</w:t>
          </w:r>
          <w:r>
            <w:rPr>
              <w:b w:val="0"/>
              <w:bCs w:val="0"/>
            </w:rPr>
            <w:tab/>
          </w:r>
          <w:r>
            <w:rPr>
              <w:b w:val="0"/>
              <w:bCs w:val="0"/>
            </w:rPr>
            <w:fldChar w:fldCharType="begin"/>
          </w:r>
          <w:r>
            <w:rPr>
              <w:b w:val="0"/>
              <w:bCs w:val="0"/>
            </w:rPr>
            <w:instrText xml:space="preserve"> PAGEREF _Toc16975 \h </w:instrText>
          </w:r>
          <w:r>
            <w:rPr>
              <w:b w:val="0"/>
              <w:bCs w:val="0"/>
            </w:rPr>
            <w:fldChar w:fldCharType="separate"/>
          </w:r>
          <w:r>
            <w:rPr>
              <w:b w:val="0"/>
              <w:bCs w:val="0"/>
            </w:rPr>
            <w:t>18</w:t>
          </w:r>
          <w:r>
            <w:rPr>
              <w:b w:val="0"/>
              <w:bCs w:val="0"/>
            </w:rPr>
            <w:fldChar w:fldCharType="end"/>
          </w:r>
          <w:r>
            <w:rPr>
              <w:b w:val="0"/>
              <w:bCs w:val="0"/>
            </w:rPr>
            <w:fldChar w:fldCharType="end"/>
          </w:r>
        </w:p>
        <w:p w14:paraId="3EF9B9E1">
          <w:pPr>
            <w:pStyle w:val="13"/>
            <w:tabs>
              <w:tab w:val="right" w:leader="dot" w:pos="8306"/>
              <w:tab w:val="clear" w:pos="8296"/>
            </w:tabs>
            <w:rPr>
              <w:rFonts w:hint="eastAsia"/>
              <w:b w:val="0"/>
              <w:bCs w:val="0"/>
            </w:rPr>
          </w:pPr>
          <w:r>
            <w:rPr>
              <w:b w:val="0"/>
              <w:bCs w:val="0"/>
            </w:rPr>
            <w:fldChar w:fldCharType="begin"/>
          </w:r>
          <w:r>
            <w:rPr>
              <w:b w:val="0"/>
              <w:bCs w:val="0"/>
            </w:rPr>
            <w:instrText xml:space="preserve"> HYPERLINK \l "_Toc1517" </w:instrText>
          </w:r>
          <w:r>
            <w:rPr>
              <w:b w:val="0"/>
              <w:bCs w:val="0"/>
            </w:rPr>
            <w:fldChar w:fldCharType="separate"/>
          </w:r>
          <w:r>
            <w:rPr>
              <w:rFonts w:hint="eastAsia" w:ascii="Times New Roman" w:hAnsi="Times New Roman" w:eastAsia="黑体"/>
              <w:b w:val="0"/>
              <w:bCs w:val="0"/>
            </w:rPr>
            <w:t>四、财政拨款收入支出决算总表</w:t>
          </w:r>
          <w:r>
            <w:rPr>
              <w:b w:val="0"/>
              <w:bCs w:val="0"/>
            </w:rPr>
            <w:tab/>
          </w:r>
          <w:r>
            <w:rPr>
              <w:b w:val="0"/>
              <w:bCs w:val="0"/>
            </w:rPr>
            <w:fldChar w:fldCharType="begin"/>
          </w:r>
          <w:r>
            <w:rPr>
              <w:b w:val="0"/>
              <w:bCs w:val="0"/>
            </w:rPr>
            <w:instrText xml:space="preserve"> PAGEREF _Toc1517 \h </w:instrText>
          </w:r>
          <w:r>
            <w:rPr>
              <w:b w:val="0"/>
              <w:bCs w:val="0"/>
            </w:rPr>
            <w:fldChar w:fldCharType="separate"/>
          </w:r>
          <w:r>
            <w:rPr>
              <w:b w:val="0"/>
              <w:bCs w:val="0"/>
            </w:rPr>
            <w:t>18</w:t>
          </w:r>
          <w:r>
            <w:rPr>
              <w:b w:val="0"/>
              <w:bCs w:val="0"/>
            </w:rPr>
            <w:fldChar w:fldCharType="end"/>
          </w:r>
          <w:r>
            <w:rPr>
              <w:b w:val="0"/>
              <w:bCs w:val="0"/>
            </w:rPr>
            <w:fldChar w:fldCharType="end"/>
          </w:r>
        </w:p>
        <w:p w14:paraId="0D5CD45E">
          <w:pPr>
            <w:pStyle w:val="13"/>
            <w:tabs>
              <w:tab w:val="right" w:leader="dot" w:pos="8306"/>
              <w:tab w:val="clear" w:pos="8296"/>
            </w:tabs>
            <w:rPr>
              <w:rFonts w:hint="eastAsia"/>
              <w:b w:val="0"/>
              <w:bCs w:val="0"/>
            </w:rPr>
          </w:pPr>
          <w:r>
            <w:rPr>
              <w:b w:val="0"/>
              <w:bCs w:val="0"/>
            </w:rPr>
            <w:fldChar w:fldCharType="begin"/>
          </w:r>
          <w:r>
            <w:rPr>
              <w:b w:val="0"/>
              <w:bCs w:val="0"/>
            </w:rPr>
            <w:instrText xml:space="preserve"> HYPERLINK \l "_Toc24387" </w:instrText>
          </w:r>
          <w:r>
            <w:rPr>
              <w:b w:val="0"/>
              <w:bCs w:val="0"/>
            </w:rPr>
            <w:fldChar w:fldCharType="separate"/>
          </w:r>
          <w:r>
            <w:rPr>
              <w:rFonts w:hint="eastAsia" w:ascii="Times New Roman" w:hAnsi="Times New Roman" w:eastAsia="黑体"/>
              <w:b w:val="0"/>
              <w:bCs w:val="0"/>
            </w:rPr>
            <w:t>五、财政拨款支出决算明细表</w:t>
          </w:r>
          <w:r>
            <w:rPr>
              <w:b w:val="0"/>
              <w:bCs w:val="0"/>
            </w:rPr>
            <w:tab/>
          </w:r>
          <w:r>
            <w:rPr>
              <w:b w:val="0"/>
              <w:bCs w:val="0"/>
            </w:rPr>
            <w:fldChar w:fldCharType="begin"/>
          </w:r>
          <w:r>
            <w:rPr>
              <w:b w:val="0"/>
              <w:bCs w:val="0"/>
            </w:rPr>
            <w:instrText xml:space="preserve"> PAGEREF _Toc24387 \h </w:instrText>
          </w:r>
          <w:r>
            <w:rPr>
              <w:b w:val="0"/>
              <w:bCs w:val="0"/>
            </w:rPr>
            <w:fldChar w:fldCharType="separate"/>
          </w:r>
          <w:r>
            <w:rPr>
              <w:b w:val="0"/>
              <w:bCs w:val="0"/>
            </w:rPr>
            <w:t>18</w:t>
          </w:r>
          <w:r>
            <w:rPr>
              <w:b w:val="0"/>
              <w:bCs w:val="0"/>
            </w:rPr>
            <w:fldChar w:fldCharType="end"/>
          </w:r>
          <w:r>
            <w:rPr>
              <w:b w:val="0"/>
              <w:bCs w:val="0"/>
            </w:rPr>
            <w:fldChar w:fldCharType="end"/>
          </w:r>
        </w:p>
        <w:p w14:paraId="3D4BD5A4">
          <w:pPr>
            <w:pStyle w:val="13"/>
            <w:tabs>
              <w:tab w:val="right" w:leader="dot" w:pos="8306"/>
              <w:tab w:val="clear" w:pos="8296"/>
            </w:tabs>
            <w:rPr>
              <w:rFonts w:hint="eastAsia"/>
              <w:b w:val="0"/>
              <w:bCs w:val="0"/>
            </w:rPr>
          </w:pPr>
          <w:r>
            <w:rPr>
              <w:b w:val="0"/>
              <w:bCs w:val="0"/>
            </w:rPr>
            <w:fldChar w:fldCharType="begin"/>
          </w:r>
          <w:r>
            <w:rPr>
              <w:b w:val="0"/>
              <w:bCs w:val="0"/>
            </w:rPr>
            <w:instrText xml:space="preserve"> HYPERLINK \l "_Toc11934" </w:instrText>
          </w:r>
          <w:r>
            <w:rPr>
              <w:b w:val="0"/>
              <w:bCs w:val="0"/>
            </w:rPr>
            <w:fldChar w:fldCharType="separate"/>
          </w:r>
          <w:r>
            <w:rPr>
              <w:rFonts w:hint="eastAsia" w:ascii="Times New Roman" w:hAnsi="Times New Roman" w:eastAsia="黑体"/>
              <w:b w:val="0"/>
              <w:bCs w:val="0"/>
            </w:rPr>
            <w:t>六、一般公共预算财政拨款支出决算表</w:t>
          </w:r>
          <w:r>
            <w:rPr>
              <w:b w:val="0"/>
              <w:bCs w:val="0"/>
            </w:rPr>
            <w:tab/>
          </w:r>
          <w:r>
            <w:rPr>
              <w:b w:val="0"/>
              <w:bCs w:val="0"/>
            </w:rPr>
            <w:fldChar w:fldCharType="begin"/>
          </w:r>
          <w:r>
            <w:rPr>
              <w:b w:val="0"/>
              <w:bCs w:val="0"/>
            </w:rPr>
            <w:instrText xml:space="preserve"> PAGEREF _Toc11934 \h </w:instrText>
          </w:r>
          <w:r>
            <w:rPr>
              <w:b w:val="0"/>
              <w:bCs w:val="0"/>
            </w:rPr>
            <w:fldChar w:fldCharType="separate"/>
          </w:r>
          <w:r>
            <w:rPr>
              <w:b w:val="0"/>
              <w:bCs w:val="0"/>
            </w:rPr>
            <w:t>18</w:t>
          </w:r>
          <w:r>
            <w:rPr>
              <w:b w:val="0"/>
              <w:bCs w:val="0"/>
            </w:rPr>
            <w:fldChar w:fldCharType="end"/>
          </w:r>
          <w:r>
            <w:rPr>
              <w:b w:val="0"/>
              <w:bCs w:val="0"/>
            </w:rPr>
            <w:fldChar w:fldCharType="end"/>
          </w:r>
        </w:p>
        <w:p w14:paraId="214FD6F6">
          <w:pPr>
            <w:pStyle w:val="13"/>
            <w:tabs>
              <w:tab w:val="right" w:leader="dot" w:pos="8306"/>
              <w:tab w:val="clear" w:pos="8296"/>
            </w:tabs>
            <w:rPr>
              <w:rFonts w:hint="eastAsia"/>
              <w:b w:val="0"/>
              <w:bCs w:val="0"/>
            </w:rPr>
          </w:pPr>
          <w:r>
            <w:rPr>
              <w:b w:val="0"/>
              <w:bCs w:val="0"/>
            </w:rPr>
            <w:fldChar w:fldCharType="begin"/>
          </w:r>
          <w:r>
            <w:rPr>
              <w:b w:val="0"/>
              <w:bCs w:val="0"/>
            </w:rPr>
            <w:instrText xml:space="preserve"> HYPERLINK \l "_Toc5800" </w:instrText>
          </w:r>
          <w:r>
            <w:rPr>
              <w:b w:val="0"/>
              <w:bCs w:val="0"/>
            </w:rPr>
            <w:fldChar w:fldCharType="separate"/>
          </w:r>
          <w:r>
            <w:rPr>
              <w:rFonts w:hint="eastAsia" w:ascii="Times New Roman" w:hAnsi="Times New Roman" w:eastAsia="黑体"/>
              <w:b w:val="0"/>
              <w:bCs w:val="0"/>
            </w:rPr>
            <w:t>七、一般公共预算财政拨款支出决算明细表</w:t>
          </w:r>
          <w:r>
            <w:rPr>
              <w:b w:val="0"/>
              <w:bCs w:val="0"/>
            </w:rPr>
            <w:tab/>
          </w:r>
          <w:r>
            <w:rPr>
              <w:b w:val="0"/>
              <w:bCs w:val="0"/>
            </w:rPr>
            <w:fldChar w:fldCharType="begin"/>
          </w:r>
          <w:r>
            <w:rPr>
              <w:b w:val="0"/>
              <w:bCs w:val="0"/>
            </w:rPr>
            <w:instrText xml:space="preserve"> PAGEREF _Toc5800 \h </w:instrText>
          </w:r>
          <w:r>
            <w:rPr>
              <w:b w:val="0"/>
              <w:bCs w:val="0"/>
            </w:rPr>
            <w:fldChar w:fldCharType="separate"/>
          </w:r>
          <w:r>
            <w:rPr>
              <w:b w:val="0"/>
              <w:bCs w:val="0"/>
            </w:rPr>
            <w:t>18</w:t>
          </w:r>
          <w:r>
            <w:rPr>
              <w:b w:val="0"/>
              <w:bCs w:val="0"/>
            </w:rPr>
            <w:fldChar w:fldCharType="end"/>
          </w:r>
          <w:r>
            <w:rPr>
              <w:b w:val="0"/>
              <w:bCs w:val="0"/>
            </w:rPr>
            <w:fldChar w:fldCharType="end"/>
          </w:r>
        </w:p>
        <w:p w14:paraId="0EF661CE">
          <w:pPr>
            <w:pStyle w:val="13"/>
            <w:tabs>
              <w:tab w:val="right" w:leader="dot" w:pos="8306"/>
              <w:tab w:val="clear" w:pos="8296"/>
            </w:tabs>
            <w:rPr>
              <w:rFonts w:hint="eastAsia"/>
              <w:b w:val="0"/>
              <w:bCs w:val="0"/>
            </w:rPr>
          </w:pPr>
          <w:r>
            <w:rPr>
              <w:b w:val="0"/>
              <w:bCs w:val="0"/>
            </w:rPr>
            <w:fldChar w:fldCharType="begin"/>
          </w:r>
          <w:r>
            <w:rPr>
              <w:b w:val="0"/>
              <w:bCs w:val="0"/>
            </w:rPr>
            <w:instrText xml:space="preserve"> HYPERLINK \l "_Toc25514" </w:instrText>
          </w:r>
          <w:r>
            <w:rPr>
              <w:b w:val="0"/>
              <w:bCs w:val="0"/>
            </w:rPr>
            <w:fldChar w:fldCharType="separate"/>
          </w:r>
          <w:r>
            <w:rPr>
              <w:rFonts w:hint="eastAsia" w:ascii="Times New Roman" w:hAnsi="Times New Roman" w:eastAsia="黑体"/>
              <w:b w:val="0"/>
              <w:bCs w:val="0"/>
            </w:rPr>
            <w:t>八、一般公共预算财政拨款基本支出决算表</w:t>
          </w:r>
          <w:r>
            <w:rPr>
              <w:b w:val="0"/>
              <w:bCs w:val="0"/>
            </w:rPr>
            <w:tab/>
          </w:r>
          <w:r>
            <w:rPr>
              <w:b w:val="0"/>
              <w:bCs w:val="0"/>
            </w:rPr>
            <w:fldChar w:fldCharType="begin"/>
          </w:r>
          <w:r>
            <w:rPr>
              <w:b w:val="0"/>
              <w:bCs w:val="0"/>
            </w:rPr>
            <w:instrText xml:space="preserve"> PAGEREF _Toc25514 \h </w:instrText>
          </w:r>
          <w:r>
            <w:rPr>
              <w:b w:val="0"/>
              <w:bCs w:val="0"/>
            </w:rPr>
            <w:fldChar w:fldCharType="separate"/>
          </w:r>
          <w:r>
            <w:rPr>
              <w:b w:val="0"/>
              <w:bCs w:val="0"/>
            </w:rPr>
            <w:t>18</w:t>
          </w:r>
          <w:r>
            <w:rPr>
              <w:b w:val="0"/>
              <w:bCs w:val="0"/>
            </w:rPr>
            <w:fldChar w:fldCharType="end"/>
          </w:r>
          <w:r>
            <w:rPr>
              <w:b w:val="0"/>
              <w:bCs w:val="0"/>
            </w:rPr>
            <w:fldChar w:fldCharType="end"/>
          </w:r>
        </w:p>
        <w:p w14:paraId="1D12C56C">
          <w:pPr>
            <w:pStyle w:val="13"/>
            <w:tabs>
              <w:tab w:val="right" w:leader="dot" w:pos="8306"/>
              <w:tab w:val="clear" w:pos="8296"/>
            </w:tabs>
            <w:rPr>
              <w:rFonts w:hint="eastAsia"/>
              <w:b w:val="0"/>
              <w:bCs w:val="0"/>
            </w:rPr>
          </w:pPr>
          <w:r>
            <w:rPr>
              <w:b w:val="0"/>
              <w:bCs w:val="0"/>
            </w:rPr>
            <w:fldChar w:fldCharType="begin"/>
          </w:r>
          <w:r>
            <w:rPr>
              <w:b w:val="0"/>
              <w:bCs w:val="0"/>
            </w:rPr>
            <w:instrText xml:space="preserve"> HYPERLINK \l "_Toc5879" </w:instrText>
          </w:r>
          <w:r>
            <w:rPr>
              <w:b w:val="0"/>
              <w:bCs w:val="0"/>
            </w:rPr>
            <w:fldChar w:fldCharType="separate"/>
          </w:r>
          <w:r>
            <w:rPr>
              <w:rFonts w:hint="eastAsia" w:ascii="Times New Roman" w:hAnsi="Times New Roman" w:eastAsia="黑体"/>
              <w:b w:val="0"/>
              <w:bCs w:val="0"/>
            </w:rPr>
            <w:t>九、一般公共预算财政拨款项目支出决算表</w:t>
          </w:r>
          <w:r>
            <w:rPr>
              <w:b w:val="0"/>
              <w:bCs w:val="0"/>
            </w:rPr>
            <w:tab/>
          </w:r>
          <w:r>
            <w:rPr>
              <w:b w:val="0"/>
              <w:bCs w:val="0"/>
            </w:rPr>
            <w:fldChar w:fldCharType="begin"/>
          </w:r>
          <w:r>
            <w:rPr>
              <w:b w:val="0"/>
              <w:bCs w:val="0"/>
            </w:rPr>
            <w:instrText xml:space="preserve"> PAGEREF _Toc5879 \h </w:instrText>
          </w:r>
          <w:r>
            <w:rPr>
              <w:b w:val="0"/>
              <w:bCs w:val="0"/>
            </w:rPr>
            <w:fldChar w:fldCharType="separate"/>
          </w:r>
          <w:r>
            <w:rPr>
              <w:b w:val="0"/>
              <w:bCs w:val="0"/>
            </w:rPr>
            <w:t>18</w:t>
          </w:r>
          <w:r>
            <w:rPr>
              <w:b w:val="0"/>
              <w:bCs w:val="0"/>
            </w:rPr>
            <w:fldChar w:fldCharType="end"/>
          </w:r>
          <w:r>
            <w:rPr>
              <w:b w:val="0"/>
              <w:bCs w:val="0"/>
            </w:rPr>
            <w:fldChar w:fldCharType="end"/>
          </w:r>
        </w:p>
        <w:p w14:paraId="742C92CD">
          <w:pPr>
            <w:pStyle w:val="13"/>
            <w:tabs>
              <w:tab w:val="right" w:leader="dot" w:pos="8306"/>
              <w:tab w:val="clear" w:pos="8296"/>
            </w:tabs>
            <w:rPr>
              <w:rFonts w:hint="eastAsia"/>
              <w:b w:val="0"/>
              <w:bCs w:val="0"/>
            </w:rPr>
          </w:pPr>
          <w:r>
            <w:rPr>
              <w:b w:val="0"/>
              <w:bCs w:val="0"/>
            </w:rPr>
            <w:fldChar w:fldCharType="begin"/>
          </w:r>
          <w:r>
            <w:rPr>
              <w:b w:val="0"/>
              <w:bCs w:val="0"/>
            </w:rPr>
            <w:instrText xml:space="preserve"> HYPERLINK \l "_Toc28931" </w:instrText>
          </w:r>
          <w:r>
            <w:rPr>
              <w:b w:val="0"/>
              <w:bCs w:val="0"/>
            </w:rPr>
            <w:fldChar w:fldCharType="separate"/>
          </w:r>
          <w:r>
            <w:rPr>
              <w:rFonts w:hint="eastAsia" w:ascii="Times New Roman" w:hAnsi="Times New Roman" w:eastAsia="黑体"/>
              <w:b w:val="0"/>
              <w:bCs w:val="0"/>
            </w:rPr>
            <w:t>十、政府性基金预算财政拨款收入支出决算表</w:t>
          </w:r>
          <w:r>
            <w:rPr>
              <w:b w:val="0"/>
              <w:bCs w:val="0"/>
            </w:rPr>
            <w:tab/>
          </w:r>
          <w:r>
            <w:rPr>
              <w:b w:val="0"/>
              <w:bCs w:val="0"/>
            </w:rPr>
            <w:fldChar w:fldCharType="begin"/>
          </w:r>
          <w:r>
            <w:rPr>
              <w:b w:val="0"/>
              <w:bCs w:val="0"/>
            </w:rPr>
            <w:instrText xml:space="preserve"> PAGEREF _Toc28931 \h </w:instrText>
          </w:r>
          <w:r>
            <w:rPr>
              <w:b w:val="0"/>
              <w:bCs w:val="0"/>
            </w:rPr>
            <w:fldChar w:fldCharType="separate"/>
          </w:r>
          <w:r>
            <w:rPr>
              <w:b w:val="0"/>
              <w:bCs w:val="0"/>
            </w:rPr>
            <w:t>18</w:t>
          </w:r>
          <w:r>
            <w:rPr>
              <w:b w:val="0"/>
              <w:bCs w:val="0"/>
            </w:rPr>
            <w:fldChar w:fldCharType="end"/>
          </w:r>
          <w:r>
            <w:rPr>
              <w:b w:val="0"/>
              <w:bCs w:val="0"/>
            </w:rPr>
            <w:fldChar w:fldCharType="end"/>
          </w:r>
        </w:p>
        <w:p w14:paraId="6D08C91E">
          <w:pPr>
            <w:pStyle w:val="13"/>
            <w:tabs>
              <w:tab w:val="right" w:leader="dot" w:pos="8306"/>
              <w:tab w:val="clear" w:pos="8296"/>
            </w:tabs>
            <w:rPr>
              <w:rFonts w:hint="eastAsia"/>
              <w:b w:val="0"/>
              <w:bCs w:val="0"/>
            </w:rPr>
          </w:pPr>
          <w:r>
            <w:rPr>
              <w:b w:val="0"/>
              <w:bCs w:val="0"/>
            </w:rPr>
            <w:fldChar w:fldCharType="begin"/>
          </w:r>
          <w:r>
            <w:rPr>
              <w:b w:val="0"/>
              <w:bCs w:val="0"/>
            </w:rPr>
            <w:instrText xml:space="preserve"> HYPERLINK \l "_Toc32308" </w:instrText>
          </w:r>
          <w:r>
            <w:rPr>
              <w:b w:val="0"/>
              <w:bCs w:val="0"/>
            </w:rPr>
            <w:fldChar w:fldCharType="separate"/>
          </w:r>
          <w:r>
            <w:rPr>
              <w:rFonts w:hint="eastAsia" w:ascii="Times New Roman" w:hAnsi="Times New Roman" w:eastAsia="黑体"/>
              <w:b w:val="0"/>
              <w:bCs w:val="0"/>
            </w:rPr>
            <w:t>十一、国有资本经营预算财政拨款收入支出决算表</w:t>
          </w:r>
          <w:r>
            <w:rPr>
              <w:b w:val="0"/>
              <w:bCs w:val="0"/>
            </w:rPr>
            <w:tab/>
          </w:r>
          <w:r>
            <w:rPr>
              <w:b w:val="0"/>
              <w:bCs w:val="0"/>
            </w:rPr>
            <w:fldChar w:fldCharType="begin"/>
          </w:r>
          <w:r>
            <w:rPr>
              <w:b w:val="0"/>
              <w:bCs w:val="0"/>
            </w:rPr>
            <w:instrText xml:space="preserve"> PAGEREF _Toc32308 \h </w:instrText>
          </w:r>
          <w:r>
            <w:rPr>
              <w:b w:val="0"/>
              <w:bCs w:val="0"/>
            </w:rPr>
            <w:fldChar w:fldCharType="separate"/>
          </w:r>
          <w:r>
            <w:rPr>
              <w:b w:val="0"/>
              <w:bCs w:val="0"/>
            </w:rPr>
            <w:t>18</w:t>
          </w:r>
          <w:r>
            <w:rPr>
              <w:b w:val="0"/>
              <w:bCs w:val="0"/>
            </w:rPr>
            <w:fldChar w:fldCharType="end"/>
          </w:r>
          <w:r>
            <w:rPr>
              <w:b w:val="0"/>
              <w:bCs w:val="0"/>
            </w:rPr>
            <w:fldChar w:fldCharType="end"/>
          </w:r>
        </w:p>
        <w:p w14:paraId="05186D7A">
          <w:pPr>
            <w:pStyle w:val="13"/>
            <w:tabs>
              <w:tab w:val="right" w:leader="dot" w:pos="8306"/>
              <w:tab w:val="clear" w:pos="8296"/>
            </w:tabs>
            <w:rPr>
              <w:rFonts w:hint="eastAsia"/>
              <w:b w:val="0"/>
              <w:bCs w:val="0"/>
            </w:rPr>
          </w:pPr>
          <w:r>
            <w:rPr>
              <w:b w:val="0"/>
              <w:bCs w:val="0"/>
            </w:rPr>
            <w:fldChar w:fldCharType="begin"/>
          </w:r>
          <w:r>
            <w:rPr>
              <w:b w:val="0"/>
              <w:bCs w:val="0"/>
            </w:rPr>
            <w:instrText xml:space="preserve"> HYPERLINK \l "_Toc24342" </w:instrText>
          </w:r>
          <w:r>
            <w:rPr>
              <w:b w:val="0"/>
              <w:bCs w:val="0"/>
            </w:rPr>
            <w:fldChar w:fldCharType="separate"/>
          </w:r>
          <w:r>
            <w:rPr>
              <w:rFonts w:hint="eastAsia" w:ascii="Times New Roman" w:hAnsi="Times New Roman" w:eastAsia="黑体"/>
              <w:b w:val="0"/>
              <w:bCs w:val="0"/>
            </w:rPr>
            <w:t>十二、国有资本经营预算财政拨款支出决算表</w:t>
          </w:r>
          <w:r>
            <w:rPr>
              <w:b w:val="0"/>
              <w:bCs w:val="0"/>
            </w:rPr>
            <w:tab/>
          </w:r>
          <w:r>
            <w:rPr>
              <w:b w:val="0"/>
              <w:bCs w:val="0"/>
            </w:rPr>
            <w:fldChar w:fldCharType="begin"/>
          </w:r>
          <w:r>
            <w:rPr>
              <w:b w:val="0"/>
              <w:bCs w:val="0"/>
            </w:rPr>
            <w:instrText xml:space="preserve"> PAGEREF _Toc24342 \h </w:instrText>
          </w:r>
          <w:r>
            <w:rPr>
              <w:b w:val="0"/>
              <w:bCs w:val="0"/>
            </w:rPr>
            <w:fldChar w:fldCharType="separate"/>
          </w:r>
          <w:r>
            <w:rPr>
              <w:b w:val="0"/>
              <w:bCs w:val="0"/>
            </w:rPr>
            <w:t>18</w:t>
          </w:r>
          <w:r>
            <w:rPr>
              <w:b w:val="0"/>
              <w:bCs w:val="0"/>
            </w:rPr>
            <w:fldChar w:fldCharType="end"/>
          </w:r>
          <w:r>
            <w:rPr>
              <w:b w:val="0"/>
              <w:bCs w:val="0"/>
            </w:rPr>
            <w:fldChar w:fldCharType="end"/>
          </w:r>
        </w:p>
        <w:p w14:paraId="152C9240">
          <w:pPr>
            <w:pStyle w:val="13"/>
            <w:tabs>
              <w:tab w:val="right" w:leader="dot" w:pos="8306"/>
              <w:tab w:val="clear" w:pos="8296"/>
            </w:tabs>
            <w:rPr>
              <w:rFonts w:hint="eastAsia"/>
              <w:b w:val="0"/>
              <w:bCs w:val="0"/>
            </w:rPr>
          </w:pPr>
          <w:r>
            <w:rPr>
              <w:b w:val="0"/>
              <w:bCs w:val="0"/>
            </w:rPr>
            <w:fldChar w:fldCharType="begin"/>
          </w:r>
          <w:r>
            <w:rPr>
              <w:b w:val="0"/>
              <w:bCs w:val="0"/>
            </w:rPr>
            <w:instrText xml:space="preserve"> HYPERLINK \l "_Toc21443" </w:instrText>
          </w:r>
          <w:r>
            <w:rPr>
              <w:b w:val="0"/>
              <w:bCs w:val="0"/>
            </w:rPr>
            <w:fldChar w:fldCharType="separate"/>
          </w:r>
          <w:r>
            <w:rPr>
              <w:rFonts w:hint="eastAsia" w:ascii="Times New Roman" w:hAnsi="Times New Roman" w:eastAsia="黑体"/>
              <w:b w:val="0"/>
              <w:bCs w:val="0"/>
            </w:rPr>
            <w:t>十三、财政拨款“三公”经费支出决算表</w:t>
          </w:r>
          <w:r>
            <w:rPr>
              <w:b w:val="0"/>
              <w:bCs w:val="0"/>
            </w:rPr>
            <w:tab/>
          </w:r>
          <w:r>
            <w:rPr>
              <w:b w:val="0"/>
              <w:bCs w:val="0"/>
            </w:rPr>
            <w:fldChar w:fldCharType="begin"/>
          </w:r>
          <w:r>
            <w:rPr>
              <w:b w:val="0"/>
              <w:bCs w:val="0"/>
            </w:rPr>
            <w:instrText xml:space="preserve"> PAGEREF _Toc21443 \h </w:instrText>
          </w:r>
          <w:r>
            <w:rPr>
              <w:b w:val="0"/>
              <w:bCs w:val="0"/>
            </w:rPr>
            <w:fldChar w:fldCharType="separate"/>
          </w:r>
          <w:r>
            <w:rPr>
              <w:b w:val="0"/>
              <w:bCs w:val="0"/>
            </w:rPr>
            <w:t>18</w:t>
          </w:r>
          <w:r>
            <w:rPr>
              <w:b w:val="0"/>
              <w:bCs w:val="0"/>
            </w:rPr>
            <w:fldChar w:fldCharType="end"/>
          </w:r>
          <w:r>
            <w:rPr>
              <w:b w:val="0"/>
              <w:bCs w:val="0"/>
            </w:rPr>
            <w:fldChar w:fldCharType="end"/>
          </w:r>
        </w:p>
        <w:p w14:paraId="69F36C2D">
          <w:pPr>
            <w:rPr>
              <w:b w:val="0"/>
              <w:bCs w:val="0"/>
            </w:rPr>
          </w:pPr>
          <w:r>
            <w:rPr>
              <w:b w:val="0"/>
              <w:bCs w:val="0"/>
            </w:rPr>
            <w:fldChar w:fldCharType="end"/>
          </w:r>
        </w:p>
      </w:sdtContent>
    </w:sdt>
    <w:p w14:paraId="3A89ECC4">
      <w:pPr>
        <w:pStyle w:val="14"/>
        <w:rPr>
          <w:b w:val="0"/>
          <w:bCs w:val="0"/>
        </w:rPr>
      </w:pPr>
    </w:p>
    <w:p w14:paraId="584CDCB0">
      <w:pPr>
        <w:pStyle w:val="14"/>
        <w:rPr>
          <w:b w:val="0"/>
          <w:bCs w:val="0"/>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NumType w:fmt="numberInDash" w:start="1"/>
          <w:cols w:space="425" w:num="1"/>
          <w:titlePg/>
          <w:docGrid w:type="lines" w:linePitch="312" w:charSpace="0"/>
        </w:sectPr>
      </w:pPr>
    </w:p>
    <w:p w14:paraId="05FAA30D">
      <w:pPr>
        <w:pStyle w:val="3"/>
        <w:jc w:val="center"/>
        <w:rPr>
          <w:rFonts w:eastAsia="黑体"/>
          <w:b w:val="0"/>
          <w:bCs w:val="0"/>
          <w:sz w:val="32"/>
          <w:szCs w:val="32"/>
        </w:rPr>
      </w:pPr>
      <w:bookmarkStart w:id="14" w:name="_Toc7358"/>
      <w:r>
        <w:rPr>
          <w:rFonts w:hint="eastAsia" w:eastAsia="方正小标宋简体" w:cs="方正小标宋简体"/>
          <w:b w:val="0"/>
          <w:bCs w:val="0"/>
        </w:rPr>
        <w:t xml:space="preserve">第一部分  </w:t>
      </w:r>
      <w:r>
        <w:rPr>
          <w:rStyle w:val="28"/>
          <w:rFonts w:hint="eastAsia" w:eastAsia="方正小标宋简体" w:cs="方正小标宋简体"/>
          <w:b w:val="0"/>
          <w:bCs w:val="0"/>
        </w:rPr>
        <w:t>部门概况</w:t>
      </w:r>
      <w:bookmarkEnd w:id="14"/>
    </w:p>
    <w:p w14:paraId="7B4DCAEA">
      <w:pPr>
        <w:pStyle w:val="4"/>
        <w:rPr>
          <w:rFonts w:ascii="Times New Roman" w:hAnsi="Times New Roman" w:eastAsia="黑体"/>
          <w:b w:val="0"/>
          <w:bCs w:val="0"/>
        </w:rPr>
      </w:pPr>
      <w:bookmarkStart w:id="15" w:name="_Toc15396600"/>
      <w:bookmarkStart w:id="16" w:name="_Toc15377197"/>
      <w:bookmarkStart w:id="17" w:name="_Toc13243"/>
      <w:r>
        <w:rPr>
          <w:rFonts w:hint="eastAsia" w:ascii="Times New Roman" w:hAnsi="Times New Roman" w:eastAsia="黑体"/>
          <w:b w:val="0"/>
          <w:bCs w:val="0"/>
        </w:rPr>
        <w:t>一、</w:t>
      </w:r>
      <w:bookmarkEnd w:id="15"/>
      <w:bookmarkEnd w:id="16"/>
      <w:r>
        <w:rPr>
          <w:rFonts w:hint="eastAsia" w:ascii="Times New Roman" w:hAnsi="Times New Roman" w:eastAsia="黑体"/>
          <w:b w:val="0"/>
          <w:bCs w:val="0"/>
        </w:rPr>
        <w:t>部门职责</w:t>
      </w:r>
      <w:bookmarkEnd w:id="17"/>
    </w:p>
    <w:p w14:paraId="726E5EC1">
      <w:pPr>
        <w:keepNext/>
        <w:keepLines/>
        <w:spacing w:line="576" w:lineRule="exact"/>
        <w:ind w:firstLine="640" w:firstLineChars="200"/>
        <w:rPr>
          <w:rFonts w:hint="eastAsia" w:ascii="仿宋_GB2312" w:hAnsi="仿宋_GB2312" w:eastAsia="仿宋_GB2312"/>
          <w:b w:val="0"/>
          <w:bCs w:val="0"/>
          <w:color w:val="000000"/>
          <w:sz w:val="32"/>
          <w:lang w:val="zh-CN"/>
        </w:rPr>
      </w:pPr>
      <w:r>
        <w:rPr>
          <w:rFonts w:hint="eastAsia" w:ascii="仿宋_GB2312" w:hAnsi="仿宋_GB2312" w:eastAsia="仿宋_GB2312"/>
          <w:b w:val="0"/>
          <w:bCs w:val="0"/>
          <w:color w:val="000000"/>
          <w:sz w:val="32"/>
          <w:lang w:val="zh-CN"/>
        </w:rPr>
        <w:t>开展知识产权法规、政策、工作等调查研究，负责省、市知识产权专项资金项目管理工作。推进全市知识产权运营、转移转化等服务促进工作。推动企业实施知识产权管理规范国家标准。开展园区、企</w:t>
      </w:r>
      <w:r>
        <w:rPr>
          <w:rFonts w:hint="eastAsia" w:ascii="仿宋_GB2312" w:hAnsi="仿宋_GB2312" w:eastAsia="仿宋_GB2312"/>
          <w:b w:val="0"/>
          <w:bCs w:val="0"/>
          <w:color w:val="auto"/>
          <w:sz w:val="32"/>
          <w:lang w:val="zh-CN"/>
        </w:rPr>
        <w:t>业知识产权示范</w:t>
      </w:r>
      <w:r>
        <w:rPr>
          <w:rFonts w:hint="eastAsia" w:ascii="仿宋_GB2312" w:hAnsi="仿宋_GB2312" w:eastAsia="仿宋_GB2312"/>
          <w:b w:val="0"/>
          <w:bCs w:val="0"/>
          <w:color w:val="000000"/>
          <w:sz w:val="32"/>
          <w:lang w:val="zh-CN"/>
        </w:rPr>
        <w:t>培育，培育知识产权密集型产业和企业。推进知识产权金融创新，承担专利奖组织推荐、专利数据统计等工作。开展知识产权宣传培训，推动高等院校知识产权学科建设。</w:t>
      </w:r>
    </w:p>
    <w:p w14:paraId="0F35F3C0">
      <w:pPr>
        <w:keepNext/>
        <w:keepLines/>
        <w:spacing w:line="576" w:lineRule="exact"/>
        <w:ind w:firstLine="640" w:firstLineChars="200"/>
        <w:rPr>
          <w:rFonts w:hint="eastAsia" w:ascii="仿宋_GB2312" w:hAnsi="仿宋_GB2312" w:eastAsia="仿宋_GB2312"/>
          <w:b w:val="0"/>
          <w:bCs w:val="0"/>
          <w:color w:val="000000"/>
          <w:sz w:val="32"/>
          <w:lang w:val="zh-CN"/>
        </w:rPr>
      </w:pPr>
      <w:r>
        <w:rPr>
          <w:rFonts w:hint="eastAsia" w:ascii="仿宋_GB2312" w:hAnsi="仿宋_GB2312" w:eastAsia="仿宋_GB2312"/>
          <w:b w:val="0"/>
          <w:bCs w:val="0"/>
          <w:color w:val="000000"/>
          <w:sz w:val="32"/>
          <w:lang w:val="zh-CN"/>
        </w:rPr>
        <w:t>负责知识产权维权援助服务工作。指导企事业单位应对各类知识产权纠纷。推动开展知识产权仲裁、调解工作。推进全市知识产权公共服务平台建设，承担知识产权信息开发利用和传播利用。开展产业知识产权导航，参与全市重大经济科技活动知识产权评议工作。推动企业、高等学校、科研院所等创新创业主体开展知识产权布局。加强知识产权服务机构的管理。</w:t>
      </w:r>
    </w:p>
    <w:p w14:paraId="23D4B3F1">
      <w:pPr>
        <w:rPr>
          <w:b w:val="0"/>
          <w:bCs w:val="0"/>
        </w:rPr>
      </w:pPr>
    </w:p>
    <w:p w14:paraId="3207D7F4">
      <w:pPr>
        <w:pStyle w:val="4"/>
        <w:rPr>
          <w:rStyle w:val="29"/>
          <w:rFonts w:ascii="Times New Roman" w:hAnsi="Times New Roman"/>
          <w:b w:val="0"/>
          <w:bCs w:val="0"/>
        </w:rPr>
      </w:pPr>
      <w:bookmarkStart w:id="18" w:name="_Toc15396601"/>
      <w:bookmarkStart w:id="19" w:name="_Toc15377200"/>
      <w:bookmarkStart w:id="20" w:name="_Toc17724"/>
      <w:r>
        <w:rPr>
          <w:rFonts w:hint="eastAsia" w:ascii="Times New Roman" w:hAnsi="Times New Roman" w:eastAsia="黑体"/>
          <w:b w:val="0"/>
          <w:bCs w:val="0"/>
        </w:rPr>
        <w:t>二、机</w:t>
      </w:r>
      <w:r>
        <w:rPr>
          <w:rStyle w:val="29"/>
          <w:rFonts w:hint="eastAsia" w:ascii="Times New Roman" w:hAnsi="Times New Roman" w:eastAsia="黑体"/>
          <w:b w:val="0"/>
          <w:bCs w:val="0"/>
        </w:rPr>
        <w:t>构设置</w:t>
      </w:r>
      <w:bookmarkEnd w:id="18"/>
      <w:bookmarkEnd w:id="19"/>
      <w:bookmarkEnd w:id="20"/>
    </w:p>
    <w:p w14:paraId="71F47657">
      <w:pPr>
        <w:spacing w:line="560" w:lineRule="exact"/>
        <w:ind w:firstLine="640" w:firstLineChars="200"/>
        <w:rPr>
          <w:b w:val="0"/>
          <w:bCs w:val="0"/>
        </w:rPr>
      </w:pPr>
      <w:r>
        <w:rPr>
          <w:rFonts w:hint="eastAsia" w:ascii="仿宋" w:hAnsi="仿宋" w:eastAsia="仿宋"/>
          <w:b w:val="0"/>
          <w:bCs w:val="0"/>
          <w:sz w:val="32"/>
        </w:rPr>
        <w:t>乐山市知识产权服务促进中心下属二级单位0个，其中行政单位0个，参照公务员法管理的事业单位1个，其他事业单位0个。</w:t>
      </w:r>
    </w:p>
    <w:p w14:paraId="4A6CEB7B">
      <w:pPr>
        <w:widowControl/>
        <w:ind w:firstLine="660" w:firstLineChars="150"/>
        <w:jc w:val="left"/>
        <w:outlineLvl w:val="0"/>
        <w:rPr>
          <w:rFonts w:hint="eastAsia" w:ascii="黑体" w:hAnsi="黑体" w:eastAsia="黑体"/>
          <w:b w:val="0"/>
          <w:bCs w:val="0"/>
          <w:kern w:val="0"/>
          <w:sz w:val="44"/>
          <w:szCs w:val="44"/>
        </w:rPr>
      </w:pPr>
      <w:bookmarkStart w:id="21" w:name="_Toc31355"/>
      <w:bookmarkStart w:id="22" w:name="_Toc15396602"/>
      <w:bookmarkStart w:id="23" w:name="_Toc15377204"/>
      <w:r>
        <w:rPr>
          <w:rFonts w:hint="eastAsia" w:ascii="黑体" w:hAnsi="黑体" w:eastAsia="黑体" w:cs="方正小标宋简体"/>
          <w:b w:val="0"/>
          <w:bCs w:val="0"/>
          <w:sz w:val="44"/>
          <w:szCs w:val="44"/>
        </w:rPr>
        <w:t>第二部分  2024年度部门决算情况说明</w:t>
      </w:r>
      <w:bookmarkEnd w:id="21"/>
      <w:bookmarkEnd w:id="22"/>
      <w:bookmarkEnd w:id="23"/>
    </w:p>
    <w:p w14:paraId="4F929B89">
      <w:pPr>
        <w:pStyle w:val="27"/>
        <w:spacing w:line="600" w:lineRule="exact"/>
        <w:ind w:firstLine="640"/>
        <w:outlineLvl w:val="0"/>
        <w:rPr>
          <w:rStyle w:val="29"/>
          <w:rFonts w:ascii="Times New Roman" w:hAnsi="Times New Roman" w:eastAsia="黑体"/>
          <w:b w:val="0"/>
          <w:bCs w:val="0"/>
        </w:rPr>
      </w:pPr>
      <w:bookmarkStart w:id="24" w:name="_Toc15396603"/>
      <w:bookmarkStart w:id="25" w:name="_Toc5605"/>
      <w:bookmarkStart w:id="26" w:name="_Toc15377205"/>
      <w:r>
        <w:rPr>
          <w:rFonts w:hint="eastAsia" w:eastAsia="黑体"/>
          <w:b w:val="0"/>
          <w:bCs w:val="0"/>
          <w:sz w:val="32"/>
          <w:szCs w:val="32"/>
        </w:rPr>
        <w:t>一、收</w:t>
      </w:r>
      <w:r>
        <w:rPr>
          <w:rStyle w:val="29"/>
          <w:rFonts w:hint="eastAsia" w:ascii="Times New Roman" w:hAnsi="Times New Roman" w:eastAsia="黑体"/>
          <w:b w:val="0"/>
          <w:bCs w:val="0"/>
        </w:rPr>
        <w:t>入支出决算总体情况说明</w:t>
      </w:r>
      <w:bookmarkEnd w:id="24"/>
      <w:bookmarkEnd w:id="25"/>
      <w:bookmarkEnd w:id="26"/>
    </w:p>
    <w:p w14:paraId="4665A60B">
      <w:pPr>
        <w:pStyle w:val="27"/>
        <w:spacing w:line="600" w:lineRule="exact"/>
        <w:ind w:firstLine="640"/>
        <w:rPr>
          <w:rFonts w:eastAsia="仿宋_GB2312" w:cs="仿宋_GB2312"/>
          <w:b w:val="0"/>
          <w:bCs w:val="0"/>
          <w:sz w:val="32"/>
          <w:szCs w:val="32"/>
        </w:rPr>
      </w:pPr>
      <w:r>
        <w:rPr>
          <w:rFonts w:hint="eastAsia" w:eastAsia="仿宋_GB2312" w:cs="仿宋_GB2312"/>
          <w:b w:val="0"/>
          <w:bCs w:val="0"/>
          <w:sz w:val="32"/>
          <w:szCs w:val="32"/>
        </w:rPr>
        <w:t>2024年度收入、支出总计均为338.54万元。与2023年度相比，收入、支出总计各增加107.49万元，增长46.52%。主要变动原因是2024年收入新增知识产权专项资金，2024年我单位新增1人。</w:t>
      </w:r>
    </w:p>
    <w:p w14:paraId="449FD494">
      <w:pPr>
        <w:pStyle w:val="14"/>
        <w:jc w:val="center"/>
        <w:rPr>
          <w:b w:val="0"/>
          <w:bCs w:val="0"/>
        </w:rPr>
      </w:pPr>
      <w:r>
        <w:rPr>
          <w:b w:val="0"/>
          <w:bCs w:val="0"/>
        </w:rPr>
        <w:drawing>
          <wp:inline distT="0" distB="0" distL="0" distR="0">
            <wp:extent cx="4659630" cy="2743200"/>
            <wp:effectExtent l="0" t="0" r="7620" b="0"/>
            <wp:docPr id="211031080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7910624E">
      <w:pPr>
        <w:suppressAutoHyphens/>
        <w:bidi w:val="0"/>
        <w:spacing w:line="600" w:lineRule="exact"/>
        <w:ind w:firstLine="640" w:firstLineChars="200"/>
        <w:rPr>
          <w:rFonts w:ascii="仿宋" w:hAnsi="仿宋" w:eastAsia="仿宋" w:cs="Times New Roman"/>
          <w:color w:val="auto"/>
          <w:sz w:val="32"/>
          <w:szCs w:val="32"/>
          <w:highlight w:val="none"/>
        </w:rPr>
      </w:pPr>
      <w:bookmarkStart w:id="27" w:name="_Toc15396604"/>
      <w:bookmarkStart w:id="28" w:name="_Toc15377206"/>
      <w:bookmarkStart w:id="29" w:name="_Toc26855"/>
      <w:r>
        <w:rPr>
          <w:rFonts w:hint="eastAsia" w:ascii="仿宋" w:hAnsi="仿宋" w:eastAsia="仿宋" w:cs="Times New Roman"/>
          <w:color w:val="auto"/>
          <w:sz w:val="32"/>
          <w:szCs w:val="32"/>
          <w:highlight w:val="none"/>
        </w:rPr>
        <w:t>（图</w:t>
      </w:r>
      <w:r>
        <w:rPr>
          <w:rFonts w:ascii="仿宋" w:hAnsi="仿宋" w:eastAsia="仿宋" w:cs="Times New Roman"/>
          <w:color w:val="auto"/>
          <w:sz w:val="32"/>
          <w:szCs w:val="32"/>
          <w:highlight w:val="none"/>
        </w:rPr>
        <w:t>1</w:t>
      </w:r>
      <w:r>
        <w:rPr>
          <w:rFonts w:hint="eastAsia" w:ascii="仿宋" w:hAnsi="仿宋" w:eastAsia="仿宋" w:cs="Times New Roman"/>
          <w:color w:val="auto"/>
          <w:sz w:val="32"/>
          <w:szCs w:val="32"/>
          <w:highlight w:val="none"/>
        </w:rPr>
        <w:t>：收、支决算总计变动情况图）（柱状图）</w:t>
      </w:r>
    </w:p>
    <w:p w14:paraId="42AB10C6">
      <w:pPr>
        <w:pStyle w:val="27"/>
        <w:spacing w:line="600" w:lineRule="exact"/>
        <w:ind w:firstLine="640"/>
        <w:outlineLvl w:val="0"/>
        <w:rPr>
          <w:rFonts w:eastAsia="黑体"/>
          <w:b w:val="0"/>
          <w:bCs w:val="0"/>
          <w:sz w:val="32"/>
          <w:szCs w:val="32"/>
        </w:rPr>
      </w:pPr>
      <w:r>
        <w:rPr>
          <w:rFonts w:hint="eastAsia" w:eastAsia="黑体"/>
          <w:b w:val="0"/>
          <w:bCs w:val="0"/>
          <w:sz w:val="32"/>
          <w:szCs w:val="32"/>
        </w:rPr>
        <w:t>二、收入决算情况说明</w:t>
      </w:r>
      <w:bookmarkEnd w:id="27"/>
      <w:bookmarkEnd w:id="28"/>
      <w:bookmarkEnd w:id="29"/>
    </w:p>
    <w:p w14:paraId="37AF620F">
      <w:pPr>
        <w:pStyle w:val="27"/>
        <w:spacing w:line="600" w:lineRule="exact"/>
        <w:ind w:firstLine="640"/>
        <w:jc w:val="left"/>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2024年度本年收入合计</w:t>
      </w:r>
      <w:r>
        <w:rPr>
          <w:rFonts w:hint="eastAsia" w:eastAsia="仿宋_GB2312" w:cs="仿宋_GB2312"/>
          <w:b w:val="0"/>
          <w:bCs w:val="0"/>
          <w:sz w:val="32"/>
          <w:szCs w:val="32"/>
        </w:rPr>
        <w:t>338.54</w:t>
      </w:r>
      <w:r>
        <w:rPr>
          <w:rFonts w:hint="eastAsia" w:ascii="仿宋_GB2312" w:hAnsi="仿宋_GB2312" w:eastAsia="仿宋_GB2312" w:cs="仿宋_GB2312"/>
          <w:b w:val="0"/>
          <w:bCs w:val="0"/>
          <w:sz w:val="32"/>
          <w:szCs w:val="32"/>
        </w:rPr>
        <w:t>万元，其中：一般公共预算财政拨款收入</w:t>
      </w:r>
      <w:r>
        <w:rPr>
          <w:rFonts w:hint="eastAsia" w:eastAsia="仿宋_GB2312" w:cs="仿宋_GB2312"/>
          <w:b w:val="0"/>
          <w:bCs w:val="0"/>
          <w:sz w:val="32"/>
          <w:szCs w:val="32"/>
        </w:rPr>
        <w:t>338.54</w:t>
      </w:r>
      <w:r>
        <w:rPr>
          <w:rFonts w:hint="eastAsia" w:ascii="仿宋_GB2312" w:hAnsi="仿宋_GB2312" w:eastAsia="仿宋_GB2312" w:cs="仿宋_GB2312"/>
          <w:b w:val="0"/>
          <w:bCs w:val="0"/>
          <w:sz w:val="32"/>
          <w:szCs w:val="32"/>
        </w:rPr>
        <w:t>万元，占</w:t>
      </w:r>
      <w:r>
        <w:rPr>
          <w:rFonts w:hint="eastAsia" w:eastAsia="仿宋_GB2312" w:cs="仿宋_GB2312"/>
          <w:b w:val="0"/>
          <w:bCs w:val="0"/>
          <w:sz w:val="32"/>
          <w:szCs w:val="32"/>
        </w:rPr>
        <w:t>100</w:t>
      </w:r>
      <w:r>
        <w:rPr>
          <w:rFonts w:hint="eastAsia" w:ascii="仿宋_GB2312" w:hAnsi="仿宋_GB2312" w:eastAsia="仿宋_GB2312" w:cs="仿宋_GB2312"/>
          <w:b w:val="0"/>
          <w:bCs w:val="0"/>
          <w:sz w:val="32"/>
          <w:szCs w:val="32"/>
        </w:rPr>
        <w:t xml:space="preserve">%。 </w:t>
      </w:r>
    </w:p>
    <w:p w14:paraId="5E51A307">
      <w:pPr>
        <w:pStyle w:val="14"/>
        <w:jc w:val="center"/>
        <w:rPr>
          <w:b w:val="0"/>
          <w:bCs w:val="0"/>
          <w:highlight w:val="yellow"/>
        </w:rPr>
      </w:pPr>
      <w:r>
        <w:rPr>
          <w:b w:val="0"/>
          <w:bCs w:val="0"/>
        </w:rPr>
        <w:drawing>
          <wp:inline distT="0" distB="0" distL="0" distR="0">
            <wp:extent cx="4572000" cy="2743200"/>
            <wp:effectExtent l="0" t="0" r="0" b="0"/>
            <wp:docPr id="99813255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792C226A">
      <w:pPr>
        <w:suppressAutoHyphens/>
        <w:bidi w:val="0"/>
        <w:spacing w:line="600" w:lineRule="exact"/>
        <w:ind w:firstLine="960" w:firstLineChars="300"/>
        <w:rPr>
          <w:rFonts w:ascii="仿宋" w:hAnsi="仿宋" w:eastAsia="仿宋" w:cs="Times New Roman"/>
          <w:color w:val="auto"/>
          <w:sz w:val="32"/>
          <w:szCs w:val="32"/>
          <w:highlight w:val="none"/>
        </w:rPr>
      </w:pPr>
      <w:r>
        <w:rPr>
          <w:rFonts w:hint="eastAsia" w:ascii="仿宋" w:hAnsi="仿宋" w:eastAsia="仿宋" w:cs="Times New Roman"/>
          <w:color w:val="auto"/>
          <w:sz w:val="32"/>
          <w:szCs w:val="32"/>
          <w:highlight w:val="none"/>
        </w:rPr>
        <w:t>（图2：收入决算结构图）（饼状图）</w:t>
      </w:r>
    </w:p>
    <w:p w14:paraId="71DE31B3">
      <w:pPr>
        <w:pStyle w:val="27"/>
        <w:spacing w:line="600" w:lineRule="exact"/>
        <w:ind w:firstLine="640"/>
        <w:outlineLvl w:val="0"/>
        <w:rPr>
          <w:rStyle w:val="29"/>
          <w:rFonts w:ascii="Times New Roman" w:hAnsi="Times New Roman" w:eastAsia="黑体"/>
          <w:b w:val="0"/>
          <w:bCs w:val="0"/>
        </w:rPr>
      </w:pPr>
      <w:bookmarkStart w:id="30" w:name="_Toc15377207"/>
      <w:bookmarkStart w:id="31" w:name="_Toc15382"/>
      <w:bookmarkStart w:id="32" w:name="_Toc15396605"/>
      <w:r>
        <w:rPr>
          <w:rFonts w:hint="eastAsia" w:eastAsia="黑体"/>
          <w:b w:val="0"/>
          <w:bCs w:val="0"/>
          <w:sz w:val="32"/>
          <w:szCs w:val="32"/>
        </w:rPr>
        <w:t>三、支</w:t>
      </w:r>
      <w:r>
        <w:rPr>
          <w:rStyle w:val="29"/>
          <w:rFonts w:hint="eastAsia" w:ascii="Times New Roman" w:hAnsi="Times New Roman" w:eastAsia="黑体"/>
          <w:b w:val="0"/>
          <w:bCs w:val="0"/>
        </w:rPr>
        <w:t>出决算情况说明</w:t>
      </w:r>
      <w:bookmarkEnd w:id="30"/>
      <w:bookmarkEnd w:id="31"/>
      <w:bookmarkEnd w:id="32"/>
    </w:p>
    <w:p w14:paraId="7425900B">
      <w:pPr>
        <w:pStyle w:val="27"/>
        <w:spacing w:line="600" w:lineRule="exact"/>
        <w:ind w:firstLine="640"/>
        <w:jc w:val="left"/>
        <w:rPr>
          <w:rFonts w:eastAsia="仿宋_GB2312" w:cs="仿宋_GB2312"/>
          <w:b w:val="0"/>
          <w:bCs w:val="0"/>
          <w:sz w:val="32"/>
          <w:szCs w:val="32"/>
          <w:highlight w:val="yellow"/>
        </w:rPr>
      </w:pPr>
      <w:r>
        <w:rPr>
          <w:rFonts w:hint="eastAsia" w:ascii="仿宋_GB2312" w:hAnsi="仿宋_GB2312" w:eastAsia="仿宋_GB2312" w:cs="仿宋_GB2312"/>
          <w:b w:val="0"/>
          <w:bCs w:val="0"/>
          <w:sz w:val="32"/>
          <w:szCs w:val="32"/>
        </w:rPr>
        <w:t>2024年度本年支出合计</w:t>
      </w:r>
      <w:r>
        <w:rPr>
          <w:rFonts w:hint="eastAsia" w:eastAsia="仿宋_GB2312" w:cs="仿宋_GB2312"/>
          <w:b w:val="0"/>
          <w:bCs w:val="0"/>
          <w:sz w:val="32"/>
          <w:szCs w:val="32"/>
        </w:rPr>
        <w:t>338.54</w:t>
      </w:r>
      <w:r>
        <w:rPr>
          <w:rFonts w:hint="eastAsia" w:ascii="仿宋_GB2312" w:hAnsi="仿宋_GB2312" w:eastAsia="仿宋_GB2312" w:cs="仿宋_GB2312"/>
          <w:b w:val="0"/>
          <w:bCs w:val="0"/>
          <w:sz w:val="32"/>
          <w:szCs w:val="32"/>
        </w:rPr>
        <w:t>万元，其中：基本支出</w:t>
      </w:r>
      <w:r>
        <w:rPr>
          <w:rFonts w:hint="eastAsia" w:eastAsia="仿宋_GB2312" w:cs="仿宋_GB2312"/>
          <w:b w:val="0"/>
          <w:bCs w:val="0"/>
          <w:sz w:val="32"/>
          <w:szCs w:val="32"/>
        </w:rPr>
        <w:t>242.54</w:t>
      </w:r>
      <w:r>
        <w:rPr>
          <w:rFonts w:hint="eastAsia" w:ascii="仿宋_GB2312" w:hAnsi="仿宋_GB2312" w:eastAsia="仿宋_GB2312" w:cs="仿宋_GB2312"/>
          <w:b w:val="0"/>
          <w:bCs w:val="0"/>
          <w:sz w:val="32"/>
          <w:szCs w:val="32"/>
        </w:rPr>
        <w:t>万元，占</w:t>
      </w:r>
      <w:r>
        <w:rPr>
          <w:rFonts w:hint="eastAsia" w:eastAsia="仿宋_GB2312" w:cs="仿宋_GB2312"/>
          <w:b w:val="0"/>
          <w:bCs w:val="0"/>
          <w:sz w:val="32"/>
          <w:szCs w:val="32"/>
        </w:rPr>
        <w:t>71.64</w:t>
      </w:r>
      <w:r>
        <w:rPr>
          <w:rFonts w:hint="eastAsia" w:ascii="仿宋_GB2312" w:hAnsi="仿宋_GB2312" w:eastAsia="仿宋_GB2312" w:cs="仿宋_GB2312"/>
          <w:b w:val="0"/>
          <w:bCs w:val="0"/>
          <w:sz w:val="32"/>
          <w:szCs w:val="32"/>
        </w:rPr>
        <w:t>%；项目支出</w:t>
      </w:r>
      <w:r>
        <w:rPr>
          <w:rFonts w:hint="eastAsia" w:eastAsia="仿宋_GB2312" w:cs="仿宋_GB2312"/>
          <w:b w:val="0"/>
          <w:bCs w:val="0"/>
          <w:sz w:val="32"/>
          <w:szCs w:val="32"/>
        </w:rPr>
        <w:t>96</w:t>
      </w:r>
      <w:r>
        <w:rPr>
          <w:rFonts w:hint="eastAsia" w:ascii="仿宋_GB2312" w:hAnsi="仿宋_GB2312" w:eastAsia="仿宋_GB2312" w:cs="仿宋_GB2312"/>
          <w:b w:val="0"/>
          <w:bCs w:val="0"/>
          <w:sz w:val="32"/>
          <w:szCs w:val="32"/>
        </w:rPr>
        <w:t>万元，占</w:t>
      </w:r>
      <w:r>
        <w:rPr>
          <w:rFonts w:hint="eastAsia" w:eastAsia="仿宋_GB2312" w:cs="仿宋_GB2312"/>
          <w:b w:val="0"/>
          <w:bCs w:val="0"/>
          <w:sz w:val="32"/>
          <w:szCs w:val="32"/>
        </w:rPr>
        <w:t>28.36</w:t>
      </w:r>
      <w:r>
        <w:rPr>
          <w:rFonts w:hint="eastAsia" w:ascii="仿宋_GB2312" w:hAnsi="仿宋_GB2312" w:eastAsia="仿宋_GB2312" w:cs="仿宋_GB2312"/>
          <w:b w:val="0"/>
          <w:bCs w:val="0"/>
          <w:sz w:val="32"/>
          <w:szCs w:val="32"/>
        </w:rPr>
        <w:t>%。</w:t>
      </w:r>
    </w:p>
    <w:p w14:paraId="6013E51D">
      <w:pPr>
        <w:ind w:firstLine="525" w:firstLineChars="250"/>
        <w:jc w:val="center"/>
        <w:rPr>
          <w:b w:val="0"/>
          <w:bCs w:val="0"/>
        </w:rPr>
      </w:pPr>
      <w:r>
        <w:rPr>
          <w:b w:val="0"/>
          <w:bCs w:val="0"/>
        </w:rPr>
        <w:drawing>
          <wp:inline distT="0" distB="0" distL="0" distR="0">
            <wp:extent cx="4572000" cy="2743200"/>
            <wp:effectExtent l="0" t="0" r="0" b="0"/>
            <wp:docPr id="18894980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6804E7FA">
      <w:pPr>
        <w:suppressAutoHyphens/>
        <w:bidi w:val="0"/>
        <w:spacing w:line="600" w:lineRule="exact"/>
        <w:ind w:firstLine="420" w:firstLineChars="200"/>
        <w:rPr>
          <w:rFonts w:ascii="仿宋" w:hAnsi="仿宋" w:eastAsia="仿宋" w:cs="Times New Roman"/>
          <w:color w:val="auto"/>
          <w:sz w:val="32"/>
          <w:szCs w:val="32"/>
          <w:highlight w:val="none"/>
        </w:rPr>
      </w:pPr>
      <w:r>
        <w:rPr>
          <w:rFonts w:hint="eastAsia"/>
          <w:b w:val="0"/>
          <w:bCs w:val="0"/>
          <w:lang w:val="en-US" w:eastAsia="zh-CN"/>
        </w:rPr>
        <w:t xml:space="preserve"> </w:t>
      </w:r>
      <w:r>
        <w:rPr>
          <w:rFonts w:hint="eastAsia" w:ascii="仿宋" w:hAnsi="仿宋" w:eastAsia="仿宋" w:cs="Times New Roman"/>
          <w:color w:val="auto"/>
          <w:sz w:val="32"/>
          <w:szCs w:val="32"/>
          <w:highlight w:val="none"/>
        </w:rPr>
        <w:t>（图3：支出决算结构图）（饼状图）</w:t>
      </w:r>
    </w:p>
    <w:p w14:paraId="764971C2">
      <w:pPr>
        <w:spacing w:line="600" w:lineRule="exact"/>
        <w:ind w:firstLine="640" w:firstLineChars="200"/>
        <w:outlineLvl w:val="0"/>
        <w:rPr>
          <w:rStyle w:val="29"/>
          <w:rFonts w:ascii="Times New Roman" w:hAnsi="Times New Roman" w:eastAsia="黑体"/>
          <w:b w:val="0"/>
          <w:bCs w:val="0"/>
        </w:rPr>
      </w:pPr>
      <w:bookmarkStart w:id="33" w:name="_Toc27161"/>
      <w:bookmarkStart w:id="34" w:name="_Toc15377208"/>
      <w:bookmarkStart w:id="35" w:name="_Toc15396606"/>
      <w:r>
        <w:rPr>
          <w:rFonts w:hint="eastAsia" w:eastAsia="黑体"/>
          <w:b w:val="0"/>
          <w:bCs w:val="0"/>
          <w:sz w:val="32"/>
          <w:szCs w:val="32"/>
        </w:rPr>
        <w:t>四、财</w:t>
      </w:r>
      <w:r>
        <w:rPr>
          <w:rStyle w:val="29"/>
          <w:rFonts w:hint="eastAsia" w:ascii="Times New Roman" w:hAnsi="Times New Roman" w:eastAsia="黑体"/>
          <w:b w:val="0"/>
          <w:bCs w:val="0"/>
        </w:rPr>
        <w:t>政拨款收入支出决算总体情况说明</w:t>
      </w:r>
      <w:bookmarkEnd w:id="33"/>
      <w:bookmarkEnd w:id="34"/>
      <w:bookmarkEnd w:id="35"/>
    </w:p>
    <w:p w14:paraId="7A9E12B7">
      <w:pPr>
        <w:pStyle w:val="27"/>
        <w:spacing w:line="600" w:lineRule="exact"/>
        <w:ind w:firstLine="640"/>
        <w:rPr>
          <w:rFonts w:eastAsia="仿宋_GB2312" w:cs="仿宋_GB2312"/>
          <w:b w:val="0"/>
          <w:bCs w:val="0"/>
          <w:sz w:val="32"/>
          <w:szCs w:val="32"/>
        </w:rPr>
      </w:pPr>
      <w:r>
        <w:rPr>
          <w:rFonts w:hint="eastAsia" w:eastAsia="仿宋_GB2312" w:cs="仿宋_GB2312"/>
          <w:b w:val="0"/>
          <w:bCs w:val="0"/>
          <w:sz w:val="32"/>
          <w:szCs w:val="32"/>
        </w:rPr>
        <w:t>2024年度财政拨款收入、支出总计均为338.54万元。与2023年度相比，财政拨款收入、支出总计各增加107.49万元，增长46.52%。主要变动原因是2024年收入新增知识产权专项资金，2024年我单位新增1人。</w:t>
      </w:r>
    </w:p>
    <w:p w14:paraId="1D40DE69">
      <w:pPr>
        <w:pStyle w:val="14"/>
        <w:jc w:val="center"/>
        <w:rPr>
          <w:b w:val="0"/>
          <w:bCs w:val="0"/>
        </w:rPr>
      </w:pPr>
      <w:r>
        <w:rPr>
          <w:b w:val="0"/>
          <w:bCs w:val="0"/>
        </w:rPr>
        <w:drawing>
          <wp:inline distT="0" distB="0" distL="0" distR="0">
            <wp:extent cx="4659630" cy="2743200"/>
            <wp:effectExtent l="0" t="0" r="7620" b="0"/>
            <wp:docPr id="90435566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3A36ACAF">
      <w:pPr>
        <w:suppressAutoHyphens/>
        <w:bidi w:val="0"/>
        <w:spacing w:line="600" w:lineRule="exact"/>
        <w:ind w:firstLine="640" w:firstLineChars="200"/>
        <w:rPr>
          <w:rFonts w:ascii="仿宋" w:hAnsi="仿宋" w:eastAsia="仿宋" w:cs="Times New Roman"/>
          <w:color w:val="auto"/>
          <w:sz w:val="32"/>
          <w:szCs w:val="32"/>
          <w:highlight w:val="none"/>
        </w:rPr>
      </w:pPr>
      <w:r>
        <w:rPr>
          <w:rFonts w:hint="eastAsia" w:ascii="仿宋" w:hAnsi="仿宋" w:eastAsia="仿宋" w:cs="Times New Roman"/>
          <w:color w:val="auto"/>
          <w:sz w:val="32"/>
          <w:szCs w:val="32"/>
          <w:highlight w:val="none"/>
        </w:rPr>
        <w:t>（图4：财政拨款收、支决算总计变动情况）（柱状图）</w:t>
      </w:r>
    </w:p>
    <w:p w14:paraId="2A6B4A93">
      <w:pPr>
        <w:spacing w:line="600" w:lineRule="exact"/>
        <w:ind w:firstLine="640" w:firstLineChars="200"/>
        <w:outlineLvl w:val="0"/>
        <w:rPr>
          <w:rStyle w:val="29"/>
          <w:rFonts w:ascii="Times New Roman" w:hAnsi="Times New Roman" w:eastAsia="黑体"/>
          <w:b w:val="0"/>
          <w:bCs w:val="0"/>
        </w:rPr>
      </w:pPr>
      <w:bookmarkStart w:id="36" w:name="_Toc15396607"/>
      <w:bookmarkStart w:id="37" w:name="_Toc1232"/>
      <w:bookmarkStart w:id="38" w:name="_Toc15377209"/>
      <w:r>
        <w:rPr>
          <w:rFonts w:hint="eastAsia" w:eastAsia="黑体"/>
          <w:b w:val="0"/>
          <w:bCs w:val="0"/>
          <w:sz w:val="32"/>
          <w:szCs w:val="32"/>
        </w:rPr>
        <w:t>五、一</w:t>
      </w:r>
      <w:r>
        <w:rPr>
          <w:rStyle w:val="29"/>
          <w:rFonts w:hint="eastAsia" w:ascii="Times New Roman" w:hAnsi="Times New Roman" w:eastAsia="黑体"/>
          <w:b w:val="0"/>
          <w:bCs w:val="0"/>
        </w:rPr>
        <w:t>般公共预算财政拨款支出决算情况说明</w:t>
      </w:r>
      <w:bookmarkEnd w:id="36"/>
      <w:bookmarkEnd w:id="37"/>
      <w:bookmarkEnd w:id="38"/>
    </w:p>
    <w:p w14:paraId="7118AD36">
      <w:pPr>
        <w:spacing w:line="600" w:lineRule="exact"/>
        <w:ind w:firstLine="640" w:firstLineChars="200"/>
        <w:outlineLvl w:val="1"/>
        <w:rPr>
          <w:rFonts w:eastAsia="楷体_GB2312" w:cs="楷体_GB2312"/>
          <w:b w:val="0"/>
          <w:bCs w:val="0"/>
          <w:sz w:val="32"/>
          <w:szCs w:val="32"/>
        </w:rPr>
      </w:pPr>
      <w:bookmarkStart w:id="39" w:name="_Toc15377210"/>
      <w:r>
        <w:rPr>
          <w:rFonts w:hint="eastAsia" w:eastAsia="楷体_GB2312" w:cs="楷体_GB2312"/>
          <w:b w:val="0"/>
          <w:bCs w:val="0"/>
          <w:sz w:val="32"/>
          <w:szCs w:val="32"/>
        </w:rPr>
        <w:t>（一）一般公共预算财政拨款支出决算总体情况</w:t>
      </w:r>
      <w:bookmarkEnd w:id="39"/>
    </w:p>
    <w:p w14:paraId="5AB9D937">
      <w:pPr>
        <w:spacing w:line="600" w:lineRule="exact"/>
        <w:ind w:firstLine="640"/>
        <w:rPr>
          <w:rFonts w:eastAsia="仿宋_GB2312" w:cs="仿宋_GB2312"/>
          <w:b w:val="0"/>
          <w:bCs w:val="0"/>
          <w:sz w:val="32"/>
          <w:szCs w:val="32"/>
        </w:rPr>
      </w:pPr>
      <w:r>
        <w:rPr>
          <w:rFonts w:hint="eastAsia" w:ascii="仿宋_GB2312" w:hAnsi="仿宋_GB2312" w:eastAsia="仿宋_GB2312" w:cs="仿宋_GB2312"/>
          <w:b w:val="0"/>
          <w:bCs w:val="0"/>
          <w:sz w:val="32"/>
          <w:szCs w:val="32"/>
        </w:rPr>
        <w:t>2024年度一般公共预算财政拨款支出</w:t>
      </w:r>
      <w:r>
        <w:rPr>
          <w:rFonts w:hint="eastAsia" w:eastAsia="仿宋_GB2312" w:cs="仿宋_GB2312"/>
          <w:b w:val="0"/>
          <w:bCs w:val="0"/>
          <w:sz w:val="32"/>
          <w:szCs w:val="32"/>
        </w:rPr>
        <w:t>338.54</w:t>
      </w:r>
      <w:r>
        <w:rPr>
          <w:rFonts w:hint="eastAsia" w:ascii="仿宋_GB2312" w:hAnsi="仿宋_GB2312" w:eastAsia="仿宋_GB2312" w:cs="仿宋_GB2312"/>
          <w:b w:val="0"/>
          <w:bCs w:val="0"/>
          <w:sz w:val="32"/>
          <w:szCs w:val="32"/>
        </w:rPr>
        <w:t>万元，占本年支出合计的</w:t>
      </w:r>
      <w:r>
        <w:rPr>
          <w:rFonts w:hint="eastAsia" w:ascii="仿宋" w:hAnsi="仿宋" w:eastAsia="仿宋"/>
          <w:b w:val="0"/>
          <w:bCs w:val="0"/>
          <w:sz w:val="32"/>
          <w:szCs w:val="32"/>
        </w:rPr>
        <w:t>100</w:t>
      </w:r>
      <w:r>
        <w:rPr>
          <w:rFonts w:hint="eastAsia" w:ascii="仿宋_GB2312" w:hAnsi="仿宋_GB2312" w:eastAsia="仿宋_GB2312" w:cs="仿宋_GB2312"/>
          <w:b w:val="0"/>
          <w:bCs w:val="0"/>
          <w:sz w:val="32"/>
          <w:szCs w:val="32"/>
        </w:rPr>
        <w:t>%。与2023年度相比，一般公共预算财政拨款支出增加107.49万元，增长46.52%。主要变动原因是</w:t>
      </w:r>
      <w:r>
        <w:rPr>
          <w:rFonts w:hint="eastAsia" w:eastAsia="仿宋_GB2312" w:cs="仿宋_GB2312"/>
          <w:b w:val="0"/>
          <w:bCs w:val="0"/>
          <w:sz w:val="32"/>
          <w:szCs w:val="32"/>
        </w:rPr>
        <w:t>主要变动原因是2024年收入新增知识产权专项资金，2024年我单位新增1人。</w:t>
      </w:r>
    </w:p>
    <w:p w14:paraId="26CF02B3">
      <w:pPr>
        <w:ind w:firstLine="420" w:firstLineChars="200"/>
        <w:rPr>
          <w:rFonts w:eastAsia="仿宋_GB2312" w:cs="仿宋_GB2312"/>
          <w:b w:val="0"/>
          <w:bCs w:val="0"/>
          <w:sz w:val="32"/>
          <w:szCs w:val="32"/>
        </w:rPr>
      </w:pPr>
      <w:r>
        <w:rPr>
          <w:b w:val="0"/>
          <w:bCs w:val="0"/>
        </w:rPr>
        <w:drawing>
          <wp:inline distT="0" distB="0" distL="0" distR="0">
            <wp:extent cx="4659630" cy="2743200"/>
            <wp:effectExtent l="0" t="0" r="7620" b="0"/>
            <wp:docPr id="59281521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6EA76032">
      <w:pPr>
        <w:spacing w:line="600" w:lineRule="exact"/>
        <w:ind w:firstLine="640"/>
        <w:rPr>
          <w:rFonts w:eastAsia="仿宋_GB2312" w:cs="仿宋_GB2312"/>
          <w:b w:val="0"/>
          <w:bCs w:val="0"/>
          <w:sz w:val="32"/>
          <w:szCs w:val="32"/>
        </w:rPr>
      </w:pPr>
      <w:r>
        <w:rPr>
          <w:rFonts w:hint="eastAsia" w:eastAsia="仿宋_GB2312" w:cs="仿宋_GB2312"/>
          <w:b w:val="0"/>
          <w:bCs w:val="0"/>
          <w:sz w:val="32"/>
          <w:szCs w:val="32"/>
        </w:rPr>
        <w:t>（图5：一般公共预算财政拨款支出决算变动情况）（柱状图）</w:t>
      </w:r>
    </w:p>
    <w:p w14:paraId="26224FD5">
      <w:pPr>
        <w:spacing w:line="600" w:lineRule="exact"/>
        <w:ind w:firstLine="640" w:firstLineChars="200"/>
        <w:outlineLvl w:val="1"/>
        <w:rPr>
          <w:rFonts w:eastAsia="楷体_GB2312" w:cs="楷体_GB2312"/>
          <w:b w:val="0"/>
          <w:bCs w:val="0"/>
          <w:sz w:val="32"/>
          <w:szCs w:val="32"/>
        </w:rPr>
      </w:pPr>
      <w:bookmarkStart w:id="40" w:name="_Toc15377211"/>
      <w:r>
        <w:rPr>
          <w:rFonts w:hint="eastAsia" w:eastAsia="楷体_GB2312" w:cs="楷体_GB2312"/>
          <w:b w:val="0"/>
          <w:bCs w:val="0"/>
          <w:sz w:val="32"/>
          <w:szCs w:val="32"/>
        </w:rPr>
        <w:t>（二）一般公共预算财政拨款支出决算结构情况</w:t>
      </w:r>
      <w:bookmarkEnd w:id="40"/>
    </w:p>
    <w:p w14:paraId="0D5D66FD">
      <w:pPr>
        <w:pStyle w:val="27"/>
        <w:spacing w:line="600" w:lineRule="exact"/>
        <w:ind w:firstLine="640"/>
        <w:jc w:val="left"/>
        <w:rPr>
          <w:rFonts w:eastAsia="仿宋_GB2312" w:cs="仿宋_GB2312"/>
          <w:b w:val="0"/>
          <w:bCs w:val="0"/>
          <w:sz w:val="32"/>
          <w:szCs w:val="32"/>
          <w:highlight w:val="yellow"/>
        </w:rPr>
      </w:pPr>
      <w:r>
        <w:rPr>
          <w:rFonts w:hint="eastAsia" w:eastAsia="仿宋_GB2312" w:cs="仿宋_GB2312"/>
          <w:b w:val="0"/>
          <w:bCs w:val="0"/>
          <w:sz w:val="32"/>
          <w:szCs w:val="32"/>
        </w:rPr>
        <w:t>2024年度一般公共预算财政拨款支出338.54</w:t>
      </w:r>
      <w:r>
        <w:rPr>
          <w:rFonts w:hint="eastAsia" w:ascii="仿宋_GB2312" w:hAnsi="仿宋_GB2312" w:eastAsia="仿宋_GB2312" w:cs="仿宋_GB2312"/>
          <w:b w:val="0"/>
          <w:bCs w:val="0"/>
          <w:sz w:val="32"/>
          <w:szCs w:val="32"/>
        </w:rPr>
        <w:t>万元</w:t>
      </w:r>
      <w:r>
        <w:rPr>
          <w:rFonts w:hint="eastAsia" w:eastAsia="仿宋_GB2312" w:cs="仿宋_GB2312"/>
          <w:b w:val="0"/>
          <w:bCs w:val="0"/>
          <w:sz w:val="32"/>
          <w:szCs w:val="32"/>
        </w:rPr>
        <w:t>，主要用于以下方面：一般公共服务支出267.72万元，占79.08%；社会保障和就业支出50.69万元，占14.97%；卫生健康支出5.48万元，占1.62%；住房保障支出14.66万元，占4.33%；</w:t>
      </w:r>
    </w:p>
    <w:p w14:paraId="5344ABC2">
      <w:pPr>
        <w:pStyle w:val="14"/>
        <w:jc w:val="center"/>
        <w:rPr>
          <w:b w:val="0"/>
          <w:bCs w:val="0"/>
        </w:rPr>
      </w:pPr>
      <w:r>
        <w:rPr>
          <w:b w:val="0"/>
          <w:bCs w:val="0"/>
        </w:rPr>
        <w:drawing>
          <wp:inline distT="0" distB="0" distL="0" distR="0">
            <wp:extent cx="4572000" cy="2743200"/>
            <wp:effectExtent l="0" t="0" r="0" b="0"/>
            <wp:docPr id="806089795"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r>
        <w:rPr>
          <w:b w:val="0"/>
          <w:bCs w:val="0"/>
        </w:rPr>
        <w:t xml:space="preserve"> </w:t>
      </w:r>
    </w:p>
    <w:p w14:paraId="38D136EF">
      <w:pPr>
        <w:pStyle w:val="8"/>
      </w:pPr>
      <w:r>
        <w:rPr>
          <w:rFonts w:hint="eastAsia" w:ascii="仿宋" w:hAnsi="仿宋" w:eastAsia="仿宋"/>
          <w:color w:val="auto"/>
          <w:sz w:val="32"/>
          <w:szCs w:val="32"/>
          <w:highlight w:val="none"/>
        </w:rPr>
        <w:t>（图6：一般公共预算财政拨款支出决算结构）（饼状图）</w:t>
      </w:r>
    </w:p>
    <w:p w14:paraId="0C7E25FE">
      <w:pPr>
        <w:spacing w:line="600" w:lineRule="exact"/>
        <w:ind w:firstLine="640" w:firstLineChars="200"/>
        <w:outlineLvl w:val="1"/>
        <w:rPr>
          <w:rFonts w:eastAsia="楷体_GB2312" w:cs="楷体_GB2312"/>
          <w:b w:val="0"/>
          <w:bCs w:val="0"/>
          <w:sz w:val="32"/>
          <w:szCs w:val="32"/>
        </w:rPr>
      </w:pPr>
      <w:bookmarkStart w:id="41" w:name="_Toc15377212"/>
      <w:r>
        <w:rPr>
          <w:rFonts w:hint="eastAsia" w:eastAsia="楷体_GB2312" w:cs="楷体_GB2312"/>
          <w:b w:val="0"/>
          <w:bCs w:val="0"/>
          <w:sz w:val="32"/>
          <w:szCs w:val="32"/>
        </w:rPr>
        <w:t>（三）一般公共预算财政拨款支出决算具体情况</w:t>
      </w:r>
      <w:bookmarkEnd w:id="41"/>
    </w:p>
    <w:p w14:paraId="5E84460E">
      <w:pPr>
        <w:spacing w:line="600" w:lineRule="exact"/>
        <w:ind w:firstLine="640"/>
        <w:rPr>
          <w:rFonts w:eastAsia="仿宋_GB2312" w:cs="仿宋_GB2312"/>
          <w:b w:val="0"/>
          <w:bCs w:val="0"/>
          <w:sz w:val="32"/>
          <w:szCs w:val="32"/>
        </w:rPr>
      </w:pPr>
      <w:bookmarkStart w:id="42" w:name="_Toc15378460"/>
      <w:bookmarkStart w:id="43" w:name="_Toc15377213"/>
      <w:bookmarkStart w:id="44" w:name="_Toc15377444"/>
      <w:r>
        <w:rPr>
          <w:rFonts w:hint="eastAsia" w:eastAsia="仿宋_GB2312" w:cs="仿宋_GB2312"/>
          <w:b w:val="0"/>
          <w:bCs w:val="0"/>
          <w:sz w:val="32"/>
          <w:szCs w:val="32"/>
        </w:rPr>
        <w:t>2024年度一般公共预算财政拨款支出决算数为338.54万元</w:t>
      </w:r>
      <w:r>
        <w:rPr>
          <w:rFonts w:hint="eastAsia" w:ascii="仿宋_GB2312" w:hAnsi="仿宋_GB2312" w:eastAsia="仿宋_GB2312" w:cs="仿宋_GB2312"/>
          <w:b w:val="0"/>
          <w:bCs w:val="0"/>
          <w:sz w:val="32"/>
          <w:szCs w:val="32"/>
        </w:rPr>
        <w:t>，</w:t>
      </w:r>
      <w:r>
        <w:rPr>
          <w:rFonts w:hint="eastAsia" w:eastAsia="仿宋_GB2312" w:cs="仿宋_GB2312"/>
          <w:b w:val="0"/>
          <w:bCs w:val="0"/>
          <w:sz w:val="32"/>
          <w:szCs w:val="32"/>
        </w:rPr>
        <w:t>完成预算</w:t>
      </w:r>
      <w:r>
        <w:rPr>
          <w:rFonts w:hint="eastAsia" w:ascii="仿宋" w:hAnsi="仿宋" w:eastAsia="仿宋"/>
          <w:b w:val="0"/>
          <w:bCs w:val="0"/>
          <w:sz w:val="32"/>
          <w:szCs w:val="32"/>
        </w:rPr>
        <w:t>90.36</w:t>
      </w:r>
      <w:r>
        <w:rPr>
          <w:rFonts w:hint="eastAsia" w:eastAsia="仿宋_GB2312" w:cs="仿宋_GB2312"/>
          <w:b w:val="0"/>
          <w:bCs w:val="0"/>
          <w:sz w:val="32"/>
          <w:szCs w:val="32"/>
        </w:rPr>
        <w:t>%。其中：</w:t>
      </w:r>
      <w:bookmarkEnd w:id="42"/>
      <w:bookmarkEnd w:id="43"/>
      <w:bookmarkEnd w:id="44"/>
    </w:p>
    <w:p w14:paraId="13807D8D">
      <w:pPr>
        <w:spacing w:line="600" w:lineRule="exact"/>
        <w:ind w:firstLine="640" w:firstLineChars="200"/>
        <w:rPr>
          <w:rFonts w:hint="eastAsia" w:ascii="仿宋" w:hAnsi="仿宋" w:eastAsia="仿宋"/>
          <w:b w:val="0"/>
          <w:bCs w:val="0"/>
          <w:sz w:val="32"/>
          <w:szCs w:val="32"/>
        </w:rPr>
      </w:pPr>
      <w:r>
        <w:rPr>
          <w:rFonts w:hint="eastAsia" w:eastAsia="仿宋_GB2312" w:cs="仿宋_GB2312"/>
          <w:b w:val="0"/>
          <w:bCs w:val="0"/>
          <w:sz w:val="32"/>
          <w:szCs w:val="32"/>
        </w:rPr>
        <w:t>1.一般公共服务（类）</w:t>
      </w:r>
      <w:r>
        <w:rPr>
          <w:rStyle w:val="18"/>
          <w:rFonts w:hint="eastAsia" w:ascii="仿宋" w:hAnsi="仿宋" w:eastAsia="仿宋"/>
          <w:b w:val="0"/>
          <w:bCs w:val="0"/>
          <w:sz w:val="32"/>
          <w:szCs w:val="32"/>
        </w:rPr>
        <w:t>知识产权事务</w:t>
      </w:r>
      <w:r>
        <w:rPr>
          <w:rFonts w:hint="eastAsia" w:eastAsia="仿宋_GB2312" w:cs="仿宋_GB2312"/>
          <w:b w:val="0"/>
          <w:bCs w:val="0"/>
          <w:sz w:val="32"/>
          <w:szCs w:val="32"/>
        </w:rPr>
        <w:t>（款）</w:t>
      </w:r>
      <w:r>
        <w:rPr>
          <w:rStyle w:val="18"/>
          <w:rFonts w:hint="eastAsia" w:ascii="仿宋" w:hAnsi="仿宋" w:eastAsia="仿宋"/>
          <w:b w:val="0"/>
          <w:bCs w:val="0"/>
          <w:sz w:val="32"/>
          <w:szCs w:val="32"/>
        </w:rPr>
        <w:t>行政运行</w:t>
      </w:r>
      <w:r>
        <w:rPr>
          <w:rFonts w:hint="eastAsia" w:eastAsia="仿宋_GB2312" w:cs="仿宋_GB2312"/>
          <w:b w:val="0"/>
          <w:bCs w:val="0"/>
          <w:sz w:val="32"/>
          <w:szCs w:val="32"/>
        </w:rPr>
        <w:t>（项）：支出决算为171.72万元，完成预算100%</w:t>
      </w:r>
      <w:r>
        <w:rPr>
          <w:rFonts w:hint="eastAsia" w:eastAsia="仿宋_GB2312" w:cs="仿宋_GB2312"/>
          <w:b w:val="0"/>
          <w:bCs w:val="0"/>
          <w:sz w:val="32"/>
          <w:szCs w:val="32"/>
          <w:lang w:eastAsia="zh-CN"/>
        </w:rPr>
        <w:t xml:space="preserve">。 </w:t>
      </w:r>
      <w:r>
        <w:rPr>
          <w:rStyle w:val="18"/>
          <w:rFonts w:hint="eastAsia" w:ascii="仿宋" w:hAnsi="仿宋" w:eastAsia="仿宋"/>
          <w:b w:val="0"/>
          <w:bCs w:val="0"/>
          <w:sz w:val="32"/>
          <w:szCs w:val="32"/>
        </w:rPr>
        <w:t>一般公共服务（类）知识产权事务（款）其他知识产权事务支出（项）</w:t>
      </w:r>
      <w:r>
        <w:rPr>
          <w:rStyle w:val="18"/>
          <w:rFonts w:ascii="仿宋" w:hAnsi="仿宋" w:eastAsia="仿宋"/>
          <w:b w:val="0"/>
          <w:bCs w:val="0"/>
          <w:sz w:val="32"/>
          <w:szCs w:val="32"/>
        </w:rPr>
        <w:t xml:space="preserve">: </w:t>
      </w:r>
      <w:r>
        <w:rPr>
          <w:rStyle w:val="18"/>
          <w:rFonts w:hint="eastAsia" w:ascii="仿宋" w:hAnsi="仿宋" w:eastAsia="仿宋"/>
          <w:b w:val="0"/>
          <w:bCs w:val="0"/>
          <w:sz w:val="32"/>
          <w:szCs w:val="32"/>
        </w:rPr>
        <w:t>支出决算为96万元，完成预算73.28</w:t>
      </w:r>
      <w:r>
        <w:rPr>
          <w:rStyle w:val="18"/>
          <w:rFonts w:ascii="仿宋" w:hAnsi="仿宋" w:eastAsia="仿宋"/>
          <w:b w:val="0"/>
          <w:bCs w:val="0"/>
          <w:sz w:val="32"/>
          <w:szCs w:val="32"/>
        </w:rPr>
        <w:t>%</w:t>
      </w:r>
      <w:r>
        <w:rPr>
          <w:rStyle w:val="18"/>
          <w:rFonts w:hint="eastAsia" w:ascii="仿宋" w:hAnsi="仿宋" w:eastAsia="仿宋"/>
          <w:b w:val="0"/>
          <w:bCs w:val="0"/>
          <w:sz w:val="32"/>
          <w:szCs w:val="32"/>
          <w:lang w:eastAsia="zh-CN"/>
        </w:rPr>
        <w:t>。</w:t>
      </w:r>
      <w:r>
        <w:rPr>
          <w:rStyle w:val="18"/>
          <w:rFonts w:hint="eastAsia" w:ascii="仿宋" w:hAnsi="仿宋" w:eastAsia="仿宋"/>
          <w:b w:val="0"/>
          <w:bCs w:val="0"/>
          <w:sz w:val="32"/>
          <w:szCs w:val="32"/>
        </w:rPr>
        <w:t>决算数小于预算数的主要原因是2024年省市场监管专项资金10万元未支付，大中型房屋维修-办公用房搬迁调整维修维护费25万元未支付，结转到2025年支付。</w:t>
      </w:r>
    </w:p>
    <w:p w14:paraId="63442A4A">
      <w:pPr>
        <w:spacing w:line="600" w:lineRule="exact"/>
        <w:ind w:firstLine="640"/>
        <w:rPr>
          <w:rFonts w:hint="eastAsia" w:eastAsia="仿宋_GB2312" w:cs="仿宋_GB2312"/>
          <w:b w:val="0"/>
          <w:bCs w:val="0"/>
          <w:sz w:val="32"/>
          <w:szCs w:val="32"/>
          <w:lang w:eastAsia="zh-CN"/>
        </w:rPr>
      </w:pPr>
      <w:r>
        <w:rPr>
          <w:rFonts w:hint="eastAsia" w:eastAsia="仿宋_GB2312" w:cs="仿宋_GB2312"/>
          <w:b w:val="0"/>
          <w:bCs w:val="0"/>
          <w:sz w:val="32"/>
          <w:szCs w:val="32"/>
        </w:rPr>
        <w:t>2.社会保障和就业（类）社会保障就业支出（款）行政机关事业单位基本养老保险缴费支出（项）：支出决算为16.42万元，完成预算100%，</w:t>
      </w:r>
      <w:r>
        <w:rPr>
          <w:rFonts w:hint="eastAsia" w:eastAsia="仿宋_GB2312" w:cs="仿宋_GB2312"/>
          <w:b w:val="0"/>
          <w:bCs w:val="0"/>
          <w:sz w:val="32"/>
          <w:szCs w:val="32"/>
          <w:lang w:eastAsia="zh-CN"/>
        </w:rPr>
        <w:t xml:space="preserve"> </w:t>
      </w:r>
      <w:r>
        <w:rPr>
          <w:rFonts w:hint="eastAsia" w:eastAsia="仿宋_GB2312" w:cs="仿宋_GB2312"/>
          <w:b w:val="0"/>
          <w:bCs w:val="0"/>
          <w:sz w:val="32"/>
          <w:szCs w:val="32"/>
        </w:rPr>
        <w:t>社会保障和就业（类）社会保障就业支出（款）行政机关事业单位职业年金缴费支出（项）：支出决算为8.21万元，完成预算100%，</w:t>
      </w:r>
      <w:r>
        <w:rPr>
          <w:rFonts w:hint="eastAsia" w:eastAsia="仿宋_GB2312" w:cs="仿宋_GB2312"/>
          <w:b w:val="0"/>
          <w:bCs w:val="0"/>
          <w:sz w:val="32"/>
          <w:szCs w:val="32"/>
          <w:lang w:eastAsia="zh-CN"/>
        </w:rPr>
        <w:t xml:space="preserve"> </w:t>
      </w:r>
      <w:r>
        <w:rPr>
          <w:rFonts w:hint="eastAsia" w:eastAsia="仿宋_GB2312" w:cs="仿宋_GB2312"/>
          <w:b w:val="0"/>
          <w:bCs w:val="0"/>
          <w:sz w:val="32"/>
          <w:szCs w:val="32"/>
        </w:rPr>
        <w:t>社会保障和就业（类）社会保障就业支出（款）死亡抚恤（项）：支出决算为24.76万元，完成预算100%，</w:t>
      </w:r>
      <w:r>
        <w:rPr>
          <w:rFonts w:hint="eastAsia" w:eastAsia="仿宋_GB2312" w:cs="仿宋_GB2312"/>
          <w:b w:val="0"/>
          <w:bCs w:val="0"/>
          <w:sz w:val="32"/>
          <w:szCs w:val="32"/>
          <w:lang w:eastAsia="zh-CN"/>
        </w:rPr>
        <w:t xml:space="preserve"> </w:t>
      </w:r>
      <w:r>
        <w:rPr>
          <w:rFonts w:hint="eastAsia" w:eastAsia="仿宋_GB2312" w:cs="仿宋_GB2312"/>
          <w:b w:val="0"/>
          <w:bCs w:val="0"/>
          <w:sz w:val="32"/>
          <w:szCs w:val="32"/>
        </w:rPr>
        <w:t>社会保障和就业（类）社会保障就业支出（款）其他社会保障和就业支出（项）：支出决算为1.3万元，完成预算100%</w:t>
      </w:r>
      <w:r>
        <w:rPr>
          <w:rFonts w:hint="eastAsia" w:eastAsia="仿宋_GB2312" w:cs="仿宋_GB2312"/>
          <w:b w:val="0"/>
          <w:bCs w:val="0"/>
          <w:sz w:val="32"/>
          <w:szCs w:val="32"/>
          <w:lang w:eastAsia="zh-CN"/>
        </w:rPr>
        <w:t>。</w:t>
      </w:r>
    </w:p>
    <w:p w14:paraId="4917527E">
      <w:pPr>
        <w:spacing w:line="600" w:lineRule="exact"/>
        <w:ind w:firstLine="640"/>
        <w:rPr>
          <w:rFonts w:hint="eastAsia" w:eastAsia="仿宋_GB2312" w:cs="仿宋_GB2312"/>
          <w:b w:val="0"/>
          <w:bCs w:val="0"/>
          <w:sz w:val="32"/>
          <w:szCs w:val="32"/>
          <w:lang w:eastAsia="zh-CN"/>
        </w:rPr>
      </w:pPr>
      <w:r>
        <w:rPr>
          <w:rFonts w:hint="eastAsia" w:eastAsia="仿宋_GB2312" w:cs="仿宋_GB2312"/>
          <w:b w:val="0"/>
          <w:bCs w:val="0"/>
          <w:sz w:val="32"/>
          <w:szCs w:val="32"/>
          <w:lang w:val="en-US" w:eastAsia="zh-CN"/>
        </w:rPr>
        <w:t>3</w:t>
      </w:r>
      <w:r>
        <w:rPr>
          <w:rFonts w:hint="eastAsia" w:eastAsia="仿宋_GB2312" w:cs="仿宋_GB2312"/>
          <w:b w:val="0"/>
          <w:bCs w:val="0"/>
          <w:sz w:val="32"/>
          <w:szCs w:val="32"/>
        </w:rPr>
        <w:t>.卫生健康（类）卫生健康支出（款）行政单位医疗（项）：支出决算为4.66万元，完成预算100%，</w:t>
      </w:r>
      <w:r>
        <w:rPr>
          <w:rFonts w:hint="eastAsia" w:eastAsia="仿宋_GB2312" w:cs="仿宋_GB2312"/>
          <w:b w:val="0"/>
          <w:bCs w:val="0"/>
          <w:sz w:val="32"/>
          <w:szCs w:val="32"/>
          <w:lang w:eastAsia="zh-CN"/>
        </w:rPr>
        <w:t xml:space="preserve"> </w:t>
      </w:r>
      <w:r>
        <w:rPr>
          <w:rFonts w:hint="eastAsia" w:eastAsia="仿宋_GB2312" w:cs="仿宋_GB2312"/>
          <w:b w:val="0"/>
          <w:bCs w:val="0"/>
          <w:sz w:val="32"/>
          <w:szCs w:val="32"/>
        </w:rPr>
        <w:t>卫生健康（类）卫生健康支出（款）公务员医疗补助（项）：支出决算为0.81万元，完成预算100%</w:t>
      </w:r>
      <w:r>
        <w:rPr>
          <w:rFonts w:hint="eastAsia" w:eastAsia="仿宋_GB2312" w:cs="仿宋_GB2312"/>
          <w:b w:val="0"/>
          <w:bCs w:val="0"/>
          <w:sz w:val="32"/>
          <w:szCs w:val="32"/>
          <w:lang w:eastAsia="zh-CN"/>
        </w:rPr>
        <w:t>。</w:t>
      </w:r>
    </w:p>
    <w:p w14:paraId="1EC47E0C">
      <w:pPr>
        <w:spacing w:line="600" w:lineRule="exact"/>
        <w:ind w:firstLine="640" w:firstLineChars="200"/>
        <w:rPr>
          <w:rStyle w:val="18"/>
          <w:rFonts w:hint="eastAsia" w:ascii="仿宋" w:hAnsi="仿宋" w:eastAsia="仿宋"/>
          <w:b w:val="0"/>
          <w:bCs w:val="0"/>
          <w:sz w:val="32"/>
          <w:szCs w:val="32"/>
          <w:lang w:val="en-US" w:eastAsia="zh-CN"/>
        </w:rPr>
      </w:pPr>
      <w:r>
        <w:rPr>
          <w:rStyle w:val="18"/>
          <w:rFonts w:hint="eastAsia" w:ascii="仿宋" w:hAnsi="仿宋" w:eastAsia="仿宋"/>
          <w:b w:val="0"/>
          <w:bCs w:val="0"/>
          <w:sz w:val="32"/>
          <w:szCs w:val="32"/>
        </w:rPr>
        <w:t>7</w:t>
      </w:r>
      <w:r>
        <w:rPr>
          <w:rStyle w:val="18"/>
          <w:rFonts w:ascii="仿宋" w:hAnsi="仿宋" w:eastAsia="仿宋"/>
          <w:b w:val="0"/>
          <w:bCs w:val="0"/>
          <w:sz w:val="32"/>
          <w:szCs w:val="32"/>
        </w:rPr>
        <w:t>.</w:t>
      </w:r>
      <w:r>
        <w:rPr>
          <w:rStyle w:val="18"/>
          <w:rFonts w:hint="eastAsia" w:ascii="仿宋" w:hAnsi="仿宋" w:eastAsia="仿宋"/>
          <w:b w:val="0"/>
          <w:bCs w:val="0"/>
          <w:sz w:val="32"/>
          <w:szCs w:val="32"/>
        </w:rPr>
        <w:t>住房保障（类）住房改革支出（款）住房公积金（项）</w:t>
      </w:r>
      <w:r>
        <w:rPr>
          <w:rStyle w:val="18"/>
          <w:rFonts w:ascii="仿宋" w:hAnsi="仿宋" w:eastAsia="仿宋"/>
          <w:b w:val="0"/>
          <w:bCs w:val="0"/>
          <w:sz w:val="32"/>
          <w:szCs w:val="32"/>
        </w:rPr>
        <w:t>:</w:t>
      </w:r>
      <w:r>
        <w:rPr>
          <w:rStyle w:val="18"/>
          <w:rFonts w:hint="eastAsia" w:ascii="仿宋" w:hAnsi="仿宋" w:eastAsia="仿宋"/>
          <w:b w:val="0"/>
          <w:bCs w:val="0"/>
          <w:sz w:val="32"/>
          <w:szCs w:val="32"/>
        </w:rPr>
        <w:t>支出决算为14.66万元，完成预算100</w:t>
      </w:r>
      <w:r>
        <w:rPr>
          <w:rStyle w:val="18"/>
          <w:rFonts w:ascii="仿宋" w:hAnsi="仿宋" w:eastAsia="仿宋"/>
          <w:b w:val="0"/>
          <w:bCs w:val="0"/>
          <w:sz w:val="32"/>
          <w:szCs w:val="32"/>
        </w:rPr>
        <w:t>%</w:t>
      </w:r>
      <w:r>
        <w:rPr>
          <w:rStyle w:val="18"/>
          <w:rFonts w:hint="eastAsia" w:ascii="仿宋" w:hAnsi="仿宋" w:eastAsia="仿宋"/>
          <w:b w:val="0"/>
          <w:bCs w:val="0"/>
          <w:sz w:val="32"/>
          <w:szCs w:val="32"/>
          <w:lang w:eastAsia="zh-CN"/>
        </w:rPr>
        <w:t>。</w:t>
      </w:r>
    </w:p>
    <w:p w14:paraId="732456C4">
      <w:pPr>
        <w:pStyle w:val="14"/>
        <w:rPr>
          <w:b w:val="0"/>
          <w:bCs w:val="0"/>
        </w:rPr>
      </w:pPr>
    </w:p>
    <w:p w14:paraId="5421972F">
      <w:pPr>
        <w:tabs>
          <w:tab w:val="right" w:pos="8306"/>
        </w:tabs>
        <w:spacing w:line="600" w:lineRule="exact"/>
        <w:ind w:firstLine="640"/>
        <w:outlineLvl w:val="0"/>
        <w:rPr>
          <w:rStyle w:val="29"/>
          <w:rFonts w:ascii="Times New Roman" w:hAnsi="Times New Roman"/>
          <w:b w:val="0"/>
          <w:bCs w:val="0"/>
        </w:rPr>
      </w:pPr>
      <w:bookmarkStart w:id="45" w:name="_Toc15396608"/>
      <w:bookmarkStart w:id="46" w:name="_Toc15377214"/>
      <w:bookmarkStart w:id="47" w:name="_Toc13340"/>
      <w:r>
        <w:rPr>
          <w:rFonts w:hint="eastAsia" w:eastAsia="黑体"/>
          <w:b w:val="0"/>
          <w:bCs w:val="0"/>
          <w:sz w:val="32"/>
          <w:szCs w:val="32"/>
        </w:rPr>
        <w:t>六、一</w:t>
      </w:r>
      <w:r>
        <w:rPr>
          <w:rStyle w:val="29"/>
          <w:rFonts w:hint="eastAsia" w:ascii="Times New Roman" w:hAnsi="Times New Roman" w:eastAsia="黑体"/>
          <w:b w:val="0"/>
          <w:bCs w:val="0"/>
        </w:rPr>
        <w:t>般公共预算财政拨款基本支出决算情况说明</w:t>
      </w:r>
      <w:bookmarkEnd w:id="45"/>
      <w:bookmarkEnd w:id="46"/>
      <w:bookmarkEnd w:id="47"/>
      <w:r>
        <w:rPr>
          <w:rStyle w:val="29"/>
          <w:rFonts w:ascii="Times New Roman" w:hAnsi="Times New Roman" w:eastAsia="黑体"/>
          <w:b w:val="0"/>
          <w:bCs w:val="0"/>
        </w:rPr>
        <w:tab/>
      </w:r>
    </w:p>
    <w:p w14:paraId="27B1DB30">
      <w:pPr>
        <w:spacing w:line="600" w:lineRule="exact"/>
        <w:ind w:firstLine="640"/>
        <w:rPr>
          <w:rFonts w:eastAsia="仿宋_GB2312" w:cs="仿宋_GB2312"/>
          <w:b w:val="0"/>
          <w:bCs w:val="0"/>
          <w:sz w:val="32"/>
          <w:szCs w:val="32"/>
        </w:rPr>
      </w:pPr>
      <w:r>
        <w:rPr>
          <w:rFonts w:hint="eastAsia" w:eastAsia="仿宋_GB2312" w:cs="仿宋_GB2312"/>
          <w:b w:val="0"/>
          <w:bCs w:val="0"/>
          <w:sz w:val="32"/>
          <w:szCs w:val="32"/>
        </w:rPr>
        <w:t>2024年度一般公共预算财政拨款基本支出242.54</w:t>
      </w:r>
      <w:r>
        <w:rPr>
          <w:rFonts w:hint="eastAsia" w:ascii="仿宋_GB2312" w:hAnsi="仿宋_GB2312" w:eastAsia="仿宋_GB2312" w:cs="仿宋_GB2312"/>
          <w:b w:val="0"/>
          <w:bCs w:val="0"/>
          <w:sz w:val="32"/>
          <w:szCs w:val="32"/>
        </w:rPr>
        <w:t>万</w:t>
      </w:r>
      <w:r>
        <w:rPr>
          <w:rFonts w:hint="eastAsia" w:eastAsia="仿宋_GB2312" w:cs="仿宋_GB2312"/>
          <w:b w:val="0"/>
          <w:bCs w:val="0"/>
          <w:sz w:val="32"/>
          <w:szCs w:val="32"/>
        </w:rPr>
        <w:t>元，其中：</w:t>
      </w:r>
    </w:p>
    <w:p w14:paraId="6D32969A">
      <w:pPr>
        <w:spacing w:line="600" w:lineRule="exact"/>
        <w:ind w:firstLine="640"/>
        <w:rPr>
          <w:b w:val="0"/>
          <w:bCs w:val="0"/>
        </w:rPr>
      </w:pPr>
      <w:r>
        <w:rPr>
          <w:rFonts w:hint="eastAsia" w:eastAsia="仿宋_GB2312" w:cs="仿宋_GB2312"/>
          <w:b w:val="0"/>
          <w:bCs w:val="0"/>
          <w:sz w:val="32"/>
          <w:szCs w:val="32"/>
        </w:rPr>
        <w:t>人员经费213.71</w:t>
      </w:r>
      <w:r>
        <w:rPr>
          <w:rFonts w:hint="eastAsia" w:ascii="仿宋_GB2312" w:hAnsi="仿宋_GB2312" w:eastAsia="仿宋_GB2312" w:cs="仿宋_GB2312"/>
          <w:b w:val="0"/>
          <w:bCs w:val="0"/>
          <w:sz w:val="32"/>
          <w:szCs w:val="32"/>
        </w:rPr>
        <w:t>万</w:t>
      </w:r>
      <w:r>
        <w:rPr>
          <w:rFonts w:hint="eastAsia" w:eastAsia="仿宋_GB2312" w:cs="仿宋_GB2312"/>
          <w:b w:val="0"/>
          <w:bCs w:val="0"/>
          <w:sz w:val="32"/>
          <w:szCs w:val="32"/>
        </w:rPr>
        <w:t>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hint="eastAsia" w:eastAsia="仿宋_GB2312" w:cs="仿宋_GB2312"/>
          <w:b w:val="0"/>
          <w:bCs w:val="0"/>
          <w:sz w:val="32"/>
          <w:szCs w:val="32"/>
        </w:rPr>
        <w:br w:type="textWrapping"/>
      </w:r>
      <w:r>
        <w:rPr>
          <w:rFonts w:hint="eastAsia" w:eastAsia="仿宋_GB2312" w:cs="仿宋_GB2312"/>
          <w:b w:val="0"/>
          <w:bCs w:val="0"/>
          <w:sz w:val="32"/>
          <w:szCs w:val="32"/>
        </w:rPr>
        <w:t>　　公用经费28.83</w:t>
      </w:r>
      <w:r>
        <w:rPr>
          <w:rFonts w:hint="eastAsia" w:ascii="仿宋_GB2312" w:hAnsi="仿宋_GB2312" w:eastAsia="仿宋_GB2312" w:cs="仿宋_GB2312"/>
          <w:b w:val="0"/>
          <w:bCs w:val="0"/>
          <w:sz w:val="32"/>
          <w:szCs w:val="32"/>
        </w:rPr>
        <w:t>万</w:t>
      </w:r>
      <w:r>
        <w:rPr>
          <w:rFonts w:hint="eastAsia" w:eastAsia="仿宋_GB2312" w:cs="仿宋_GB2312"/>
          <w:b w:val="0"/>
          <w:bCs w:val="0"/>
          <w:sz w:val="32"/>
          <w:szCs w:val="32"/>
        </w:rPr>
        <w:t>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14:paraId="48C88DCD">
      <w:pPr>
        <w:pStyle w:val="14"/>
        <w:rPr>
          <w:b w:val="0"/>
          <w:bCs w:val="0"/>
        </w:rPr>
      </w:pPr>
    </w:p>
    <w:p w14:paraId="50F4D50D">
      <w:pPr>
        <w:spacing w:line="600" w:lineRule="exact"/>
        <w:ind w:firstLine="640"/>
        <w:outlineLvl w:val="0"/>
        <w:rPr>
          <w:rStyle w:val="29"/>
          <w:rFonts w:ascii="Times New Roman" w:hAnsi="Times New Roman" w:eastAsia="黑体"/>
          <w:b w:val="0"/>
          <w:bCs w:val="0"/>
        </w:rPr>
      </w:pPr>
      <w:bookmarkStart w:id="48" w:name="_Toc15377215"/>
      <w:bookmarkStart w:id="49" w:name="_Toc15396609"/>
      <w:bookmarkStart w:id="50" w:name="_Toc7891"/>
      <w:r>
        <w:rPr>
          <w:rFonts w:hint="eastAsia" w:eastAsia="黑体"/>
          <w:b w:val="0"/>
          <w:bCs w:val="0"/>
          <w:sz w:val="32"/>
          <w:szCs w:val="32"/>
        </w:rPr>
        <w:t>七、</w:t>
      </w:r>
      <w:r>
        <w:rPr>
          <w:rStyle w:val="29"/>
          <w:rFonts w:hint="eastAsia" w:ascii="Times New Roman" w:hAnsi="Times New Roman" w:eastAsia="黑体"/>
          <w:b w:val="0"/>
          <w:bCs w:val="0"/>
        </w:rPr>
        <w:t>财政拨款“三公”经费支出决算情况说明</w:t>
      </w:r>
      <w:bookmarkEnd w:id="48"/>
      <w:bookmarkEnd w:id="49"/>
      <w:bookmarkEnd w:id="50"/>
    </w:p>
    <w:p w14:paraId="5B9E3CEC">
      <w:pPr>
        <w:spacing w:line="600" w:lineRule="exact"/>
        <w:ind w:firstLine="640" w:firstLineChars="200"/>
        <w:outlineLvl w:val="1"/>
        <w:rPr>
          <w:rFonts w:eastAsia="楷体_GB2312" w:cs="楷体_GB2312"/>
          <w:b w:val="0"/>
          <w:bCs w:val="0"/>
          <w:sz w:val="32"/>
          <w:szCs w:val="32"/>
        </w:rPr>
      </w:pPr>
      <w:bookmarkStart w:id="51" w:name="_Toc15377216"/>
      <w:r>
        <w:rPr>
          <w:rFonts w:hint="eastAsia" w:eastAsia="楷体_GB2312" w:cs="楷体_GB2312"/>
          <w:b w:val="0"/>
          <w:bCs w:val="0"/>
          <w:sz w:val="32"/>
          <w:szCs w:val="32"/>
        </w:rPr>
        <w:t>（一）“三公”经费财政拨款支出决算总体情况说明</w:t>
      </w:r>
      <w:bookmarkEnd w:id="51"/>
    </w:p>
    <w:p w14:paraId="60940479">
      <w:pPr>
        <w:spacing w:line="600" w:lineRule="exact"/>
        <w:ind w:firstLine="640"/>
        <w:rPr>
          <w:rFonts w:hint="eastAsia" w:eastAsia="仿宋_GB2312" w:cs="仿宋_GB2312"/>
          <w:b w:val="0"/>
          <w:bCs w:val="0"/>
          <w:sz w:val="32"/>
          <w:szCs w:val="32"/>
          <w:lang w:eastAsia="zh-CN"/>
        </w:rPr>
      </w:pPr>
      <w:r>
        <w:rPr>
          <w:rFonts w:hint="eastAsia" w:eastAsia="仿宋_GB2312" w:cs="仿宋_GB2312"/>
          <w:b w:val="0"/>
          <w:bCs w:val="0"/>
          <w:sz w:val="32"/>
          <w:szCs w:val="32"/>
        </w:rPr>
        <w:t>2024年度“三公”经费财政拨款支出决算为0.14</w:t>
      </w:r>
      <w:r>
        <w:rPr>
          <w:rFonts w:hint="eastAsia" w:ascii="仿宋_GB2312" w:hAnsi="仿宋_GB2312" w:eastAsia="仿宋_GB2312" w:cs="仿宋_GB2312"/>
          <w:b w:val="0"/>
          <w:bCs w:val="0"/>
          <w:sz w:val="32"/>
          <w:szCs w:val="32"/>
        </w:rPr>
        <w:t>万元，完成预算</w:t>
      </w:r>
      <w:r>
        <w:rPr>
          <w:rFonts w:hint="eastAsia" w:ascii="仿宋" w:hAnsi="仿宋" w:eastAsia="仿宋"/>
          <w:b w:val="0"/>
          <w:bCs w:val="0"/>
          <w:sz w:val="32"/>
          <w:szCs w:val="32"/>
        </w:rPr>
        <w:t>100</w:t>
      </w:r>
      <w:r>
        <w:rPr>
          <w:rFonts w:hint="eastAsia" w:ascii="仿宋_GB2312" w:hAnsi="仿宋_GB2312" w:eastAsia="仿宋_GB2312" w:cs="仿宋_GB2312"/>
          <w:b w:val="0"/>
          <w:bCs w:val="0"/>
          <w:sz w:val="32"/>
          <w:szCs w:val="32"/>
        </w:rPr>
        <w:t>%，</w:t>
      </w:r>
      <w:r>
        <w:rPr>
          <w:rFonts w:hint="eastAsia" w:eastAsia="仿宋_GB2312" w:cs="仿宋_GB2312"/>
          <w:b w:val="0"/>
          <w:bCs w:val="0"/>
          <w:sz w:val="32"/>
          <w:szCs w:val="32"/>
        </w:rPr>
        <w:t>较上年度减少0.31万元，下降68.89%。决算数小于预算数的主要原因是</w:t>
      </w:r>
      <w:r>
        <w:rPr>
          <w:rFonts w:hint="eastAsia" w:eastAsia="仿宋_GB2312" w:cs="仿宋_GB2312"/>
          <w:b w:val="0"/>
          <w:bCs w:val="0"/>
          <w:sz w:val="32"/>
          <w:szCs w:val="32"/>
          <w:lang w:eastAsia="zh-CN"/>
        </w:rPr>
        <w:t>严格控制公务接待费支出。</w:t>
      </w:r>
    </w:p>
    <w:p w14:paraId="297C6E86">
      <w:pPr>
        <w:spacing w:line="600" w:lineRule="exact"/>
        <w:ind w:firstLine="640" w:firstLineChars="200"/>
        <w:outlineLvl w:val="1"/>
        <w:rPr>
          <w:rFonts w:eastAsia="楷体_GB2312" w:cs="楷体_GB2312"/>
          <w:b w:val="0"/>
          <w:bCs w:val="0"/>
          <w:sz w:val="32"/>
          <w:szCs w:val="32"/>
        </w:rPr>
      </w:pPr>
      <w:bookmarkStart w:id="52" w:name="_Toc15377217"/>
      <w:r>
        <w:rPr>
          <w:rFonts w:hint="eastAsia" w:eastAsia="楷体_GB2312" w:cs="楷体_GB2312"/>
          <w:b w:val="0"/>
          <w:bCs w:val="0"/>
          <w:sz w:val="32"/>
          <w:szCs w:val="32"/>
        </w:rPr>
        <w:t>（二）“三公”经费财政拨款支出决算具体情况说明</w:t>
      </w:r>
      <w:bookmarkEnd w:id="52"/>
    </w:p>
    <w:p w14:paraId="25A8D8FB">
      <w:pPr>
        <w:spacing w:line="600" w:lineRule="exact"/>
        <w:ind w:firstLine="64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2024年度“三公”经费财政拨款支出决算中，因公出国（境）费支出决算0万元，占0%；公务用车购置及运行维护费支出决算</w:t>
      </w:r>
      <w:r>
        <w:rPr>
          <w:rFonts w:hint="eastAsia" w:eastAsia="仿宋_GB2312" w:cs="仿宋_GB2312"/>
          <w:b w:val="0"/>
          <w:bCs w:val="0"/>
          <w:sz w:val="32"/>
          <w:szCs w:val="32"/>
        </w:rPr>
        <w:t>0</w:t>
      </w:r>
      <w:r>
        <w:rPr>
          <w:rFonts w:hint="eastAsia" w:ascii="仿宋_GB2312" w:hAnsi="仿宋_GB2312" w:eastAsia="仿宋_GB2312" w:cs="仿宋_GB2312"/>
          <w:b w:val="0"/>
          <w:bCs w:val="0"/>
          <w:sz w:val="32"/>
          <w:szCs w:val="32"/>
        </w:rPr>
        <w:t>万元，占0%；公务接待费支出决算</w:t>
      </w:r>
      <w:r>
        <w:rPr>
          <w:rFonts w:hint="eastAsia" w:eastAsia="仿宋_GB2312" w:cs="仿宋_GB2312"/>
          <w:b w:val="0"/>
          <w:bCs w:val="0"/>
          <w:sz w:val="32"/>
          <w:szCs w:val="32"/>
        </w:rPr>
        <w:t>0.14</w:t>
      </w:r>
      <w:r>
        <w:rPr>
          <w:rFonts w:hint="eastAsia" w:ascii="仿宋_GB2312" w:hAnsi="仿宋_GB2312" w:eastAsia="仿宋_GB2312" w:cs="仿宋_GB2312"/>
          <w:b w:val="0"/>
          <w:bCs w:val="0"/>
          <w:sz w:val="32"/>
          <w:szCs w:val="32"/>
        </w:rPr>
        <w:t xml:space="preserve">万元，占100%。具体情况如下： </w:t>
      </w:r>
    </w:p>
    <w:p w14:paraId="5998E7E7">
      <w:pPr>
        <w:pStyle w:val="14"/>
        <w:jc w:val="center"/>
        <w:rPr>
          <w:b w:val="0"/>
          <w:bCs w:val="0"/>
        </w:rPr>
      </w:pPr>
      <w:r>
        <w:rPr>
          <w:b w:val="0"/>
          <w:bCs w:val="0"/>
        </w:rPr>
        <w:drawing>
          <wp:inline distT="0" distB="0" distL="0" distR="0">
            <wp:extent cx="4572000" cy="2743200"/>
            <wp:effectExtent l="0" t="0" r="0" b="0"/>
            <wp:docPr id="2134866575"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06E9307B">
      <w:pPr>
        <w:pStyle w:val="8"/>
        <w:ind w:left="0" w:leftChars="0" w:firstLine="320" w:firstLineChars="100"/>
        <w:rPr>
          <w:rFonts w:hint="eastAsia" w:ascii="Times New Roman" w:hAnsi="Times New Roman" w:eastAsia="仿宋_GB2312" w:cs="仿宋_GB2312"/>
          <w:b w:val="0"/>
          <w:bCs w:val="0"/>
          <w:kern w:val="2"/>
          <w:sz w:val="32"/>
          <w:szCs w:val="32"/>
          <w:lang w:val="en-US" w:eastAsia="zh-CN" w:bidi="ar-SA"/>
        </w:rPr>
      </w:pPr>
      <w:r>
        <w:rPr>
          <w:rFonts w:hint="eastAsia" w:ascii="Times New Roman" w:hAnsi="Times New Roman" w:eastAsia="仿宋_GB2312" w:cs="仿宋_GB2312"/>
          <w:b w:val="0"/>
          <w:bCs w:val="0"/>
          <w:kern w:val="2"/>
          <w:sz w:val="32"/>
          <w:szCs w:val="32"/>
          <w:lang w:val="en-US" w:eastAsia="zh-CN" w:bidi="ar-SA"/>
        </w:rPr>
        <w:t>（图7：“三公”经费财政拨款支出结构）（饼状图）</w:t>
      </w:r>
    </w:p>
    <w:p w14:paraId="7D7B75FC">
      <w:pPr>
        <w:numPr>
          <w:ilvl w:val="0"/>
          <w:numId w:val="1"/>
        </w:numPr>
        <w:spacing w:line="600" w:lineRule="exact"/>
        <w:ind w:firstLine="640"/>
        <w:rPr>
          <w:rFonts w:hint="eastAsia" w:eastAsia="仿宋_GB2312" w:cs="仿宋_GB2312"/>
          <w:b w:val="0"/>
          <w:bCs w:val="0"/>
          <w:sz w:val="32"/>
          <w:szCs w:val="32"/>
        </w:rPr>
      </w:pPr>
      <w:r>
        <w:rPr>
          <w:rFonts w:hint="eastAsia" w:eastAsia="仿宋_GB2312" w:cs="仿宋_GB2312"/>
          <w:b w:val="0"/>
          <w:bCs w:val="0"/>
          <w:sz w:val="32"/>
          <w:szCs w:val="32"/>
        </w:rPr>
        <w:t>因公出国（境）经费支出0万元，完成预算0%。全年安排因公出国（境）团</w:t>
      </w:r>
      <w:r>
        <w:rPr>
          <w:rFonts w:hint="eastAsia" w:ascii="仿宋_GB2312" w:hAnsi="仿宋_GB2312" w:eastAsia="仿宋_GB2312" w:cs="仿宋_GB2312"/>
          <w:b w:val="0"/>
          <w:bCs w:val="0"/>
          <w:sz w:val="32"/>
          <w:szCs w:val="32"/>
        </w:rPr>
        <w:t>组0</w:t>
      </w:r>
      <w:r>
        <w:rPr>
          <w:rFonts w:hint="eastAsia" w:eastAsia="仿宋_GB2312" w:cs="仿宋_GB2312"/>
          <w:b w:val="0"/>
          <w:bCs w:val="0"/>
          <w:sz w:val="32"/>
          <w:szCs w:val="32"/>
        </w:rPr>
        <w:t>次，出国（境）</w:t>
      </w:r>
      <w:r>
        <w:rPr>
          <w:rFonts w:hint="eastAsia" w:ascii="仿宋_GB2312" w:hAnsi="仿宋_GB2312" w:eastAsia="仿宋_GB2312" w:cs="仿宋_GB2312"/>
          <w:b w:val="0"/>
          <w:bCs w:val="0"/>
          <w:sz w:val="32"/>
          <w:szCs w:val="32"/>
        </w:rPr>
        <w:t>0人</w:t>
      </w:r>
      <w:r>
        <w:rPr>
          <w:rFonts w:hint="eastAsia" w:eastAsia="仿宋_GB2312" w:cs="仿宋_GB2312"/>
          <w:b w:val="0"/>
          <w:bCs w:val="0"/>
          <w:sz w:val="32"/>
          <w:szCs w:val="32"/>
        </w:rPr>
        <w:t>。因公出国（境）支出决算比2023年增加/减少0万元，增长0%。</w:t>
      </w:r>
    </w:p>
    <w:p w14:paraId="2186D375">
      <w:pPr>
        <w:numPr>
          <w:ilvl w:val="0"/>
          <w:numId w:val="0"/>
        </w:numPr>
        <w:spacing w:line="600" w:lineRule="exact"/>
        <w:ind w:firstLine="640" w:firstLineChars="200"/>
        <w:rPr>
          <w:rFonts w:eastAsia="仿宋_GB2312" w:cs="仿宋_GB2312"/>
          <w:b w:val="0"/>
          <w:bCs w:val="0"/>
          <w:sz w:val="32"/>
          <w:szCs w:val="32"/>
        </w:rPr>
      </w:pPr>
      <w:r>
        <w:rPr>
          <w:rFonts w:hint="eastAsia" w:eastAsia="仿宋_GB2312" w:cs="仿宋_GB2312"/>
          <w:b w:val="0"/>
          <w:bCs w:val="0"/>
          <w:sz w:val="32"/>
          <w:szCs w:val="32"/>
        </w:rPr>
        <w:t>2.公务用车购置及运行维护费支出0</w:t>
      </w:r>
      <w:r>
        <w:rPr>
          <w:rFonts w:hint="eastAsia" w:ascii="仿宋_GB2312" w:hAnsi="仿宋_GB2312" w:eastAsia="仿宋_GB2312" w:cs="仿宋_GB2312"/>
          <w:b w:val="0"/>
          <w:bCs w:val="0"/>
          <w:sz w:val="32"/>
          <w:szCs w:val="32"/>
        </w:rPr>
        <w:t>万</w:t>
      </w:r>
      <w:r>
        <w:rPr>
          <w:rFonts w:hint="eastAsia" w:eastAsia="仿宋_GB2312" w:cs="仿宋_GB2312"/>
          <w:b w:val="0"/>
          <w:bCs w:val="0"/>
          <w:sz w:val="32"/>
          <w:szCs w:val="32"/>
        </w:rPr>
        <w:t>元，完成预算0%。公务用车购置及运行维护费支出决算比2023年度增加/减少0万元，增长/下降0%。</w:t>
      </w:r>
    </w:p>
    <w:p w14:paraId="4C6AF08B">
      <w:pPr>
        <w:spacing w:line="600" w:lineRule="exact"/>
        <w:ind w:firstLine="640"/>
        <w:rPr>
          <w:rFonts w:eastAsia="仿宋_GB2312" w:cs="仿宋_GB2312"/>
          <w:b w:val="0"/>
          <w:bCs w:val="0"/>
          <w:sz w:val="32"/>
          <w:szCs w:val="32"/>
        </w:rPr>
      </w:pPr>
      <w:r>
        <w:rPr>
          <w:rFonts w:hint="eastAsia" w:eastAsia="仿宋_GB2312" w:cs="仿宋_GB2312"/>
          <w:b w:val="0"/>
          <w:bCs w:val="0"/>
          <w:sz w:val="32"/>
          <w:szCs w:val="32"/>
        </w:rPr>
        <w:t>其中：公务用车购置支</w:t>
      </w:r>
      <w:r>
        <w:rPr>
          <w:rFonts w:hint="eastAsia" w:ascii="仿宋_GB2312" w:hAnsi="仿宋_GB2312" w:eastAsia="仿宋_GB2312" w:cs="仿宋_GB2312"/>
          <w:b w:val="0"/>
          <w:bCs w:val="0"/>
          <w:sz w:val="32"/>
          <w:szCs w:val="32"/>
        </w:rPr>
        <w:t>出0万元</w:t>
      </w:r>
      <w:r>
        <w:rPr>
          <w:rFonts w:hint="eastAsia" w:eastAsia="仿宋_GB2312" w:cs="仿宋_GB2312"/>
          <w:b w:val="0"/>
          <w:bCs w:val="0"/>
          <w:sz w:val="32"/>
          <w:szCs w:val="32"/>
        </w:rPr>
        <w:t>。全年按规定更新购置公务用车0辆，其中：轿车0辆、金额0万元，越野车0辆、金额0万元，载客汽车0辆、金额0万元。截至2024年12月31日，单位共有公务用车0辆，其中：轿车0辆、越野车0辆、载客汽车0辆。</w:t>
      </w:r>
    </w:p>
    <w:p w14:paraId="3D9AD173">
      <w:pPr>
        <w:spacing w:line="600" w:lineRule="exact"/>
        <w:ind w:firstLine="640"/>
        <w:rPr>
          <w:rFonts w:eastAsia="仿宋_GB2312" w:cs="仿宋_GB2312"/>
          <w:b w:val="0"/>
          <w:bCs w:val="0"/>
          <w:sz w:val="32"/>
          <w:szCs w:val="32"/>
        </w:rPr>
      </w:pPr>
      <w:r>
        <w:rPr>
          <w:rFonts w:hint="eastAsia" w:eastAsia="仿宋_GB2312" w:cs="仿宋_GB2312"/>
          <w:b w:val="0"/>
          <w:bCs w:val="0"/>
          <w:sz w:val="32"/>
          <w:szCs w:val="32"/>
        </w:rPr>
        <w:t>公务用车运行维护费支</w:t>
      </w:r>
      <w:r>
        <w:rPr>
          <w:rFonts w:hint="eastAsia" w:ascii="仿宋_GB2312" w:hAnsi="仿宋_GB2312" w:eastAsia="仿宋_GB2312" w:cs="仿宋_GB2312"/>
          <w:b w:val="0"/>
          <w:bCs w:val="0"/>
          <w:sz w:val="32"/>
          <w:szCs w:val="32"/>
        </w:rPr>
        <w:t>出</w:t>
      </w:r>
      <w:r>
        <w:rPr>
          <w:rFonts w:hint="eastAsia" w:eastAsia="仿宋_GB2312" w:cs="仿宋_GB2312"/>
          <w:b w:val="0"/>
          <w:bCs w:val="0"/>
          <w:sz w:val="32"/>
          <w:szCs w:val="32"/>
        </w:rPr>
        <w:t>0万元。</w:t>
      </w:r>
    </w:p>
    <w:p w14:paraId="7761F128">
      <w:pPr>
        <w:spacing w:line="600" w:lineRule="exact"/>
        <w:ind w:firstLine="640"/>
        <w:rPr>
          <w:rFonts w:eastAsia="仿宋_GB2312" w:cs="仿宋_GB2312"/>
          <w:b w:val="0"/>
          <w:bCs w:val="0"/>
          <w:sz w:val="32"/>
          <w:szCs w:val="32"/>
        </w:rPr>
      </w:pPr>
      <w:r>
        <w:rPr>
          <w:rFonts w:hint="eastAsia" w:eastAsia="仿宋_GB2312" w:cs="仿宋_GB2312"/>
          <w:b w:val="0"/>
          <w:bCs w:val="0"/>
          <w:sz w:val="32"/>
          <w:szCs w:val="32"/>
        </w:rPr>
        <w:t>3.公务接待费支出0.14</w:t>
      </w:r>
      <w:r>
        <w:rPr>
          <w:rFonts w:hint="eastAsia" w:ascii="仿宋_GB2312" w:hAnsi="仿宋_GB2312" w:eastAsia="仿宋_GB2312" w:cs="仿宋_GB2312"/>
          <w:b w:val="0"/>
          <w:bCs w:val="0"/>
          <w:sz w:val="32"/>
          <w:szCs w:val="32"/>
        </w:rPr>
        <w:t>万</w:t>
      </w:r>
      <w:r>
        <w:rPr>
          <w:rFonts w:hint="eastAsia" w:eastAsia="仿宋_GB2312" w:cs="仿宋_GB2312"/>
          <w:b w:val="0"/>
          <w:bCs w:val="0"/>
          <w:sz w:val="32"/>
          <w:szCs w:val="32"/>
        </w:rPr>
        <w:t>元，完成预算100%。公务接待费支出决算比2023年度减少0.31万元，下降68.89%。主要原因是合理安排公务接待支出。其中：</w:t>
      </w:r>
    </w:p>
    <w:p w14:paraId="036D7735">
      <w:pPr>
        <w:spacing w:line="600" w:lineRule="exact"/>
        <w:ind w:firstLine="640"/>
        <w:rPr>
          <w:rFonts w:eastAsia="仿宋_GB2312" w:cs="仿宋_GB2312"/>
          <w:b w:val="0"/>
          <w:bCs w:val="0"/>
          <w:sz w:val="32"/>
          <w:szCs w:val="32"/>
        </w:rPr>
      </w:pPr>
      <w:r>
        <w:rPr>
          <w:rFonts w:hint="eastAsia" w:eastAsia="仿宋_GB2312" w:cs="仿宋_GB2312"/>
          <w:b w:val="0"/>
          <w:bCs w:val="0"/>
          <w:sz w:val="32"/>
          <w:szCs w:val="32"/>
        </w:rPr>
        <w:t>国内公务接待支</w:t>
      </w:r>
      <w:r>
        <w:rPr>
          <w:rFonts w:hint="eastAsia" w:ascii="仿宋_GB2312" w:hAnsi="仿宋_GB2312" w:eastAsia="仿宋_GB2312" w:cs="仿宋_GB2312"/>
          <w:b w:val="0"/>
          <w:bCs w:val="0"/>
          <w:sz w:val="32"/>
          <w:szCs w:val="32"/>
        </w:rPr>
        <w:t>出</w:t>
      </w:r>
      <w:r>
        <w:rPr>
          <w:rFonts w:hint="eastAsia" w:eastAsia="仿宋_GB2312" w:cs="仿宋_GB2312"/>
          <w:b w:val="0"/>
          <w:bCs w:val="0"/>
          <w:sz w:val="32"/>
          <w:szCs w:val="32"/>
        </w:rPr>
        <w:t>0.14</w:t>
      </w:r>
      <w:r>
        <w:rPr>
          <w:rFonts w:hint="eastAsia" w:ascii="仿宋_GB2312" w:hAnsi="仿宋_GB2312" w:eastAsia="仿宋_GB2312" w:cs="仿宋_GB2312"/>
          <w:b w:val="0"/>
          <w:bCs w:val="0"/>
          <w:sz w:val="32"/>
          <w:szCs w:val="32"/>
        </w:rPr>
        <w:t>万</w:t>
      </w:r>
      <w:r>
        <w:rPr>
          <w:rFonts w:hint="eastAsia" w:eastAsia="仿宋_GB2312" w:cs="仿宋_GB2312"/>
          <w:b w:val="0"/>
          <w:bCs w:val="0"/>
          <w:sz w:val="32"/>
          <w:szCs w:val="32"/>
        </w:rPr>
        <w:t>元，主要用于用餐费。国内公务接</w:t>
      </w:r>
      <w:r>
        <w:rPr>
          <w:rFonts w:hint="eastAsia" w:ascii="仿宋_GB2312" w:hAnsi="仿宋_GB2312" w:eastAsia="仿宋_GB2312" w:cs="仿宋_GB2312"/>
          <w:b w:val="0"/>
          <w:bCs w:val="0"/>
          <w:sz w:val="32"/>
          <w:szCs w:val="32"/>
        </w:rPr>
        <w:t>待</w:t>
      </w:r>
      <w:r>
        <w:rPr>
          <w:rFonts w:hint="eastAsia" w:eastAsia="仿宋_GB2312" w:cs="仿宋_GB2312"/>
          <w:b w:val="0"/>
          <w:bCs w:val="0"/>
          <w:sz w:val="32"/>
          <w:szCs w:val="32"/>
        </w:rPr>
        <w:t>1</w:t>
      </w:r>
      <w:r>
        <w:rPr>
          <w:rFonts w:hint="eastAsia" w:ascii="仿宋_GB2312" w:hAnsi="仿宋_GB2312" w:eastAsia="仿宋_GB2312" w:cs="仿宋_GB2312"/>
          <w:b w:val="0"/>
          <w:bCs w:val="0"/>
          <w:sz w:val="32"/>
          <w:szCs w:val="32"/>
        </w:rPr>
        <w:t>批次，</w:t>
      </w:r>
      <w:r>
        <w:rPr>
          <w:rFonts w:hint="eastAsia" w:eastAsia="仿宋_GB2312" w:cs="仿宋_GB2312"/>
          <w:b w:val="0"/>
          <w:bCs w:val="0"/>
          <w:sz w:val="32"/>
          <w:szCs w:val="32"/>
        </w:rPr>
        <w:t>11人次（不包括陪同人员），共计支出0.14万元，具体内容包括：2024年3月26日，德阳市市场监管局来乐山学习交流，接待人数11人，金额1380元。</w:t>
      </w:r>
    </w:p>
    <w:p w14:paraId="1982E07B">
      <w:pPr>
        <w:spacing w:line="600" w:lineRule="exact"/>
        <w:ind w:firstLine="640"/>
        <w:rPr>
          <w:rFonts w:eastAsia="仿宋_GB2312" w:cs="仿宋_GB2312"/>
          <w:b w:val="0"/>
          <w:bCs w:val="0"/>
          <w:sz w:val="32"/>
          <w:szCs w:val="32"/>
        </w:rPr>
      </w:pPr>
      <w:r>
        <w:rPr>
          <w:rFonts w:hint="eastAsia" w:eastAsia="仿宋_GB2312" w:cs="仿宋_GB2312"/>
          <w:b w:val="0"/>
          <w:bCs w:val="0"/>
          <w:sz w:val="32"/>
          <w:szCs w:val="32"/>
        </w:rPr>
        <w:t>外事接待支</w:t>
      </w:r>
      <w:r>
        <w:rPr>
          <w:rFonts w:hint="eastAsia" w:ascii="仿宋_GB2312" w:hAnsi="仿宋_GB2312" w:eastAsia="仿宋_GB2312" w:cs="仿宋_GB2312"/>
          <w:b w:val="0"/>
          <w:bCs w:val="0"/>
          <w:sz w:val="32"/>
          <w:szCs w:val="32"/>
        </w:rPr>
        <w:t>出0万元。外事接待</w:t>
      </w:r>
      <w:r>
        <w:rPr>
          <w:rFonts w:hint="eastAsia" w:eastAsia="仿宋_GB2312" w:cs="仿宋_GB2312"/>
          <w:b w:val="0"/>
          <w:bCs w:val="0"/>
          <w:sz w:val="32"/>
          <w:szCs w:val="32"/>
        </w:rPr>
        <w:t>0</w:t>
      </w:r>
      <w:r>
        <w:rPr>
          <w:rFonts w:hint="eastAsia" w:ascii="仿宋_GB2312" w:hAnsi="仿宋_GB2312" w:eastAsia="仿宋_GB2312" w:cs="仿宋_GB2312"/>
          <w:b w:val="0"/>
          <w:bCs w:val="0"/>
          <w:sz w:val="32"/>
          <w:szCs w:val="32"/>
        </w:rPr>
        <w:t>批次，</w:t>
      </w:r>
      <w:r>
        <w:rPr>
          <w:rFonts w:hint="eastAsia" w:eastAsia="仿宋_GB2312" w:cs="仿宋_GB2312"/>
          <w:b w:val="0"/>
          <w:bCs w:val="0"/>
          <w:sz w:val="32"/>
          <w:szCs w:val="32"/>
        </w:rPr>
        <w:t>0</w:t>
      </w:r>
      <w:r>
        <w:rPr>
          <w:rFonts w:hint="eastAsia" w:ascii="仿宋_GB2312" w:hAnsi="仿宋_GB2312" w:eastAsia="仿宋_GB2312" w:cs="仿宋_GB2312"/>
          <w:b w:val="0"/>
          <w:bCs w:val="0"/>
          <w:sz w:val="32"/>
          <w:szCs w:val="32"/>
        </w:rPr>
        <w:t>人次（不包括陪同人员），共计支出0万</w:t>
      </w:r>
      <w:r>
        <w:rPr>
          <w:rFonts w:hint="eastAsia" w:eastAsia="仿宋_GB2312" w:cs="仿宋_GB2312"/>
          <w:b w:val="0"/>
          <w:bCs w:val="0"/>
          <w:sz w:val="32"/>
          <w:szCs w:val="32"/>
        </w:rPr>
        <w:t>元。</w:t>
      </w:r>
    </w:p>
    <w:p w14:paraId="5F08689A">
      <w:pPr>
        <w:spacing w:line="600" w:lineRule="exact"/>
        <w:ind w:firstLine="640"/>
        <w:outlineLvl w:val="0"/>
        <w:rPr>
          <w:rStyle w:val="29"/>
          <w:rFonts w:ascii="Times New Roman" w:hAnsi="Times New Roman" w:eastAsia="黑体"/>
          <w:b w:val="0"/>
          <w:bCs w:val="0"/>
        </w:rPr>
      </w:pPr>
      <w:bookmarkStart w:id="53" w:name="_Toc15396610"/>
      <w:bookmarkStart w:id="54" w:name="_Toc15377218"/>
      <w:bookmarkStart w:id="55" w:name="_Toc20486"/>
      <w:r>
        <w:rPr>
          <w:rFonts w:hint="eastAsia" w:eastAsia="黑体"/>
          <w:b w:val="0"/>
          <w:bCs w:val="0"/>
          <w:sz w:val="32"/>
          <w:szCs w:val="32"/>
        </w:rPr>
        <w:t>八、</w:t>
      </w:r>
      <w:r>
        <w:rPr>
          <w:rStyle w:val="29"/>
          <w:rFonts w:hint="eastAsia" w:ascii="Times New Roman" w:hAnsi="Times New Roman" w:eastAsia="黑体"/>
          <w:b w:val="0"/>
          <w:bCs w:val="0"/>
        </w:rPr>
        <w:t>政府性基金预算支出决算情况说明</w:t>
      </w:r>
      <w:bookmarkEnd w:id="53"/>
      <w:bookmarkEnd w:id="54"/>
      <w:bookmarkEnd w:id="55"/>
    </w:p>
    <w:p w14:paraId="60A1D447">
      <w:pPr>
        <w:spacing w:line="600" w:lineRule="exact"/>
        <w:ind w:firstLine="640"/>
        <w:rPr>
          <w:rFonts w:hint="eastAsia" w:eastAsia="仿宋_GB2312" w:cs="仿宋_GB2312"/>
          <w:b w:val="0"/>
          <w:bCs w:val="0"/>
          <w:sz w:val="32"/>
          <w:szCs w:val="32"/>
          <w:lang w:eastAsia="zh-CN"/>
        </w:rPr>
      </w:pPr>
      <w:r>
        <w:rPr>
          <w:rFonts w:hint="eastAsia" w:ascii="仿宋_GB2312" w:hAnsi="仿宋_GB2312" w:eastAsia="仿宋_GB2312" w:cs="仿宋_GB2312"/>
          <w:b w:val="0"/>
          <w:bCs w:val="0"/>
          <w:sz w:val="32"/>
          <w:szCs w:val="32"/>
        </w:rPr>
        <w:t>2024年度政府性基金预算财政拨款支出0万元，占本年支出合计的0%</w:t>
      </w:r>
      <w:r>
        <w:rPr>
          <w:rFonts w:hint="eastAsia" w:eastAsia="仿宋_GB2312" w:cs="仿宋_GB2312"/>
          <w:b w:val="0"/>
          <w:bCs w:val="0"/>
          <w:sz w:val="32"/>
          <w:szCs w:val="32"/>
        </w:rPr>
        <w:t>。与2023年度相比，政府性基金预算财政拨款支出增加/减少0万元，增长/下降0%。</w:t>
      </w:r>
      <w:r>
        <w:rPr>
          <w:rFonts w:hint="eastAsia" w:eastAsia="仿宋_GB2312" w:cs="仿宋_GB2312"/>
          <w:b w:val="0"/>
          <w:bCs w:val="0"/>
          <w:sz w:val="32"/>
          <w:szCs w:val="32"/>
          <w:lang w:eastAsia="zh-CN"/>
        </w:rPr>
        <w:t xml:space="preserve">  </w:t>
      </w:r>
    </w:p>
    <w:p w14:paraId="77EB0630">
      <w:pPr>
        <w:spacing w:line="600" w:lineRule="exact"/>
        <w:ind w:left="630"/>
        <w:outlineLvl w:val="0"/>
        <w:rPr>
          <w:rStyle w:val="29"/>
          <w:rFonts w:ascii="Times New Roman" w:hAnsi="Times New Roman" w:eastAsia="黑体"/>
          <w:b w:val="0"/>
          <w:bCs w:val="0"/>
        </w:rPr>
      </w:pPr>
      <w:bookmarkStart w:id="56" w:name="_Toc5844"/>
      <w:bookmarkStart w:id="57" w:name="_Toc15377219"/>
      <w:bookmarkStart w:id="58" w:name="_Toc15396611"/>
      <w:r>
        <w:rPr>
          <w:rStyle w:val="29"/>
          <w:rFonts w:hint="eastAsia" w:ascii="Times New Roman" w:hAnsi="Times New Roman" w:eastAsia="黑体"/>
          <w:b w:val="0"/>
          <w:bCs w:val="0"/>
        </w:rPr>
        <w:t>九、国有资本经营预算支出决算情况说明</w:t>
      </w:r>
      <w:bookmarkEnd w:id="56"/>
      <w:bookmarkEnd w:id="57"/>
      <w:bookmarkEnd w:id="58"/>
    </w:p>
    <w:p w14:paraId="0E59530E">
      <w:pPr>
        <w:spacing w:line="600" w:lineRule="exact"/>
        <w:ind w:firstLine="640"/>
        <w:rPr>
          <w:rFonts w:eastAsia="仿宋_GB2312" w:cs="仿宋_GB2312"/>
          <w:b w:val="0"/>
          <w:bCs w:val="0"/>
          <w:sz w:val="32"/>
          <w:szCs w:val="32"/>
        </w:rPr>
      </w:pPr>
      <w:r>
        <w:rPr>
          <w:rFonts w:hint="eastAsia" w:eastAsia="仿宋_GB2312" w:cs="仿宋_GB2312"/>
          <w:b w:val="0"/>
          <w:bCs w:val="0"/>
          <w:sz w:val="32"/>
          <w:szCs w:val="32"/>
        </w:rPr>
        <w:t>2024年度国有资本经营预算财政拨款支出</w:t>
      </w:r>
      <w:r>
        <w:rPr>
          <w:rFonts w:hint="eastAsia" w:ascii="仿宋" w:hAnsi="仿宋" w:eastAsia="仿宋"/>
          <w:b w:val="0"/>
          <w:bCs w:val="0"/>
          <w:sz w:val="32"/>
          <w:szCs w:val="32"/>
        </w:rPr>
        <w:t>0</w:t>
      </w:r>
      <w:r>
        <w:rPr>
          <w:rFonts w:hint="eastAsia" w:ascii="仿宋_GB2312" w:hAnsi="仿宋_GB2312" w:eastAsia="仿宋_GB2312" w:cs="仿宋_GB2312"/>
          <w:b w:val="0"/>
          <w:bCs w:val="0"/>
          <w:sz w:val="32"/>
          <w:szCs w:val="32"/>
        </w:rPr>
        <w:t>万元，占本年支出合计的</w:t>
      </w:r>
      <w:r>
        <w:rPr>
          <w:rFonts w:hint="eastAsia" w:eastAsia="仿宋_GB2312" w:cs="仿宋_GB2312"/>
          <w:b w:val="0"/>
          <w:bCs w:val="0"/>
          <w:sz w:val="32"/>
          <w:szCs w:val="32"/>
        </w:rPr>
        <w:t>0</w:t>
      </w:r>
      <w:r>
        <w:rPr>
          <w:rFonts w:hint="eastAsia" w:ascii="仿宋_GB2312" w:hAnsi="仿宋_GB2312" w:eastAsia="仿宋_GB2312" w:cs="仿宋_GB2312"/>
          <w:b w:val="0"/>
          <w:bCs w:val="0"/>
          <w:sz w:val="32"/>
          <w:szCs w:val="32"/>
        </w:rPr>
        <w:t>%</w:t>
      </w:r>
      <w:r>
        <w:rPr>
          <w:rFonts w:hint="eastAsia" w:eastAsia="仿宋_GB2312" w:cs="仿宋_GB2312"/>
          <w:b w:val="0"/>
          <w:bCs w:val="0"/>
          <w:sz w:val="32"/>
          <w:szCs w:val="32"/>
        </w:rPr>
        <w:t>。与2023年度相比，国有资本经营预算财政拨款支出增加/减少0万元，增长/下降0%。</w:t>
      </w:r>
      <w:r>
        <w:rPr>
          <w:rFonts w:hint="eastAsia" w:eastAsia="仿宋_GB2312" w:cs="仿宋_GB2312"/>
          <w:b w:val="0"/>
          <w:bCs w:val="0"/>
          <w:sz w:val="32"/>
          <w:szCs w:val="32"/>
          <w:lang w:eastAsia="zh-CN"/>
        </w:rPr>
        <w:t xml:space="preserve">  </w:t>
      </w:r>
      <w:r>
        <w:rPr>
          <w:rFonts w:hint="eastAsia" w:eastAsia="仿宋_GB2312" w:cs="仿宋_GB2312"/>
          <w:b w:val="0"/>
          <w:bCs w:val="0"/>
          <w:sz w:val="32"/>
          <w:szCs w:val="32"/>
        </w:rPr>
        <w:t>。</w:t>
      </w:r>
    </w:p>
    <w:p w14:paraId="46C61AE1">
      <w:pPr>
        <w:spacing w:line="600" w:lineRule="exact"/>
        <w:ind w:left="630"/>
        <w:outlineLvl w:val="0"/>
        <w:rPr>
          <w:rStyle w:val="29"/>
          <w:rFonts w:ascii="Times New Roman" w:hAnsi="Times New Roman" w:eastAsia="黑体"/>
          <w:b w:val="0"/>
          <w:bCs w:val="0"/>
        </w:rPr>
      </w:pPr>
      <w:bookmarkStart w:id="59" w:name="_Toc15396612"/>
      <w:bookmarkStart w:id="60" w:name="_Toc26603"/>
      <w:bookmarkStart w:id="61" w:name="_Toc15377221"/>
      <w:r>
        <w:rPr>
          <w:rStyle w:val="29"/>
          <w:rFonts w:hint="eastAsia" w:ascii="Times New Roman" w:hAnsi="Times New Roman" w:eastAsia="黑体"/>
          <w:b w:val="0"/>
          <w:bCs w:val="0"/>
        </w:rPr>
        <w:t>十、其他重要事项的情况说明</w:t>
      </w:r>
      <w:bookmarkEnd w:id="59"/>
      <w:bookmarkEnd w:id="60"/>
      <w:bookmarkEnd w:id="61"/>
    </w:p>
    <w:p w14:paraId="390201A1">
      <w:pPr>
        <w:spacing w:line="600" w:lineRule="exact"/>
        <w:ind w:firstLine="640" w:firstLineChars="200"/>
        <w:outlineLvl w:val="1"/>
        <w:rPr>
          <w:rFonts w:eastAsia="楷体_GB2312" w:cs="楷体_GB2312"/>
          <w:b w:val="0"/>
          <w:bCs w:val="0"/>
          <w:sz w:val="32"/>
          <w:szCs w:val="32"/>
        </w:rPr>
      </w:pPr>
      <w:bookmarkStart w:id="62" w:name="_Toc15377222"/>
      <w:r>
        <w:rPr>
          <w:rFonts w:hint="eastAsia" w:eastAsia="楷体_GB2312" w:cs="楷体_GB2312"/>
          <w:b w:val="0"/>
          <w:bCs w:val="0"/>
          <w:sz w:val="32"/>
          <w:szCs w:val="32"/>
        </w:rPr>
        <w:t>（一）机关运行经费支出情况</w:t>
      </w:r>
      <w:bookmarkEnd w:id="62"/>
    </w:p>
    <w:p w14:paraId="1D0559CD">
      <w:pPr>
        <w:spacing w:line="600" w:lineRule="exact"/>
        <w:ind w:firstLine="640"/>
        <w:rPr>
          <w:rFonts w:eastAsia="仿宋_GB2312" w:cs="仿宋_GB2312"/>
          <w:b w:val="0"/>
          <w:bCs w:val="0"/>
          <w:sz w:val="32"/>
          <w:szCs w:val="32"/>
        </w:rPr>
      </w:pPr>
      <w:r>
        <w:rPr>
          <w:rFonts w:hint="eastAsia" w:eastAsia="仿宋_GB2312" w:cs="仿宋_GB2312"/>
          <w:b w:val="0"/>
          <w:bCs w:val="0"/>
          <w:sz w:val="32"/>
          <w:szCs w:val="32"/>
        </w:rPr>
        <w:t>2024年度</w:t>
      </w:r>
      <w:r>
        <w:rPr>
          <w:rFonts w:hint="eastAsia" w:ascii="仿宋_GB2312" w:hAnsi="仿宋_GB2312" w:eastAsia="仿宋_GB2312" w:cs="仿宋_GB2312"/>
          <w:b w:val="0"/>
          <w:bCs w:val="0"/>
          <w:sz w:val="32"/>
          <w:szCs w:val="32"/>
        </w:rPr>
        <w:t>，机关运行经费支出</w:t>
      </w:r>
      <w:r>
        <w:rPr>
          <w:rFonts w:hint="eastAsia" w:eastAsia="仿宋_GB2312" w:cs="仿宋_GB2312"/>
          <w:b w:val="0"/>
          <w:bCs w:val="0"/>
          <w:sz w:val="32"/>
          <w:szCs w:val="32"/>
        </w:rPr>
        <w:t>28.83</w:t>
      </w:r>
      <w:r>
        <w:rPr>
          <w:rFonts w:hint="eastAsia" w:ascii="仿宋_GB2312" w:hAnsi="仿宋_GB2312" w:eastAsia="仿宋_GB2312" w:cs="仿宋_GB2312"/>
          <w:b w:val="0"/>
          <w:bCs w:val="0"/>
          <w:sz w:val="32"/>
          <w:szCs w:val="32"/>
        </w:rPr>
        <w:t>万</w:t>
      </w:r>
      <w:r>
        <w:rPr>
          <w:rFonts w:hint="eastAsia" w:eastAsia="仿宋_GB2312" w:cs="仿宋_GB2312"/>
          <w:b w:val="0"/>
          <w:bCs w:val="0"/>
          <w:sz w:val="32"/>
          <w:szCs w:val="32"/>
        </w:rPr>
        <w:t>元，比2023年度增加4.39万元，增长17.96 %。主要原因是2024年支付办公用品费增多。</w:t>
      </w:r>
    </w:p>
    <w:p w14:paraId="133EC839">
      <w:pPr>
        <w:spacing w:line="600" w:lineRule="exact"/>
        <w:ind w:firstLine="640" w:firstLineChars="200"/>
        <w:outlineLvl w:val="1"/>
        <w:rPr>
          <w:rFonts w:eastAsia="楷体_GB2312" w:cs="楷体_GB2312"/>
          <w:b w:val="0"/>
          <w:bCs w:val="0"/>
          <w:sz w:val="32"/>
          <w:szCs w:val="32"/>
        </w:rPr>
      </w:pPr>
      <w:bookmarkStart w:id="63" w:name="_Toc15377223"/>
      <w:r>
        <w:rPr>
          <w:rFonts w:hint="eastAsia" w:eastAsia="楷体_GB2312" w:cs="楷体_GB2312"/>
          <w:b w:val="0"/>
          <w:bCs w:val="0"/>
          <w:sz w:val="32"/>
          <w:szCs w:val="32"/>
        </w:rPr>
        <w:t>（二）政府采购支出情况</w:t>
      </w:r>
      <w:bookmarkEnd w:id="63"/>
    </w:p>
    <w:p w14:paraId="6A93E714">
      <w:pPr>
        <w:spacing w:line="600" w:lineRule="exact"/>
        <w:ind w:firstLine="64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2024年度，政府采购支出总额</w:t>
      </w:r>
      <w:r>
        <w:rPr>
          <w:rFonts w:hint="eastAsia" w:eastAsia="仿宋_GB2312" w:cs="仿宋_GB2312"/>
          <w:b w:val="0"/>
          <w:bCs w:val="0"/>
          <w:sz w:val="32"/>
          <w:szCs w:val="32"/>
        </w:rPr>
        <w:t>0</w:t>
      </w:r>
      <w:r>
        <w:rPr>
          <w:rFonts w:hint="eastAsia" w:ascii="仿宋_GB2312" w:hAnsi="仿宋_GB2312" w:eastAsia="仿宋_GB2312" w:cs="仿宋_GB2312"/>
          <w:b w:val="0"/>
          <w:bCs w:val="0"/>
          <w:sz w:val="32"/>
          <w:szCs w:val="32"/>
        </w:rPr>
        <w:t>万元，其中：政府采购货物支出</w:t>
      </w:r>
      <w:r>
        <w:rPr>
          <w:rFonts w:hint="eastAsia" w:eastAsia="仿宋_GB2312" w:cs="仿宋_GB2312"/>
          <w:b w:val="0"/>
          <w:bCs w:val="0"/>
          <w:sz w:val="32"/>
          <w:szCs w:val="32"/>
        </w:rPr>
        <w:t>0</w:t>
      </w:r>
      <w:r>
        <w:rPr>
          <w:rFonts w:hint="eastAsia" w:ascii="仿宋_GB2312" w:hAnsi="仿宋_GB2312" w:eastAsia="仿宋_GB2312" w:cs="仿宋_GB2312"/>
          <w:b w:val="0"/>
          <w:bCs w:val="0"/>
          <w:sz w:val="32"/>
          <w:szCs w:val="32"/>
        </w:rPr>
        <w:t>万元、政府采购工程支出0万元、政府采购服务支出0万元。授予中小企业合同金额0万元，占政府采购支出总额的0%，其中：授予小微企业合同金额0万元，占政府采购支出总额的0%。</w:t>
      </w:r>
    </w:p>
    <w:p w14:paraId="0842F178">
      <w:pPr>
        <w:spacing w:line="600" w:lineRule="exact"/>
        <w:ind w:firstLine="640" w:firstLineChars="200"/>
        <w:outlineLvl w:val="1"/>
        <w:rPr>
          <w:rFonts w:eastAsia="楷体_GB2312" w:cs="楷体_GB2312"/>
          <w:b w:val="0"/>
          <w:bCs w:val="0"/>
          <w:sz w:val="32"/>
          <w:szCs w:val="32"/>
        </w:rPr>
      </w:pPr>
      <w:bookmarkStart w:id="64" w:name="_Toc15377224"/>
      <w:r>
        <w:rPr>
          <w:rFonts w:hint="eastAsia" w:eastAsia="楷体_GB2312" w:cs="楷体_GB2312"/>
          <w:b w:val="0"/>
          <w:bCs w:val="0"/>
          <w:sz w:val="32"/>
          <w:szCs w:val="32"/>
        </w:rPr>
        <w:t>（三）国有资产占有使用情况</w:t>
      </w:r>
      <w:bookmarkEnd w:id="64"/>
    </w:p>
    <w:p w14:paraId="0B3634F4">
      <w:pPr>
        <w:spacing w:line="600" w:lineRule="exact"/>
        <w:ind w:firstLine="640"/>
        <w:rPr>
          <w:rFonts w:eastAsia="仿宋_GB2312" w:cs="仿宋_GB2312"/>
          <w:b w:val="0"/>
          <w:bCs w:val="0"/>
          <w:sz w:val="32"/>
          <w:szCs w:val="32"/>
        </w:rPr>
      </w:pPr>
      <w:r>
        <w:rPr>
          <w:rFonts w:hint="eastAsia" w:ascii="仿宋_GB2312" w:hAnsi="仿宋_GB2312" w:eastAsia="仿宋_GB2312" w:cs="仿宋_GB2312"/>
          <w:b w:val="0"/>
          <w:bCs w:val="0"/>
          <w:sz w:val="32"/>
          <w:szCs w:val="32"/>
        </w:rPr>
        <w:t>截至2024年12月31日，共有车辆</w:t>
      </w:r>
      <w:r>
        <w:rPr>
          <w:rFonts w:hint="eastAsia" w:eastAsia="仿宋_GB2312" w:cs="仿宋_GB2312"/>
          <w:b w:val="0"/>
          <w:bCs w:val="0"/>
          <w:sz w:val="32"/>
          <w:szCs w:val="32"/>
        </w:rPr>
        <w:t>0</w:t>
      </w:r>
      <w:r>
        <w:rPr>
          <w:rFonts w:hint="eastAsia" w:ascii="仿宋_GB2312" w:hAnsi="仿宋_GB2312" w:eastAsia="仿宋_GB2312" w:cs="仿宋_GB2312"/>
          <w:b w:val="0"/>
          <w:bCs w:val="0"/>
          <w:sz w:val="32"/>
          <w:szCs w:val="32"/>
        </w:rPr>
        <w:t>辆，其中：主要负责人用车</w:t>
      </w:r>
      <w:r>
        <w:rPr>
          <w:rFonts w:hint="eastAsia" w:eastAsia="仿宋_GB2312" w:cs="仿宋_GB2312"/>
          <w:b w:val="0"/>
          <w:bCs w:val="0"/>
          <w:sz w:val="32"/>
          <w:szCs w:val="32"/>
        </w:rPr>
        <w:t>0</w:t>
      </w:r>
      <w:r>
        <w:rPr>
          <w:rFonts w:hint="eastAsia" w:ascii="仿宋_GB2312" w:hAnsi="仿宋_GB2312" w:eastAsia="仿宋_GB2312" w:cs="仿宋_GB2312"/>
          <w:b w:val="0"/>
          <w:bCs w:val="0"/>
          <w:sz w:val="32"/>
          <w:szCs w:val="32"/>
        </w:rPr>
        <w:t>辆、机要通信用车</w:t>
      </w:r>
      <w:r>
        <w:rPr>
          <w:rFonts w:hint="eastAsia" w:eastAsia="仿宋_GB2312" w:cs="仿宋_GB2312"/>
          <w:b w:val="0"/>
          <w:bCs w:val="0"/>
          <w:sz w:val="32"/>
          <w:szCs w:val="32"/>
        </w:rPr>
        <w:t>0</w:t>
      </w:r>
      <w:r>
        <w:rPr>
          <w:rFonts w:hint="eastAsia" w:ascii="仿宋_GB2312" w:hAnsi="仿宋_GB2312" w:eastAsia="仿宋_GB2312" w:cs="仿宋_GB2312"/>
          <w:b w:val="0"/>
          <w:bCs w:val="0"/>
          <w:sz w:val="32"/>
          <w:szCs w:val="32"/>
        </w:rPr>
        <w:t>辆、应急保障用车</w:t>
      </w:r>
      <w:r>
        <w:rPr>
          <w:rFonts w:hint="eastAsia" w:eastAsia="仿宋_GB2312" w:cs="仿宋_GB2312"/>
          <w:b w:val="0"/>
          <w:bCs w:val="0"/>
          <w:sz w:val="32"/>
          <w:szCs w:val="32"/>
        </w:rPr>
        <w:t>0</w:t>
      </w:r>
      <w:r>
        <w:rPr>
          <w:rFonts w:hint="eastAsia" w:ascii="仿宋_GB2312" w:hAnsi="仿宋_GB2312" w:eastAsia="仿宋_GB2312" w:cs="仿宋_GB2312"/>
          <w:b w:val="0"/>
          <w:bCs w:val="0"/>
          <w:sz w:val="32"/>
          <w:szCs w:val="32"/>
        </w:rPr>
        <w:t>辆、其他用车</w:t>
      </w:r>
      <w:r>
        <w:rPr>
          <w:rFonts w:hint="eastAsia" w:eastAsia="仿宋_GB2312" w:cs="仿宋_GB2312"/>
          <w:b w:val="0"/>
          <w:bCs w:val="0"/>
          <w:sz w:val="32"/>
          <w:szCs w:val="32"/>
        </w:rPr>
        <w:t>0</w:t>
      </w:r>
      <w:r>
        <w:rPr>
          <w:rFonts w:hint="eastAsia" w:ascii="仿宋_GB2312" w:hAnsi="仿宋_GB2312" w:eastAsia="仿宋_GB2312" w:cs="仿宋_GB2312"/>
          <w:b w:val="0"/>
          <w:bCs w:val="0"/>
          <w:sz w:val="32"/>
          <w:szCs w:val="32"/>
        </w:rPr>
        <w:t>辆</w:t>
      </w:r>
      <w:r>
        <w:rPr>
          <w:rFonts w:hint="eastAsia" w:eastAsia="仿宋_GB2312" w:cs="仿宋_GB2312"/>
          <w:b w:val="0"/>
          <w:bCs w:val="0"/>
          <w:sz w:val="32"/>
          <w:szCs w:val="32"/>
        </w:rPr>
        <w:t>。</w:t>
      </w:r>
    </w:p>
    <w:p w14:paraId="6D0FB564">
      <w:pPr>
        <w:spacing w:line="600" w:lineRule="exact"/>
        <w:ind w:firstLine="640" w:firstLineChars="200"/>
        <w:outlineLvl w:val="1"/>
        <w:rPr>
          <w:rFonts w:eastAsia="楷体_GB2312" w:cs="楷体_GB2312"/>
          <w:b w:val="0"/>
          <w:bCs w:val="0"/>
          <w:sz w:val="32"/>
          <w:szCs w:val="32"/>
        </w:rPr>
      </w:pPr>
      <w:r>
        <w:rPr>
          <w:rFonts w:hint="eastAsia" w:eastAsia="楷体_GB2312" w:cs="楷体_GB2312"/>
          <w:b w:val="0"/>
          <w:bCs w:val="0"/>
          <w:sz w:val="32"/>
          <w:szCs w:val="32"/>
        </w:rPr>
        <w:t>（四）预算绩效管理情况</w:t>
      </w:r>
    </w:p>
    <w:p w14:paraId="0EAEB4B1">
      <w:pPr>
        <w:spacing w:line="600" w:lineRule="exact"/>
        <w:ind w:firstLine="640"/>
        <w:rPr>
          <w:rFonts w:eastAsia="仿宋_GB2312" w:cs="仿宋_GB2312"/>
          <w:b w:val="0"/>
          <w:bCs w:val="0"/>
          <w:sz w:val="32"/>
          <w:szCs w:val="32"/>
        </w:rPr>
      </w:pPr>
      <w:r>
        <w:rPr>
          <w:rFonts w:hint="eastAsia" w:eastAsia="仿宋_GB2312" w:cs="仿宋_GB2312"/>
          <w:b w:val="0"/>
          <w:bCs w:val="0"/>
          <w:sz w:val="32"/>
          <w:szCs w:val="32"/>
        </w:rPr>
        <w:t>根据预算绩效管理要求，本单位在2024年度预算编制阶段，组织对0（项目名称）等0个项目开展了预算事前绩效评估，对13个项目编制了绩效目标，预算执行过程中，选取13个项目开展绩效监控,组织对2个项目开展了绩效自评。绩效自评表详见第四部分附件。</w:t>
      </w:r>
    </w:p>
    <w:p w14:paraId="5F56AB69">
      <w:pPr>
        <w:spacing w:line="600" w:lineRule="exact"/>
        <w:ind w:firstLine="640"/>
        <w:rPr>
          <w:rFonts w:eastAsia="仿宋_GB2312" w:cs="仿宋_GB2312"/>
          <w:b w:val="0"/>
          <w:bCs w:val="0"/>
          <w:sz w:val="32"/>
          <w:szCs w:val="32"/>
        </w:rPr>
      </w:pPr>
    </w:p>
    <w:p w14:paraId="1AFAD56E">
      <w:pPr>
        <w:spacing w:line="600" w:lineRule="exact"/>
        <w:ind w:firstLine="640"/>
        <w:rPr>
          <w:rFonts w:eastAsia="仿宋_GB2312" w:cs="仿宋_GB2312"/>
          <w:b w:val="0"/>
          <w:bCs w:val="0"/>
          <w:sz w:val="32"/>
          <w:szCs w:val="32"/>
        </w:rPr>
      </w:pPr>
    </w:p>
    <w:p w14:paraId="33DAB547">
      <w:pPr>
        <w:pStyle w:val="14"/>
        <w:rPr>
          <w:rFonts w:eastAsia="仿宋_GB2312" w:cs="仿宋_GB2312"/>
          <w:b w:val="0"/>
          <w:bCs w:val="0"/>
          <w:sz w:val="32"/>
          <w:szCs w:val="32"/>
        </w:rPr>
      </w:pPr>
    </w:p>
    <w:p w14:paraId="08218A51">
      <w:pPr>
        <w:pStyle w:val="8"/>
        <w:rPr>
          <w:rFonts w:eastAsia="仿宋_GB2312" w:cs="仿宋_GB2312"/>
          <w:b w:val="0"/>
          <w:bCs w:val="0"/>
          <w:sz w:val="32"/>
          <w:szCs w:val="32"/>
        </w:rPr>
      </w:pPr>
    </w:p>
    <w:p w14:paraId="3A8F03A4"/>
    <w:p w14:paraId="23DAA139">
      <w:pPr>
        <w:spacing w:line="600" w:lineRule="exact"/>
        <w:jc w:val="center"/>
        <w:outlineLvl w:val="0"/>
        <w:rPr>
          <w:rFonts w:eastAsia="黑体"/>
          <w:b w:val="0"/>
          <w:bCs w:val="0"/>
          <w:sz w:val="44"/>
          <w:szCs w:val="44"/>
        </w:rPr>
      </w:pPr>
      <w:bookmarkStart w:id="65" w:name="_Toc15396613"/>
      <w:bookmarkStart w:id="66" w:name="_Toc15377225"/>
      <w:bookmarkStart w:id="67" w:name="_Toc9750"/>
      <w:r>
        <w:rPr>
          <w:rFonts w:hint="eastAsia" w:eastAsia="黑体"/>
          <w:b w:val="0"/>
          <w:bCs w:val="0"/>
          <w:sz w:val="44"/>
          <w:szCs w:val="44"/>
        </w:rPr>
        <w:t>第三部分  名词解释</w:t>
      </w:r>
      <w:bookmarkEnd w:id="65"/>
      <w:bookmarkEnd w:id="66"/>
      <w:bookmarkEnd w:id="67"/>
    </w:p>
    <w:p w14:paraId="1567CD65">
      <w:pPr>
        <w:spacing w:line="600" w:lineRule="exact"/>
        <w:ind w:firstLine="640"/>
        <w:rPr>
          <w:rFonts w:eastAsia="仿宋_GB2312" w:cs="仿宋_GB2312"/>
          <w:b w:val="0"/>
          <w:bCs w:val="0"/>
          <w:sz w:val="32"/>
          <w:szCs w:val="32"/>
        </w:rPr>
      </w:pPr>
      <w:r>
        <w:rPr>
          <w:rFonts w:hint="eastAsia" w:eastAsia="仿宋_GB2312" w:cs="仿宋_GB2312"/>
          <w:b w:val="0"/>
          <w:bCs w:val="0"/>
          <w:sz w:val="32"/>
          <w:szCs w:val="32"/>
        </w:rPr>
        <w:t xml:space="preserve">1.财政拨款收入：指单位从同级财政部门取得的财政预算资金。 </w:t>
      </w:r>
    </w:p>
    <w:p w14:paraId="4A3F4C52">
      <w:pPr>
        <w:spacing w:line="600" w:lineRule="exact"/>
        <w:ind w:firstLine="640"/>
        <w:rPr>
          <w:rFonts w:eastAsia="仿宋_GB2312" w:cs="仿宋_GB2312"/>
          <w:b w:val="0"/>
          <w:bCs w:val="0"/>
          <w:sz w:val="32"/>
          <w:szCs w:val="32"/>
        </w:rPr>
      </w:pPr>
      <w:r>
        <w:rPr>
          <w:rFonts w:hint="eastAsia" w:eastAsia="仿宋_GB2312" w:cs="仿宋_GB2312"/>
          <w:b w:val="0"/>
          <w:bCs w:val="0"/>
          <w:sz w:val="32"/>
          <w:szCs w:val="32"/>
        </w:rPr>
        <w:t xml:space="preserve">2.年初结转和结余：指以前年度尚未完成、结转到本年按有关规定继续使用的资金。 </w:t>
      </w:r>
    </w:p>
    <w:p w14:paraId="795FBB34">
      <w:pPr>
        <w:spacing w:line="600" w:lineRule="exact"/>
        <w:ind w:firstLine="640"/>
        <w:rPr>
          <w:rFonts w:eastAsia="仿宋_GB2312" w:cs="仿宋_GB2312"/>
          <w:b w:val="0"/>
          <w:bCs w:val="0"/>
          <w:sz w:val="32"/>
          <w:szCs w:val="32"/>
        </w:rPr>
      </w:pPr>
      <w:r>
        <w:rPr>
          <w:rFonts w:hint="eastAsia" w:eastAsia="仿宋_GB2312" w:cs="仿宋_GB2312"/>
          <w:b w:val="0"/>
          <w:bCs w:val="0"/>
          <w:sz w:val="32"/>
          <w:szCs w:val="32"/>
        </w:rPr>
        <w:t>3.年末结转和结余：指单位按有关规定结转到下年或以后年度继续使用的资金。</w:t>
      </w:r>
    </w:p>
    <w:p w14:paraId="689DBCCA">
      <w:pPr>
        <w:spacing w:line="576" w:lineRule="exact"/>
        <w:ind w:firstLine="640"/>
        <w:rPr>
          <w:b w:val="0"/>
          <w:bCs w:val="0"/>
        </w:rPr>
      </w:pPr>
      <w:r>
        <w:rPr>
          <w:rFonts w:hint="eastAsia" w:eastAsia="仿宋_GB2312" w:cs="仿宋_GB2312"/>
          <w:b w:val="0"/>
          <w:bCs w:val="0"/>
          <w:sz w:val="32"/>
          <w:szCs w:val="32"/>
        </w:rPr>
        <w:t xml:space="preserve">4. </w:t>
      </w:r>
      <w:r>
        <w:rPr>
          <w:rFonts w:hint="eastAsia" w:ascii="仿宋_GB2312" w:hAnsi="仿宋_GB2312" w:eastAsia="仿宋_GB2312"/>
          <w:b w:val="0"/>
          <w:bCs w:val="0"/>
          <w:color w:val="000000"/>
          <w:sz w:val="32"/>
        </w:rPr>
        <w:t>一般公共服务（类）知识产权事务（款）行政运行（项）：指本单位的基本支出。一般公共服务（类）知识产权事务（款）  其他知识产权事务支出（项）：指项目以外其他用于知识产权事务方面的支出</w:t>
      </w:r>
    </w:p>
    <w:p w14:paraId="066077D0">
      <w:pPr>
        <w:spacing w:line="576" w:lineRule="exact"/>
        <w:ind w:firstLine="640"/>
        <w:rPr>
          <w:rFonts w:hint="eastAsia" w:ascii="仿宋_GB2312" w:hAnsi="仿宋_GB2312" w:eastAsia="仿宋_GB2312"/>
          <w:b w:val="0"/>
          <w:bCs w:val="0"/>
          <w:color w:val="000000"/>
          <w:sz w:val="32"/>
        </w:rPr>
      </w:pPr>
      <w:r>
        <w:rPr>
          <w:rFonts w:hint="eastAsia" w:eastAsia="仿宋_GB2312" w:cs="仿宋_GB2312"/>
          <w:b w:val="0"/>
          <w:bCs w:val="0"/>
          <w:sz w:val="32"/>
          <w:szCs w:val="32"/>
        </w:rPr>
        <w:t>5.</w:t>
      </w:r>
      <w:r>
        <w:rPr>
          <w:rFonts w:hint="eastAsia" w:ascii="仿宋_GB2312" w:hAnsi="仿宋_GB2312" w:eastAsia="仿宋_GB2312"/>
          <w:b w:val="0"/>
          <w:bCs w:val="0"/>
          <w:color w:val="000000"/>
          <w:sz w:val="32"/>
        </w:rPr>
        <w:t xml:space="preserve"> 社会保障和就业（类）行政事业单位离退休（款） 归口管理的行政单位离退休（项）指反映实行归口管理的行政单位（包括实行公务员管理的事业单位）开支的离退休经费。社会保障和就业（类）行政事业单位离退休（款）未归口管理的行政单位离退休（项）未实行归口管理的行政单位（包括实行公务员管理的事业单位）开支的离退休经费。社会保障和就业（类）行政事业单位离退休（款） 机关事业单位基本养老保险缴费支出（项）指单位实施养老保险制度由单位缴纳的基本养老保险费支出。社会保障和就业（类）行政事业单位离退休（款）机关事业单位职业年金缴费支出（项）指:机关事业单位实施养老保险制度由单位实际缴纳的职业年金支出。社会保障和就业支出（类）抚恤（款）死亡抚恤（项）：指反映按规定用于烈士和牺牲、病故人员家属的一次性和定期抚恤金以及丧葬补助费。社会保障和就业支出（类）其他社会保障和就业支出（款）其他社会保障和就业支出（项）：指反映除上述项目以外其他用于社会保障和就业方面的支出。</w:t>
      </w:r>
    </w:p>
    <w:p w14:paraId="3DE125A7">
      <w:pPr>
        <w:spacing w:line="600" w:lineRule="exact"/>
        <w:ind w:firstLine="640" w:firstLineChars="200"/>
        <w:rPr>
          <w:rFonts w:eastAsia="仿宋_GB2312" w:cs="仿宋_GB2312"/>
          <w:b w:val="0"/>
          <w:bCs w:val="0"/>
          <w:sz w:val="32"/>
          <w:szCs w:val="32"/>
        </w:rPr>
      </w:pPr>
      <w:r>
        <w:rPr>
          <w:rFonts w:hint="eastAsia" w:eastAsia="仿宋_GB2312" w:cs="仿宋_GB2312"/>
          <w:b w:val="0"/>
          <w:bCs w:val="0"/>
          <w:sz w:val="32"/>
          <w:szCs w:val="32"/>
        </w:rPr>
        <w:t>6.</w:t>
      </w:r>
      <w:r>
        <w:rPr>
          <w:rFonts w:hint="eastAsia"/>
          <w:b w:val="0"/>
          <w:bCs w:val="0"/>
        </w:rPr>
        <w:t xml:space="preserve"> </w:t>
      </w:r>
      <w:r>
        <w:rPr>
          <w:rFonts w:hint="eastAsia" w:eastAsia="仿宋_GB2312" w:cs="仿宋_GB2312"/>
          <w:b w:val="0"/>
          <w:bCs w:val="0"/>
          <w:sz w:val="32"/>
          <w:szCs w:val="32"/>
        </w:rPr>
        <w:t>卫生健康支出（类）行政事业单位医疗（款）行政单位医疗（项）：指反映财政部门安排的行政单位（包括实行公务员管理的事业单位）基本医疗保险缴费经费，未参加医疗保险的行政单位的公费医疗经费，按国家规定享受离休人员、红军老战士待遇人员的医疗经费</w:t>
      </w:r>
    </w:p>
    <w:p w14:paraId="016E4F43">
      <w:pPr>
        <w:spacing w:line="600" w:lineRule="exact"/>
        <w:ind w:firstLine="640"/>
        <w:rPr>
          <w:rFonts w:eastAsia="仿宋_GB2312" w:cs="仿宋_GB2312"/>
          <w:b w:val="0"/>
          <w:bCs w:val="0"/>
          <w:sz w:val="32"/>
          <w:szCs w:val="32"/>
        </w:rPr>
      </w:pPr>
      <w:r>
        <w:rPr>
          <w:rFonts w:hint="eastAsia" w:eastAsia="仿宋_GB2312" w:cs="仿宋_GB2312"/>
          <w:b w:val="0"/>
          <w:bCs w:val="0"/>
          <w:sz w:val="32"/>
          <w:szCs w:val="32"/>
        </w:rPr>
        <w:t>7.</w:t>
      </w:r>
      <w:r>
        <w:rPr>
          <w:rFonts w:hint="eastAsia" w:ascii="仿宋_GB2312" w:hAnsi="仿宋_GB2312" w:eastAsia="仿宋_GB2312"/>
          <w:b w:val="0"/>
          <w:bCs w:val="0"/>
          <w:color w:val="000000"/>
          <w:sz w:val="32"/>
        </w:rPr>
        <w:t xml:space="preserve"> 住房保障支出（类）住房改革支出（款）住房公积金（项）指单位按人力资源和社会保障部、财政部规定的基本工资和津贴以及按规定比例为职工缴纳的住房公积金。</w:t>
      </w:r>
    </w:p>
    <w:p w14:paraId="7FE37DC6">
      <w:pPr>
        <w:spacing w:line="600" w:lineRule="exact"/>
        <w:ind w:firstLine="640"/>
        <w:rPr>
          <w:rFonts w:eastAsia="仿宋_GB2312" w:cs="仿宋_GB2312"/>
          <w:b w:val="0"/>
          <w:bCs w:val="0"/>
          <w:sz w:val="32"/>
          <w:szCs w:val="32"/>
        </w:rPr>
      </w:pPr>
      <w:r>
        <w:rPr>
          <w:rFonts w:hint="eastAsia" w:eastAsia="仿宋_GB2312" w:cs="仿宋_GB2312"/>
          <w:b w:val="0"/>
          <w:bCs w:val="0"/>
          <w:sz w:val="32"/>
          <w:szCs w:val="32"/>
        </w:rPr>
        <w:t>8.基本支出：指为保障机构正常运转、完成日常工作任务而发生的人员支出和公用支出。</w:t>
      </w:r>
    </w:p>
    <w:p w14:paraId="555D1D39">
      <w:pPr>
        <w:spacing w:line="600" w:lineRule="exact"/>
        <w:ind w:firstLine="640"/>
        <w:rPr>
          <w:rFonts w:eastAsia="仿宋_GB2312" w:cs="仿宋_GB2312"/>
          <w:b w:val="0"/>
          <w:bCs w:val="0"/>
          <w:sz w:val="32"/>
          <w:szCs w:val="32"/>
        </w:rPr>
      </w:pPr>
      <w:r>
        <w:rPr>
          <w:rFonts w:hint="eastAsia" w:eastAsia="仿宋_GB2312" w:cs="仿宋_GB2312"/>
          <w:b w:val="0"/>
          <w:bCs w:val="0"/>
          <w:sz w:val="32"/>
          <w:szCs w:val="32"/>
        </w:rPr>
        <w:t xml:space="preserve">9.项目支出：指在基本支出之外为完成特定行政任务和事业发展目标所发生的支出。 </w:t>
      </w:r>
    </w:p>
    <w:p w14:paraId="703708AB">
      <w:pPr>
        <w:spacing w:line="600" w:lineRule="exact"/>
        <w:ind w:firstLine="640"/>
        <w:rPr>
          <w:rFonts w:eastAsia="仿宋_GB2312" w:cs="仿宋_GB2312"/>
          <w:b w:val="0"/>
          <w:bCs w:val="0"/>
          <w:sz w:val="32"/>
          <w:szCs w:val="32"/>
        </w:rPr>
      </w:pPr>
      <w:r>
        <w:rPr>
          <w:rFonts w:hint="eastAsia" w:eastAsia="仿宋_GB2312" w:cs="仿宋_GB2312"/>
          <w:b w:val="0"/>
          <w:bCs w:val="0"/>
          <w:sz w:val="32"/>
          <w:szCs w:val="32"/>
        </w:rPr>
        <w:t>10.“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0A5476B8">
      <w:pPr>
        <w:spacing w:line="600" w:lineRule="exact"/>
        <w:ind w:firstLine="640"/>
        <w:rPr>
          <w:rFonts w:eastAsia="仿宋_GB2312" w:cs="仿宋_GB2312"/>
          <w:b w:val="0"/>
          <w:bCs w:val="0"/>
          <w:sz w:val="32"/>
          <w:szCs w:val="32"/>
        </w:rPr>
      </w:pPr>
      <w:r>
        <w:rPr>
          <w:rFonts w:hint="eastAsia" w:eastAsia="仿宋_GB2312" w:cs="仿宋_GB2312"/>
          <w:b w:val="0"/>
          <w:bCs w:val="0"/>
          <w:sz w:val="32"/>
          <w:szCs w:val="32"/>
        </w:rPr>
        <w:t>11.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655B2837">
      <w:pPr>
        <w:spacing w:line="600" w:lineRule="exact"/>
        <w:jc w:val="center"/>
        <w:outlineLvl w:val="0"/>
        <w:rPr>
          <w:rStyle w:val="28"/>
          <w:rFonts w:eastAsia="黑体"/>
          <w:b w:val="0"/>
          <w:bCs w:val="0"/>
        </w:rPr>
      </w:pPr>
      <w:bookmarkStart w:id="68" w:name="_Toc12658"/>
      <w:bookmarkStart w:id="69" w:name="_Toc15396614"/>
      <w:bookmarkStart w:id="70" w:name="_Toc15377226"/>
      <w:r>
        <w:rPr>
          <w:rFonts w:hint="eastAsia" w:eastAsia="黑体"/>
          <w:b w:val="0"/>
          <w:bCs w:val="0"/>
          <w:sz w:val="44"/>
          <w:szCs w:val="44"/>
        </w:rPr>
        <w:t>第四部分  附件</w:t>
      </w:r>
      <w:bookmarkEnd w:id="68"/>
      <w:bookmarkEnd w:id="69"/>
    </w:p>
    <w:p w14:paraId="7522A8BC">
      <w:pPr>
        <w:spacing w:line="572" w:lineRule="exact"/>
        <w:jc w:val="left"/>
        <w:rPr>
          <w:rFonts w:eastAsia="黑体" w:cs="黑体"/>
          <w:b w:val="0"/>
          <w:bCs w:val="0"/>
          <w:color w:val="FF0000"/>
          <w:sz w:val="32"/>
          <w:szCs w:val="32"/>
        </w:rPr>
      </w:pPr>
    </w:p>
    <w:p w14:paraId="4DB01D92">
      <w:pPr>
        <w:pStyle w:val="8"/>
        <w:spacing w:line="560" w:lineRule="exact"/>
        <w:ind w:left="0" w:leftChars="0" w:firstLine="1280" w:firstLineChars="400"/>
        <w:rPr>
          <w:rFonts w:ascii="Times New Roman" w:eastAsia="仿宋_GB2312"/>
          <w:b w:val="0"/>
          <w:bCs w:val="0"/>
          <w:sz w:val="32"/>
          <w:lang w:bidi="ar"/>
        </w:rPr>
      </w:pPr>
      <w:r>
        <w:rPr>
          <w:rFonts w:hint="eastAsia" w:ascii="Times New Roman" w:eastAsia="仿宋_GB2312"/>
          <w:b w:val="0"/>
          <w:bCs w:val="0"/>
          <w:sz w:val="32"/>
          <w:lang w:bidi="ar"/>
        </w:rPr>
        <w:t>部门预算项目支出绩效自评表（2024年度）</w:t>
      </w:r>
    </w:p>
    <w:tbl>
      <w:tblPr>
        <w:tblStyle w:val="16"/>
        <w:tblW w:w="5000" w:type="pct"/>
        <w:tblInd w:w="0" w:type="dxa"/>
        <w:tblLayout w:type="autofit"/>
        <w:tblCellMar>
          <w:top w:w="0" w:type="dxa"/>
          <w:left w:w="108" w:type="dxa"/>
          <w:bottom w:w="0" w:type="dxa"/>
          <w:right w:w="108" w:type="dxa"/>
        </w:tblCellMar>
      </w:tblPr>
      <w:tblGrid>
        <w:gridCol w:w="576"/>
        <w:gridCol w:w="1075"/>
        <w:gridCol w:w="906"/>
        <w:gridCol w:w="1205"/>
        <w:gridCol w:w="396"/>
        <w:gridCol w:w="855"/>
        <w:gridCol w:w="396"/>
        <w:gridCol w:w="846"/>
        <w:gridCol w:w="486"/>
        <w:gridCol w:w="396"/>
        <w:gridCol w:w="1385"/>
      </w:tblGrid>
      <w:tr w14:paraId="474892B4">
        <w:tblPrEx>
          <w:tblCellMar>
            <w:top w:w="0" w:type="dxa"/>
            <w:left w:w="108" w:type="dxa"/>
            <w:bottom w:w="0" w:type="dxa"/>
            <w:right w:w="108" w:type="dxa"/>
          </w:tblCellMar>
        </w:tblPrEx>
        <w:trPr>
          <w:trHeight w:val="904" w:hRule="atLeast"/>
        </w:trPr>
        <w:tc>
          <w:tcPr>
            <w:tcW w:w="5000" w:type="pct"/>
            <w:gridSpan w:val="11"/>
            <w:tcBorders>
              <w:top w:val="single" w:color="000000" w:sz="4" w:space="0"/>
              <w:left w:val="single" w:color="000000" w:sz="4" w:space="0"/>
              <w:bottom w:val="single" w:color="000000" w:sz="4" w:space="0"/>
              <w:right w:val="single" w:color="000000" w:sz="4" w:space="0"/>
            </w:tcBorders>
            <w:vAlign w:val="center"/>
          </w:tcPr>
          <w:p w14:paraId="786B4BD1">
            <w:pPr>
              <w:widowControl/>
              <w:jc w:val="center"/>
              <w:rPr>
                <w:rFonts w:hint="eastAsia" w:ascii="黑体" w:hAnsi="黑体" w:eastAsia="黑体" w:cs="宋体"/>
                <w:b w:val="0"/>
                <w:bCs w:val="0"/>
                <w:color w:val="000000"/>
                <w:kern w:val="0"/>
                <w:sz w:val="30"/>
                <w:szCs w:val="30"/>
              </w:rPr>
            </w:pPr>
            <w:r>
              <w:rPr>
                <w:rFonts w:hint="eastAsia" w:ascii="黑体" w:hAnsi="黑体" w:eastAsia="黑体" w:cs="宋体"/>
                <w:b w:val="0"/>
                <w:bCs w:val="0"/>
                <w:color w:val="000000"/>
                <w:kern w:val="0"/>
                <w:sz w:val="30"/>
                <w:szCs w:val="30"/>
              </w:rPr>
              <w:t>部门预算项目支出绩效自评表（2024年度）</w:t>
            </w:r>
          </w:p>
        </w:tc>
      </w:tr>
      <w:tr w14:paraId="5B6F6D80">
        <w:tblPrEx>
          <w:tblCellMar>
            <w:top w:w="0" w:type="dxa"/>
            <w:left w:w="108" w:type="dxa"/>
            <w:bottom w:w="0" w:type="dxa"/>
            <w:right w:w="108" w:type="dxa"/>
          </w:tblCellMar>
        </w:tblPrEx>
        <w:trPr>
          <w:trHeight w:val="287" w:hRule="atLeast"/>
        </w:trPr>
        <w:tc>
          <w:tcPr>
            <w:tcW w:w="969" w:type="pct"/>
            <w:gridSpan w:val="2"/>
            <w:tcBorders>
              <w:top w:val="single" w:color="000000" w:sz="4" w:space="0"/>
              <w:left w:val="single" w:color="000000" w:sz="4" w:space="0"/>
              <w:bottom w:val="single" w:color="000000" w:sz="4" w:space="0"/>
              <w:right w:val="single" w:color="000000" w:sz="4" w:space="0"/>
            </w:tcBorders>
            <w:vAlign w:val="center"/>
          </w:tcPr>
          <w:p w14:paraId="4630CDF2">
            <w:pPr>
              <w:widowControl/>
              <w:jc w:val="left"/>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项目名称</w:t>
            </w:r>
          </w:p>
        </w:tc>
        <w:tc>
          <w:tcPr>
            <w:tcW w:w="4031" w:type="pct"/>
            <w:gridSpan w:val="9"/>
            <w:tcBorders>
              <w:top w:val="single" w:color="000000" w:sz="4" w:space="0"/>
              <w:left w:val="nil"/>
              <w:bottom w:val="single" w:color="000000" w:sz="4" w:space="0"/>
              <w:right w:val="single" w:color="000000" w:sz="4" w:space="0"/>
            </w:tcBorders>
            <w:vAlign w:val="center"/>
          </w:tcPr>
          <w:p w14:paraId="59598C7D">
            <w:pPr>
              <w:widowControl/>
              <w:jc w:val="left"/>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51110023T000009863127-2023年省级知识产权专项资金预算</w:t>
            </w:r>
          </w:p>
        </w:tc>
      </w:tr>
      <w:tr w14:paraId="7039BBEE">
        <w:tblPrEx>
          <w:tblCellMar>
            <w:top w:w="0" w:type="dxa"/>
            <w:left w:w="108" w:type="dxa"/>
            <w:bottom w:w="0" w:type="dxa"/>
            <w:right w:w="108" w:type="dxa"/>
          </w:tblCellMar>
        </w:tblPrEx>
        <w:trPr>
          <w:trHeight w:val="512" w:hRule="atLeast"/>
        </w:trPr>
        <w:tc>
          <w:tcPr>
            <w:tcW w:w="969" w:type="pct"/>
            <w:gridSpan w:val="2"/>
            <w:tcBorders>
              <w:top w:val="single" w:color="000000" w:sz="4" w:space="0"/>
              <w:left w:val="single" w:color="000000" w:sz="4" w:space="0"/>
              <w:bottom w:val="single" w:color="000000" w:sz="4" w:space="0"/>
              <w:right w:val="single" w:color="000000" w:sz="4" w:space="0"/>
            </w:tcBorders>
            <w:vAlign w:val="center"/>
          </w:tcPr>
          <w:p w14:paraId="5CC8BC63">
            <w:pPr>
              <w:widowControl/>
              <w:jc w:val="left"/>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主管部门</w:t>
            </w:r>
          </w:p>
        </w:tc>
        <w:tc>
          <w:tcPr>
            <w:tcW w:w="2393" w:type="pct"/>
            <w:gridSpan w:val="5"/>
            <w:tcBorders>
              <w:top w:val="single" w:color="000000" w:sz="4" w:space="0"/>
              <w:left w:val="nil"/>
              <w:bottom w:val="single" w:color="000000" w:sz="4" w:space="0"/>
              <w:right w:val="single" w:color="000000" w:sz="4" w:space="0"/>
            </w:tcBorders>
            <w:vAlign w:val="center"/>
          </w:tcPr>
          <w:p w14:paraId="1BF00998">
            <w:pPr>
              <w:widowControl/>
              <w:jc w:val="left"/>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乐山市市场监督管理局</w:t>
            </w:r>
          </w:p>
        </w:tc>
        <w:tc>
          <w:tcPr>
            <w:tcW w:w="386" w:type="pct"/>
            <w:tcBorders>
              <w:top w:val="nil"/>
              <w:left w:val="nil"/>
              <w:bottom w:val="nil"/>
              <w:right w:val="nil"/>
            </w:tcBorders>
            <w:vAlign w:val="center"/>
          </w:tcPr>
          <w:p w14:paraId="62ACC7B6">
            <w:pPr>
              <w:widowControl/>
              <w:jc w:val="left"/>
              <w:rPr>
                <w:rFonts w:hint="eastAsia" w:ascii="黑体" w:hAnsi="黑体" w:eastAsia="黑体" w:cs="宋体"/>
                <w:b w:val="0"/>
                <w:bCs w:val="0"/>
                <w:color w:val="000000"/>
                <w:kern w:val="0"/>
                <w:sz w:val="18"/>
                <w:szCs w:val="18"/>
              </w:rPr>
            </w:pPr>
            <w:r>
              <w:rPr>
                <w:rFonts w:hint="eastAsia" w:ascii="黑体" w:hAnsi="黑体" w:eastAsia="黑体" w:cs="宋体"/>
                <w:b w:val="0"/>
                <w:bCs w:val="0"/>
                <w:color w:val="000000"/>
                <w:kern w:val="0"/>
                <w:sz w:val="18"/>
                <w:szCs w:val="18"/>
              </w:rPr>
              <w:t>实施单位 （盖章）</w:t>
            </w:r>
          </w:p>
        </w:tc>
        <w:tc>
          <w:tcPr>
            <w:tcW w:w="1252" w:type="pct"/>
            <w:gridSpan w:val="3"/>
            <w:tcBorders>
              <w:top w:val="single" w:color="000000" w:sz="4" w:space="0"/>
              <w:left w:val="single" w:color="000000" w:sz="4" w:space="0"/>
              <w:bottom w:val="single" w:color="000000" w:sz="4" w:space="0"/>
              <w:right w:val="single" w:color="000000" w:sz="4" w:space="0"/>
            </w:tcBorders>
            <w:vAlign w:val="center"/>
          </w:tcPr>
          <w:p w14:paraId="19767380">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乐山市知识产权服务促进中心</w:t>
            </w:r>
          </w:p>
        </w:tc>
      </w:tr>
      <w:tr w14:paraId="6D66B5BE">
        <w:tblPrEx>
          <w:tblCellMar>
            <w:top w:w="0" w:type="dxa"/>
            <w:left w:w="108" w:type="dxa"/>
            <w:bottom w:w="0" w:type="dxa"/>
            <w:right w:w="108" w:type="dxa"/>
          </w:tblCellMar>
        </w:tblPrEx>
        <w:trPr>
          <w:trHeight w:val="287" w:hRule="atLeast"/>
        </w:trPr>
        <w:tc>
          <w:tcPr>
            <w:tcW w:w="242" w:type="pct"/>
            <w:vMerge w:val="restart"/>
            <w:tcBorders>
              <w:top w:val="nil"/>
              <w:left w:val="single" w:color="000000" w:sz="4" w:space="0"/>
              <w:bottom w:val="single" w:color="000000" w:sz="4" w:space="0"/>
              <w:right w:val="single" w:color="000000" w:sz="4" w:space="0"/>
            </w:tcBorders>
            <w:vAlign w:val="center"/>
          </w:tcPr>
          <w:p w14:paraId="71EB8FC5">
            <w:pPr>
              <w:widowControl/>
              <w:jc w:val="left"/>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项目基本情况</w:t>
            </w:r>
          </w:p>
        </w:tc>
        <w:tc>
          <w:tcPr>
            <w:tcW w:w="727" w:type="pct"/>
            <w:vMerge w:val="restart"/>
            <w:tcBorders>
              <w:top w:val="nil"/>
              <w:left w:val="single" w:color="000000" w:sz="4" w:space="0"/>
              <w:bottom w:val="single" w:color="000000" w:sz="4" w:space="0"/>
              <w:right w:val="single" w:color="000000" w:sz="4" w:space="0"/>
            </w:tcBorders>
            <w:vAlign w:val="center"/>
          </w:tcPr>
          <w:p w14:paraId="74F77193">
            <w:pPr>
              <w:widowControl/>
              <w:jc w:val="left"/>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1.项目年度目标完成情况</w:t>
            </w:r>
          </w:p>
        </w:tc>
        <w:tc>
          <w:tcPr>
            <w:tcW w:w="2393" w:type="pct"/>
            <w:gridSpan w:val="5"/>
            <w:tcBorders>
              <w:top w:val="single" w:color="000000" w:sz="4" w:space="0"/>
              <w:left w:val="nil"/>
              <w:bottom w:val="single" w:color="000000" w:sz="4" w:space="0"/>
              <w:right w:val="single" w:color="000000" w:sz="4" w:space="0"/>
            </w:tcBorders>
            <w:vAlign w:val="center"/>
          </w:tcPr>
          <w:p w14:paraId="53CCFBBA">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项目年度目标</w:t>
            </w:r>
          </w:p>
        </w:tc>
        <w:tc>
          <w:tcPr>
            <w:tcW w:w="1638" w:type="pct"/>
            <w:gridSpan w:val="4"/>
            <w:tcBorders>
              <w:top w:val="single" w:color="000000" w:sz="4" w:space="0"/>
              <w:left w:val="nil"/>
              <w:bottom w:val="single" w:color="000000" w:sz="4" w:space="0"/>
              <w:right w:val="single" w:color="000000" w:sz="4" w:space="0"/>
            </w:tcBorders>
            <w:vAlign w:val="center"/>
          </w:tcPr>
          <w:p w14:paraId="79E1FAFD">
            <w:pPr>
              <w:widowControl/>
              <w:jc w:val="center"/>
              <w:rPr>
                <w:rFonts w:hint="eastAsia" w:ascii="黑体" w:hAnsi="黑体" w:eastAsia="黑体" w:cs="宋体"/>
                <w:b w:val="0"/>
                <w:bCs w:val="0"/>
                <w:color w:val="000000"/>
                <w:kern w:val="0"/>
                <w:sz w:val="18"/>
                <w:szCs w:val="18"/>
              </w:rPr>
            </w:pPr>
            <w:r>
              <w:rPr>
                <w:rFonts w:hint="eastAsia" w:ascii="黑体" w:hAnsi="黑体" w:eastAsia="黑体" w:cs="宋体"/>
                <w:b w:val="0"/>
                <w:bCs w:val="0"/>
                <w:color w:val="000000"/>
                <w:kern w:val="0"/>
                <w:sz w:val="18"/>
                <w:szCs w:val="18"/>
              </w:rPr>
              <w:t>年度目标完成情况</w:t>
            </w:r>
          </w:p>
        </w:tc>
      </w:tr>
      <w:tr w14:paraId="56ED2FBF">
        <w:tblPrEx>
          <w:tblCellMar>
            <w:top w:w="0" w:type="dxa"/>
            <w:left w:w="108" w:type="dxa"/>
            <w:bottom w:w="0" w:type="dxa"/>
            <w:right w:w="108" w:type="dxa"/>
          </w:tblCellMar>
        </w:tblPrEx>
        <w:trPr>
          <w:trHeight w:val="1356" w:hRule="atLeast"/>
        </w:trPr>
        <w:tc>
          <w:tcPr>
            <w:tcW w:w="242" w:type="pct"/>
            <w:vMerge w:val="continue"/>
            <w:tcBorders>
              <w:top w:val="nil"/>
              <w:left w:val="single" w:color="000000" w:sz="4" w:space="0"/>
              <w:bottom w:val="single" w:color="000000" w:sz="4" w:space="0"/>
              <w:right w:val="single" w:color="000000" w:sz="4" w:space="0"/>
            </w:tcBorders>
            <w:vAlign w:val="center"/>
          </w:tcPr>
          <w:p w14:paraId="1857215A">
            <w:pPr>
              <w:widowControl/>
              <w:jc w:val="left"/>
              <w:rPr>
                <w:rFonts w:hint="eastAsia" w:ascii="宋体" w:hAnsi="宋体" w:cs="宋体"/>
                <w:b w:val="0"/>
                <w:bCs w:val="0"/>
                <w:color w:val="000000"/>
                <w:kern w:val="0"/>
                <w:sz w:val="18"/>
                <w:szCs w:val="18"/>
              </w:rPr>
            </w:pPr>
          </w:p>
        </w:tc>
        <w:tc>
          <w:tcPr>
            <w:tcW w:w="727" w:type="pct"/>
            <w:vMerge w:val="continue"/>
            <w:tcBorders>
              <w:top w:val="nil"/>
              <w:left w:val="single" w:color="000000" w:sz="4" w:space="0"/>
              <w:bottom w:val="single" w:color="000000" w:sz="4" w:space="0"/>
              <w:right w:val="single" w:color="000000" w:sz="4" w:space="0"/>
            </w:tcBorders>
            <w:vAlign w:val="center"/>
          </w:tcPr>
          <w:p w14:paraId="61A73FC0">
            <w:pPr>
              <w:widowControl/>
              <w:jc w:val="left"/>
              <w:rPr>
                <w:rFonts w:hint="eastAsia" w:ascii="宋体" w:hAnsi="宋体" w:cs="宋体"/>
                <w:b w:val="0"/>
                <w:bCs w:val="0"/>
                <w:color w:val="000000"/>
                <w:kern w:val="0"/>
                <w:sz w:val="18"/>
                <w:szCs w:val="18"/>
              </w:rPr>
            </w:pPr>
          </w:p>
        </w:tc>
        <w:tc>
          <w:tcPr>
            <w:tcW w:w="2393" w:type="pct"/>
            <w:gridSpan w:val="5"/>
            <w:tcBorders>
              <w:top w:val="single" w:color="000000" w:sz="4" w:space="0"/>
              <w:left w:val="nil"/>
              <w:bottom w:val="single" w:color="000000" w:sz="4" w:space="0"/>
              <w:right w:val="single" w:color="000000" w:sz="4" w:space="0"/>
            </w:tcBorders>
            <w:vAlign w:val="center"/>
          </w:tcPr>
          <w:p w14:paraId="6845A295">
            <w:pPr>
              <w:widowControl/>
              <w:jc w:val="left"/>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1、国家、省“十四五”知识产权保护和运用规划,市“十四五”知识产权规划重点任务持续推进。</w:t>
            </w:r>
            <w:r>
              <w:rPr>
                <w:rFonts w:hint="eastAsia" w:ascii="宋体" w:hAnsi="宋体" w:cs="宋体"/>
                <w:b w:val="0"/>
                <w:bCs w:val="0"/>
                <w:color w:val="000000"/>
                <w:kern w:val="0"/>
                <w:sz w:val="18"/>
                <w:szCs w:val="18"/>
              </w:rPr>
              <w:br w:type="textWrapping"/>
            </w:r>
            <w:r>
              <w:rPr>
                <w:rFonts w:hint="eastAsia" w:ascii="宋体" w:hAnsi="宋体" w:cs="宋体"/>
                <w:b w:val="0"/>
                <w:bCs w:val="0"/>
                <w:color w:val="000000"/>
                <w:kern w:val="0"/>
                <w:sz w:val="18"/>
                <w:szCs w:val="18"/>
              </w:rPr>
              <w:t>2、全市营商环境知识产权指标评价得分明显提升。</w:t>
            </w:r>
            <w:r>
              <w:rPr>
                <w:rFonts w:hint="eastAsia" w:ascii="宋体" w:hAnsi="宋体" w:cs="宋体"/>
                <w:b w:val="0"/>
                <w:bCs w:val="0"/>
                <w:color w:val="000000"/>
                <w:kern w:val="0"/>
                <w:sz w:val="18"/>
                <w:szCs w:val="18"/>
              </w:rPr>
              <w:br w:type="textWrapping"/>
            </w:r>
            <w:r>
              <w:rPr>
                <w:rFonts w:hint="eastAsia" w:ascii="宋体" w:hAnsi="宋体" w:cs="宋体"/>
                <w:b w:val="0"/>
                <w:bCs w:val="0"/>
                <w:color w:val="000000"/>
                <w:kern w:val="0"/>
                <w:sz w:val="18"/>
                <w:szCs w:val="18"/>
              </w:rPr>
              <w:t>3、区域知识产权工作进一步深化，企事业单位知识产权创造质量、运用效益、保护效果、管理水平进一步增强。</w:t>
            </w:r>
            <w:r>
              <w:rPr>
                <w:rFonts w:hint="eastAsia" w:ascii="宋体" w:hAnsi="宋体" w:cs="宋体"/>
                <w:b w:val="0"/>
                <w:bCs w:val="0"/>
                <w:color w:val="000000"/>
                <w:kern w:val="0"/>
                <w:sz w:val="18"/>
                <w:szCs w:val="18"/>
              </w:rPr>
              <w:br w:type="textWrapping"/>
            </w:r>
            <w:r>
              <w:rPr>
                <w:rFonts w:hint="eastAsia" w:ascii="宋体" w:hAnsi="宋体" w:cs="宋体"/>
                <w:b w:val="0"/>
                <w:bCs w:val="0"/>
                <w:color w:val="000000"/>
                <w:kern w:val="0"/>
                <w:sz w:val="18"/>
                <w:szCs w:val="18"/>
              </w:rPr>
              <w:t>4.新增一批国家知识产权试点示范单位。</w:t>
            </w:r>
          </w:p>
        </w:tc>
        <w:tc>
          <w:tcPr>
            <w:tcW w:w="1638" w:type="pct"/>
            <w:gridSpan w:val="4"/>
            <w:tcBorders>
              <w:top w:val="single" w:color="000000" w:sz="4" w:space="0"/>
              <w:left w:val="nil"/>
              <w:bottom w:val="single" w:color="000000" w:sz="4" w:space="0"/>
              <w:right w:val="single" w:color="000000" w:sz="4" w:space="0"/>
            </w:tcBorders>
            <w:vAlign w:val="center"/>
          </w:tcPr>
          <w:p w14:paraId="527B154E">
            <w:pPr>
              <w:widowControl/>
              <w:jc w:val="left"/>
              <w:rPr>
                <w:rFonts w:hint="eastAsia" w:ascii="黑体" w:hAnsi="黑体" w:eastAsia="黑体" w:cs="宋体"/>
                <w:b w:val="0"/>
                <w:bCs w:val="0"/>
                <w:color w:val="000000"/>
                <w:kern w:val="0"/>
                <w:sz w:val="18"/>
                <w:szCs w:val="18"/>
              </w:rPr>
            </w:pPr>
            <w:r>
              <w:rPr>
                <w:rFonts w:hint="eastAsia" w:ascii="黑体" w:hAnsi="黑体" w:eastAsia="黑体" w:cs="宋体"/>
                <w:b w:val="0"/>
                <w:bCs w:val="0"/>
                <w:color w:val="000000"/>
                <w:kern w:val="0"/>
                <w:sz w:val="18"/>
                <w:szCs w:val="18"/>
              </w:rPr>
              <w:t>对照年度目标，说明相关任务目标的完成情况（100字以内）</w:t>
            </w:r>
          </w:p>
        </w:tc>
      </w:tr>
      <w:tr w14:paraId="4CC6FAF2">
        <w:tblPrEx>
          <w:tblCellMar>
            <w:top w:w="0" w:type="dxa"/>
            <w:left w:w="108" w:type="dxa"/>
            <w:bottom w:w="0" w:type="dxa"/>
            <w:right w:w="108" w:type="dxa"/>
          </w:tblCellMar>
        </w:tblPrEx>
        <w:trPr>
          <w:trHeight w:val="694" w:hRule="atLeast"/>
        </w:trPr>
        <w:tc>
          <w:tcPr>
            <w:tcW w:w="242" w:type="pct"/>
            <w:vMerge w:val="continue"/>
            <w:tcBorders>
              <w:top w:val="nil"/>
              <w:left w:val="single" w:color="000000" w:sz="4" w:space="0"/>
              <w:bottom w:val="single" w:color="000000" w:sz="4" w:space="0"/>
              <w:right w:val="single" w:color="000000" w:sz="4" w:space="0"/>
            </w:tcBorders>
            <w:vAlign w:val="center"/>
          </w:tcPr>
          <w:p w14:paraId="644D8721">
            <w:pPr>
              <w:widowControl/>
              <w:jc w:val="left"/>
              <w:rPr>
                <w:rFonts w:hint="eastAsia" w:ascii="宋体" w:hAnsi="宋体" w:cs="宋体"/>
                <w:b w:val="0"/>
                <w:bCs w:val="0"/>
                <w:color w:val="000000"/>
                <w:kern w:val="0"/>
                <w:sz w:val="18"/>
                <w:szCs w:val="18"/>
              </w:rPr>
            </w:pPr>
          </w:p>
        </w:tc>
        <w:tc>
          <w:tcPr>
            <w:tcW w:w="727" w:type="pct"/>
            <w:tcBorders>
              <w:top w:val="nil"/>
              <w:left w:val="nil"/>
              <w:bottom w:val="single" w:color="000000" w:sz="4" w:space="0"/>
              <w:right w:val="single" w:color="000000" w:sz="4" w:space="0"/>
            </w:tcBorders>
            <w:vAlign w:val="center"/>
          </w:tcPr>
          <w:p w14:paraId="0D45E78A">
            <w:pPr>
              <w:widowControl/>
              <w:jc w:val="left"/>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2.项目实施内容及过程概述</w:t>
            </w:r>
          </w:p>
        </w:tc>
        <w:tc>
          <w:tcPr>
            <w:tcW w:w="4031" w:type="pct"/>
            <w:gridSpan w:val="9"/>
            <w:tcBorders>
              <w:top w:val="single" w:color="000000" w:sz="4" w:space="0"/>
              <w:left w:val="nil"/>
              <w:bottom w:val="single" w:color="000000" w:sz="4" w:space="0"/>
              <w:right w:val="single" w:color="000000" w:sz="4" w:space="0"/>
            </w:tcBorders>
            <w:vAlign w:val="center"/>
          </w:tcPr>
          <w:p w14:paraId="4DD057D9">
            <w:pPr>
              <w:widowControl/>
              <w:jc w:val="left"/>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　</w:t>
            </w:r>
          </w:p>
        </w:tc>
      </w:tr>
      <w:tr w14:paraId="00DE7F84">
        <w:tblPrEx>
          <w:tblCellMar>
            <w:top w:w="0" w:type="dxa"/>
            <w:left w:w="108" w:type="dxa"/>
            <w:bottom w:w="0" w:type="dxa"/>
            <w:right w:w="108" w:type="dxa"/>
          </w:tblCellMar>
        </w:tblPrEx>
        <w:trPr>
          <w:trHeight w:val="362" w:hRule="atLeast"/>
        </w:trPr>
        <w:tc>
          <w:tcPr>
            <w:tcW w:w="242" w:type="pct"/>
            <w:vMerge w:val="restart"/>
            <w:tcBorders>
              <w:top w:val="nil"/>
              <w:left w:val="single" w:color="000000" w:sz="4" w:space="0"/>
              <w:bottom w:val="single" w:color="000000" w:sz="4" w:space="0"/>
              <w:right w:val="single" w:color="000000" w:sz="4" w:space="0"/>
            </w:tcBorders>
            <w:vAlign w:val="center"/>
          </w:tcPr>
          <w:p w14:paraId="0895EAF6">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预算执行情况（10分）</w:t>
            </w:r>
          </w:p>
        </w:tc>
        <w:tc>
          <w:tcPr>
            <w:tcW w:w="727" w:type="pct"/>
            <w:tcBorders>
              <w:top w:val="nil"/>
              <w:left w:val="nil"/>
              <w:bottom w:val="single" w:color="000000" w:sz="4" w:space="0"/>
              <w:right w:val="single" w:color="000000" w:sz="4" w:space="0"/>
            </w:tcBorders>
            <w:vAlign w:val="center"/>
          </w:tcPr>
          <w:p w14:paraId="7A63990F">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年度预算数（万元）</w:t>
            </w:r>
          </w:p>
        </w:tc>
        <w:tc>
          <w:tcPr>
            <w:tcW w:w="628" w:type="pct"/>
            <w:tcBorders>
              <w:top w:val="nil"/>
              <w:left w:val="nil"/>
              <w:bottom w:val="single" w:color="000000" w:sz="4" w:space="0"/>
              <w:right w:val="single" w:color="000000" w:sz="4" w:space="0"/>
            </w:tcBorders>
            <w:vAlign w:val="center"/>
          </w:tcPr>
          <w:p w14:paraId="59F3CF68">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年初预算</w:t>
            </w:r>
          </w:p>
        </w:tc>
        <w:tc>
          <w:tcPr>
            <w:tcW w:w="803" w:type="pct"/>
            <w:tcBorders>
              <w:top w:val="nil"/>
              <w:left w:val="nil"/>
              <w:bottom w:val="single" w:color="000000" w:sz="4" w:space="0"/>
              <w:right w:val="single" w:color="000000" w:sz="4" w:space="0"/>
            </w:tcBorders>
            <w:vAlign w:val="center"/>
          </w:tcPr>
          <w:p w14:paraId="7968A577">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调整后预算数</w:t>
            </w:r>
          </w:p>
        </w:tc>
        <w:tc>
          <w:tcPr>
            <w:tcW w:w="962" w:type="pct"/>
            <w:gridSpan w:val="3"/>
            <w:tcBorders>
              <w:top w:val="single" w:color="000000" w:sz="4" w:space="0"/>
              <w:left w:val="nil"/>
              <w:bottom w:val="single" w:color="000000" w:sz="4" w:space="0"/>
              <w:right w:val="single" w:color="000000" w:sz="4" w:space="0"/>
            </w:tcBorders>
            <w:vAlign w:val="center"/>
          </w:tcPr>
          <w:p w14:paraId="3EA0BA85">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预算执行数</w:t>
            </w:r>
          </w:p>
        </w:tc>
        <w:tc>
          <w:tcPr>
            <w:tcW w:w="386" w:type="pct"/>
            <w:tcBorders>
              <w:top w:val="nil"/>
              <w:left w:val="nil"/>
              <w:bottom w:val="single" w:color="000000" w:sz="4" w:space="0"/>
              <w:right w:val="single" w:color="000000" w:sz="4" w:space="0"/>
            </w:tcBorders>
            <w:vAlign w:val="center"/>
          </w:tcPr>
          <w:p w14:paraId="3720568F">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预算执行率</w:t>
            </w:r>
          </w:p>
        </w:tc>
        <w:tc>
          <w:tcPr>
            <w:tcW w:w="184" w:type="pct"/>
            <w:tcBorders>
              <w:top w:val="nil"/>
              <w:left w:val="nil"/>
              <w:bottom w:val="single" w:color="000000" w:sz="4" w:space="0"/>
              <w:right w:val="single" w:color="000000" w:sz="4" w:space="0"/>
            </w:tcBorders>
            <w:vAlign w:val="center"/>
          </w:tcPr>
          <w:p w14:paraId="6EA58869">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权重</w:t>
            </w:r>
          </w:p>
        </w:tc>
        <w:tc>
          <w:tcPr>
            <w:tcW w:w="159" w:type="pct"/>
            <w:tcBorders>
              <w:top w:val="nil"/>
              <w:left w:val="nil"/>
              <w:bottom w:val="single" w:color="000000" w:sz="4" w:space="0"/>
              <w:right w:val="single" w:color="000000" w:sz="4" w:space="0"/>
            </w:tcBorders>
            <w:vAlign w:val="center"/>
          </w:tcPr>
          <w:p w14:paraId="5F6F0387">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得分</w:t>
            </w:r>
          </w:p>
        </w:tc>
        <w:tc>
          <w:tcPr>
            <w:tcW w:w="909" w:type="pct"/>
            <w:tcBorders>
              <w:top w:val="nil"/>
              <w:left w:val="nil"/>
              <w:bottom w:val="single" w:color="000000" w:sz="4" w:space="0"/>
              <w:right w:val="single" w:color="000000" w:sz="4" w:space="0"/>
            </w:tcBorders>
            <w:vAlign w:val="center"/>
          </w:tcPr>
          <w:p w14:paraId="40E734B9">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原因</w:t>
            </w:r>
          </w:p>
        </w:tc>
      </w:tr>
      <w:tr w14:paraId="162F92C5">
        <w:tblPrEx>
          <w:tblCellMar>
            <w:top w:w="0" w:type="dxa"/>
            <w:left w:w="108" w:type="dxa"/>
            <w:bottom w:w="0" w:type="dxa"/>
            <w:right w:w="108" w:type="dxa"/>
          </w:tblCellMar>
        </w:tblPrEx>
        <w:trPr>
          <w:trHeight w:val="347" w:hRule="atLeast"/>
        </w:trPr>
        <w:tc>
          <w:tcPr>
            <w:tcW w:w="242" w:type="pct"/>
            <w:vMerge w:val="continue"/>
            <w:tcBorders>
              <w:top w:val="nil"/>
              <w:left w:val="single" w:color="000000" w:sz="4" w:space="0"/>
              <w:bottom w:val="single" w:color="000000" w:sz="4" w:space="0"/>
              <w:right w:val="single" w:color="000000" w:sz="4" w:space="0"/>
            </w:tcBorders>
            <w:vAlign w:val="center"/>
          </w:tcPr>
          <w:p w14:paraId="72CEAA6A">
            <w:pPr>
              <w:widowControl/>
              <w:jc w:val="left"/>
              <w:rPr>
                <w:rFonts w:hint="eastAsia" w:ascii="宋体" w:hAnsi="宋体" w:cs="宋体"/>
                <w:b w:val="0"/>
                <w:bCs w:val="0"/>
                <w:color w:val="000000"/>
                <w:kern w:val="0"/>
                <w:sz w:val="18"/>
                <w:szCs w:val="18"/>
              </w:rPr>
            </w:pPr>
          </w:p>
        </w:tc>
        <w:tc>
          <w:tcPr>
            <w:tcW w:w="727" w:type="pct"/>
            <w:tcBorders>
              <w:top w:val="nil"/>
              <w:left w:val="nil"/>
              <w:bottom w:val="single" w:color="000000" w:sz="4" w:space="0"/>
              <w:right w:val="single" w:color="000000" w:sz="4" w:space="0"/>
            </w:tcBorders>
            <w:vAlign w:val="center"/>
          </w:tcPr>
          <w:p w14:paraId="7D6C9EF0">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总额</w:t>
            </w:r>
          </w:p>
        </w:tc>
        <w:tc>
          <w:tcPr>
            <w:tcW w:w="628" w:type="pct"/>
            <w:tcBorders>
              <w:top w:val="nil"/>
              <w:left w:val="nil"/>
              <w:bottom w:val="single" w:color="000000" w:sz="4" w:space="0"/>
              <w:right w:val="single" w:color="000000" w:sz="4" w:space="0"/>
            </w:tcBorders>
            <w:vAlign w:val="center"/>
          </w:tcPr>
          <w:p w14:paraId="4B1A6149">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0.00</w:t>
            </w:r>
          </w:p>
        </w:tc>
        <w:tc>
          <w:tcPr>
            <w:tcW w:w="803" w:type="pct"/>
            <w:tcBorders>
              <w:top w:val="nil"/>
              <w:left w:val="nil"/>
              <w:bottom w:val="single" w:color="000000" w:sz="4" w:space="0"/>
              <w:right w:val="single" w:color="000000" w:sz="4" w:space="0"/>
            </w:tcBorders>
            <w:vAlign w:val="center"/>
          </w:tcPr>
          <w:p w14:paraId="4E131059">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96.00</w:t>
            </w:r>
          </w:p>
        </w:tc>
        <w:tc>
          <w:tcPr>
            <w:tcW w:w="962" w:type="pct"/>
            <w:gridSpan w:val="3"/>
            <w:tcBorders>
              <w:top w:val="single" w:color="000000" w:sz="4" w:space="0"/>
              <w:left w:val="nil"/>
              <w:bottom w:val="single" w:color="000000" w:sz="4" w:space="0"/>
              <w:right w:val="single" w:color="000000" w:sz="4" w:space="0"/>
            </w:tcBorders>
            <w:vAlign w:val="center"/>
          </w:tcPr>
          <w:p w14:paraId="4C671693">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96.00</w:t>
            </w:r>
          </w:p>
        </w:tc>
        <w:tc>
          <w:tcPr>
            <w:tcW w:w="386" w:type="pct"/>
            <w:tcBorders>
              <w:top w:val="nil"/>
              <w:left w:val="nil"/>
              <w:bottom w:val="single" w:color="000000" w:sz="4" w:space="0"/>
              <w:right w:val="single" w:color="000000" w:sz="4" w:space="0"/>
            </w:tcBorders>
            <w:vAlign w:val="center"/>
          </w:tcPr>
          <w:p w14:paraId="29D9E2FD">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100.00%</w:t>
            </w:r>
          </w:p>
        </w:tc>
        <w:tc>
          <w:tcPr>
            <w:tcW w:w="184" w:type="pct"/>
            <w:tcBorders>
              <w:top w:val="nil"/>
              <w:left w:val="nil"/>
              <w:bottom w:val="single" w:color="000000" w:sz="4" w:space="0"/>
              <w:right w:val="single" w:color="000000" w:sz="4" w:space="0"/>
            </w:tcBorders>
            <w:vAlign w:val="center"/>
          </w:tcPr>
          <w:p w14:paraId="26E5D8BB">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10</w:t>
            </w:r>
          </w:p>
        </w:tc>
        <w:tc>
          <w:tcPr>
            <w:tcW w:w="159" w:type="pct"/>
            <w:tcBorders>
              <w:top w:val="nil"/>
              <w:left w:val="nil"/>
              <w:bottom w:val="single" w:color="000000" w:sz="4" w:space="0"/>
              <w:right w:val="single" w:color="000000" w:sz="4" w:space="0"/>
            </w:tcBorders>
            <w:vAlign w:val="center"/>
          </w:tcPr>
          <w:p w14:paraId="5AB84916">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　</w:t>
            </w:r>
          </w:p>
        </w:tc>
        <w:tc>
          <w:tcPr>
            <w:tcW w:w="909" w:type="pct"/>
            <w:vMerge w:val="restart"/>
            <w:tcBorders>
              <w:top w:val="nil"/>
              <w:left w:val="single" w:color="000000" w:sz="4" w:space="0"/>
              <w:bottom w:val="single" w:color="000000" w:sz="4" w:space="0"/>
              <w:right w:val="single" w:color="000000" w:sz="4" w:space="0"/>
            </w:tcBorders>
            <w:vAlign w:val="center"/>
          </w:tcPr>
          <w:p w14:paraId="6AD8B1F2">
            <w:pPr>
              <w:widowControl/>
              <w:jc w:val="left"/>
              <w:rPr>
                <w:rFonts w:hint="eastAsia" w:ascii="黑体" w:hAnsi="黑体" w:eastAsia="黑体" w:cs="宋体"/>
                <w:b w:val="0"/>
                <w:bCs w:val="0"/>
                <w:i/>
                <w:iCs/>
                <w:color w:val="000000"/>
                <w:kern w:val="0"/>
                <w:sz w:val="18"/>
                <w:szCs w:val="18"/>
              </w:rPr>
            </w:pPr>
            <w:r>
              <w:rPr>
                <w:rFonts w:hint="eastAsia" w:ascii="黑体" w:hAnsi="黑体" w:eastAsia="黑体" w:cs="宋体"/>
                <w:b w:val="0"/>
                <w:bCs w:val="0"/>
                <w:i/>
                <w:iCs/>
                <w:color w:val="000000"/>
                <w:kern w:val="0"/>
                <w:sz w:val="18"/>
                <w:szCs w:val="18"/>
              </w:rPr>
              <w:t>1.预算执行率=预算执行数/调整后预算数，预算执行率未达到90%的需说明原因（100字以内）;2.年中发生预算调整的（追加或调减）,应单独说明理由；3.其他资金包括：社会投入资金、银行贷款.</w:t>
            </w:r>
          </w:p>
        </w:tc>
      </w:tr>
      <w:tr w14:paraId="419B9445">
        <w:tblPrEx>
          <w:tblCellMar>
            <w:top w:w="0" w:type="dxa"/>
            <w:left w:w="108" w:type="dxa"/>
            <w:bottom w:w="0" w:type="dxa"/>
            <w:right w:w="108" w:type="dxa"/>
          </w:tblCellMar>
        </w:tblPrEx>
        <w:trPr>
          <w:trHeight w:val="392" w:hRule="atLeast"/>
        </w:trPr>
        <w:tc>
          <w:tcPr>
            <w:tcW w:w="242" w:type="pct"/>
            <w:vMerge w:val="continue"/>
            <w:tcBorders>
              <w:top w:val="nil"/>
              <w:left w:val="single" w:color="000000" w:sz="4" w:space="0"/>
              <w:bottom w:val="single" w:color="000000" w:sz="4" w:space="0"/>
              <w:right w:val="single" w:color="000000" w:sz="4" w:space="0"/>
            </w:tcBorders>
            <w:vAlign w:val="center"/>
          </w:tcPr>
          <w:p w14:paraId="3A1E3ACD">
            <w:pPr>
              <w:widowControl/>
              <w:jc w:val="left"/>
              <w:rPr>
                <w:rFonts w:hint="eastAsia" w:ascii="宋体" w:hAnsi="宋体" w:cs="宋体"/>
                <w:b w:val="0"/>
                <w:bCs w:val="0"/>
                <w:color w:val="000000"/>
                <w:kern w:val="0"/>
                <w:sz w:val="18"/>
                <w:szCs w:val="18"/>
              </w:rPr>
            </w:pPr>
          </w:p>
        </w:tc>
        <w:tc>
          <w:tcPr>
            <w:tcW w:w="727" w:type="pct"/>
            <w:tcBorders>
              <w:top w:val="nil"/>
              <w:left w:val="nil"/>
              <w:bottom w:val="single" w:color="000000" w:sz="4" w:space="0"/>
              <w:right w:val="single" w:color="000000" w:sz="4" w:space="0"/>
            </w:tcBorders>
            <w:vAlign w:val="center"/>
          </w:tcPr>
          <w:p w14:paraId="34C29CE5">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其中：财政资金</w:t>
            </w:r>
          </w:p>
        </w:tc>
        <w:tc>
          <w:tcPr>
            <w:tcW w:w="628" w:type="pct"/>
            <w:tcBorders>
              <w:top w:val="nil"/>
              <w:left w:val="nil"/>
              <w:bottom w:val="single" w:color="000000" w:sz="4" w:space="0"/>
              <w:right w:val="single" w:color="000000" w:sz="4" w:space="0"/>
            </w:tcBorders>
            <w:vAlign w:val="center"/>
          </w:tcPr>
          <w:p w14:paraId="2909CF8A">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0.00</w:t>
            </w:r>
          </w:p>
        </w:tc>
        <w:tc>
          <w:tcPr>
            <w:tcW w:w="803" w:type="pct"/>
            <w:tcBorders>
              <w:top w:val="nil"/>
              <w:left w:val="nil"/>
              <w:bottom w:val="single" w:color="000000" w:sz="4" w:space="0"/>
              <w:right w:val="single" w:color="000000" w:sz="4" w:space="0"/>
            </w:tcBorders>
            <w:vAlign w:val="center"/>
          </w:tcPr>
          <w:p w14:paraId="786BAC82">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96.00</w:t>
            </w:r>
          </w:p>
        </w:tc>
        <w:tc>
          <w:tcPr>
            <w:tcW w:w="962" w:type="pct"/>
            <w:gridSpan w:val="3"/>
            <w:tcBorders>
              <w:top w:val="single" w:color="000000" w:sz="4" w:space="0"/>
              <w:left w:val="nil"/>
              <w:bottom w:val="single" w:color="000000" w:sz="4" w:space="0"/>
              <w:right w:val="single" w:color="000000" w:sz="4" w:space="0"/>
            </w:tcBorders>
            <w:vAlign w:val="center"/>
          </w:tcPr>
          <w:p w14:paraId="55C5ED16">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96.00</w:t>
            </w:r>
          </w:p>
        </w:tc>
        <w:tc>
          <w:tcPr>
            <w:tcW w:w="386" w:type="pct"/>
            <w:tcBorders>
              <w:top w:val="nil"/>
              <w:left w:val="nil"/>
              <w:bottom w:val="single" w:color="000000" w:sz="4" w:space="0"/>
              <w:right w:val="single" w:color="000000" w:sz="4" w:space="0"/>
            </w:tcBorders>
            <w:vAlign w:val="center"/>
          </w:tcPr>
          <w:p w14:paraId="25255A8E">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100.00%</w:t>
            </w:r>
          </w:p>
        </w:tc>
        <w:tc>
          <w:tcPr>
            <w:tcW w:w="184" w:type="pct"/>
            <w:tcBorders>
              <w:top w:val="nil"/>
              <w:left w:val="nil"/>
              <w:bottom w:val="single" w:color="000000" w:sz="4" w:space="0"/>
              <w:right w:val="single" w:color="000000" w:sz="4" w:space="0"/>
            </w:tcBorders>
            <w:vAlign w:val="center"/>
          </w:tcPr>
          <w:p w14:paraId="250FD334">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w:t>
            </w:r>
          </w:p>
        </w:tc>
        <w:tc>
          <w:tcPr>
            <w:tcW w:w="159" w:type="pct"/>
            <w:tcBorders>
              <w:top w:val="nil"/>
              <w:left w:val="nil"/>
              <w:bottom w:val="single" w:color="000000" w:sz="4" w:space="0"/>
              <w:right w:val="single" w:color="000000" w:sz="4" w:space="0"/>
            </w:tcBorders>
            <w:vAlign w:val="center"/>
          </w:tcPr>
          <w:p w14:paraId="6B262EA8">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w:t>
            </w:r>
          </w:p>
        </w:tc>
        <w:tc>
          <w:tcPr>
            <w:tcW w:w="909" w:type="pct"/>
            <w:vMerge w:val="continue"/>
            <w:tcBorders>
              <w:top w:val="nil"/>
              <w:left w:val="single" w:color="000000" w:sz="4" w:space="0"/>
              <w:bottom w:val="single" w:color="000000" w:sz="4" w:space="0"/>
              <w:right w:val="single" w:color="000000" w:sz="4" w:space="0"/>
            </w:tcBorders>
            <w:vAlign w:val="center"/>
          </w:tcPr>
          <w:p w14:paraId="32D8C8C9">
            <w:pPr>
              <w:widowControl/>
              <w:jc w:val="left"/>
              <w:rPr>
                <w:rFonts w:hint="eastAsia" w:ascii="黑体" w:hAnsi="黑体" w:eastAsia="黑体" w:cs="宋体"/>
                <w:b w:val="0"/>
                <w:bCs w:val="0"/>
                <w:i/>
                <w:iCs/>
                <w:color w:val="000000"/>
                <w:kern w:val="0"/>
                <w:sz w:val="18"/>
                <w:szCs w:val="18"/>
              </w:rPr>
            </w:pPr>
          </w:p>
        </w:tc>
      </w:tr>
      <w:tr w14:paraId="547CF2F2">
        <w:tblPrEx>
          <w:tblCellMar>
            <w:top w:w="0" w:type="dxa"/>
            <w:left w:w="108" w:type="dxa"/>
            <w:bottom w:w="0" w:type="dxa"/>
            <w:right w:w="108" w:type="dxa"/>
          </w:tblCellMar>
        </w:tblPrEx>
        <w:trPr>
          <w:trHeight w:val="407" w:hRule="atLeast"/>
        </w:trPr>
        <w:tc>
          <w:tcPr>
            <w:tcW w:w="242" w:type="pct"/>
            <w:vMerge w:val="continue"/>
            <w:tcBorders>
              <w:top w:val="nil"/>
              <w:left w:val="single" w:color="000000" w:sz="4" w:space="0"/>
              <w:bottom w:val="single" w:color="000000" w:sz="4" w:space="0"/>
              <w:right w:val="single" w:color="000000" w:sz="4" w:space="0"/>
            </w:tcBorders>
            <w:vAlign w:val="center"/>
          </w:tcPr>
          <w:p w14:paraId="0893FF53">
            <w:pPr>
              <w:widowControl/>
              <w:jc w:val="left"/>
              <w:rPr>
                <w:rFonts w:hint="eastAsia" w:ascii="宋体" w:hAnsi="宋体" w:cs="宋体"/>
                <w:b w:val="0"/>
                <w:bCs w:val="0"/>
                <w:color w:val="000000"/>
                <w:kern w:val="0"/>
                <w:sz w:val="18"/>
                <w:szCs w:val="18"/>
              </w:rPr>
            </w:pPr>
          </w:p>
        </w:tc>
        <w:tc>
          <w:tcPr>
            <w:tcW w:w="727" w:type="pct"/>
            <w:tcBorders>
              <w:top w:val="nil"/>
              <w:left w:val="nil"/>
              <w:bottom w:val="single" w:color="000000" w:sz="4" w:space="0"/>
              <w:right w:val="single" w:color="000000" w:sz="4" w:space="0"/>
            </w:tcBorders>
            <w:vAlign w:val="center"/>
          </w:tcPr>
          <w:p w14:paraId="30B6C7FA">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财政专户管理资金</w:t>
            </w:r>
          </w:p>
        </w:tc>
        <w:tc>
          <w:tcPr>
            <w:tcW w:w="628" w:type="pct"/>
            <w:tcBorders>
              <w:top w:val="nil"/>
              <w:left w:val="nil"/>
              <w:bottom w:val="single" w:color="000000" w:sz="4" w:space="0"/>
              <w:right w:val="single" w:color="000000" w:sz="4" w:space="0"/>
            </w:tcBorders>
            <w:vAlign w:val="center"/>
          </w:tcPr>
          <w:p w14:paraId="6F229DD4">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0.00</w:t>
            </w:r>
          </w:p>
        </w:tc>
        <w:tc>
          <w:tcPr>
            <w:tcW w:w="803" w:type="pct"/>
            <w:tcBorders>
              <w:top w:val="nil"/>
              <w:left w:val="nil"/>
              <w:bottom w:val="single" w:color="000000" w:sz="4" w:space="0"/>
              <w:right w:val="single" w:color="000000" w:sz="4" w:space="0"/>
            </w:tcBorders>
            <w:vAlign w:val="center"/>
          </w:tcPr>
          <w:p w14:paraId="1E0DD051">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0.00</w:t>
            </w:r>
          </w:p>
        </w:tc>
        <w:tc>
          <w:tcPr>
            <w:tcW w:w="962" w:type="pct"/>
            <w:gridSpan w:val="3"/>
            <w:tcBorders>
              <w:top w:val="single" w:color="000000" w:sz="4" w:space="0"/>
              <w:left w:val="nil"/>
              <w:bottom w:val="single" w:color="000000" w:sz="4" w:space="0"/>
              <w:right w:val="single" w:color="000000" w:sz="4" w:space="0"/>
            </w:tcBorders>
            <w:vAlign w:val="center"/>
          </w:tcPr>
          <w:p w14:paraId="12FD8879">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0.00</w:t>
            </w:r>
          </w:p>
        </w:tc>
        <w:tc>
          <w:tcPr>
            <w:tcW w:w="386" w:type="pct"/>
            <w:tcBorders>
              <w:top w:val="nil"/>
              <w:left w:val="nil"/>
              <w:bottom w:val="single" w:color="000000" w:sz="4" w:space="0"/>
              <w:right w:val="single" w:color="000000" w:sz="4" w:space="0"/>
            </w:tcBorders>
            <w:vAlign w:val="center"/>
          </w:tcPr>
          <w:p w14:paraId="236943A7">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0.00%</w:t>
            </w:r>
          </w:p>
        </w:tc>
        <w:tc>
          <w:tcPr>
            <w:tcW w:w="184" w:type="pct"/>
            <w:tcBorders>
              <w:top w:val="nil"/>
              <w:left w:val="nil"/>
              <w:bottom w:val="single" w:color="000000" w:sz="4" w:space="0"/>
              <w:right w:val="single" w:color="000000" w:sz="4" w:space="0"/>
            </w:tcBorders>
            <w:vAlign w:val="center"/>
          </w:tcPr>
          <w:p w14:paraId="18553244">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w:t>
            </w:r>
          </w:p>
        </w:tc>
        <w:tc>
          <w:tcPr>
            <w:tcW w:w="159" w:type="pct"/>
            <w:tcBorders>
              <w:top w:val="nil"/>
              <w:left w:val="nil"/>
              <w:bottom w:val="single" w:color="000000" w:sz="4" w:space="0"/>
              <w:right w:val="single" w:color="000000" w:sz="4" w:space="0"/>
            </w:tcBorders>
            <w:vAlign w:val="center"/>
          </w:tcPr>
          <w:p w14:paraId="177610F4">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w:t>
            </w:r>
          </w:p>
        </w:tc>
        <w:tc>
          <w:tcPr>
            <w:tcW w:w="909" w:type="pct"/>
            <w:vMerge w:val="continue"/>
            <w:tcBorders>
              <w:top w:val="nil"/>
              <w:left w:val="single" w:color="000000" w:sz="4" w:space="0"/>
              <w:bottom w:val="single" w:color="000000" w:sz="4" w:space="0"/>
              <w:right w:val="single" w:color="000000" w:sz="4" w:space="0"/>
            </w:tcBorders>
            <w:vAlign w:val="center"/>
          </w:tcPr>
          <w:p w14:paraId="27752799">
            <w:pPr>
              <w:widowControl/>
              <w:jc w:val="left"/>
              <w:rPr>
                <w:rFonts w:hint="eastAsia" w:ascii="黑体" w:hAnsi="黑体" w:eastAsia="黑体" w:cs="宋体"/>
                <w:b w:val="0"/>
                <w:bCs w:val="0"/>
                <w:i/>
                <w:iCs/>
                <w:color w:val="000000"/>
                <w:kern w:val="0"/>
                <w:sz w:val="18"/>
                <w:szCs w:val="18"/>
              </w:rPr>
            </w:pPr>
          </w:p>
        </w:tc>
      </w:tr>
      <w:tr w14:paraId="12F7A89E">
        <w:tblPrEx>
          <w:tblCellMar>
            <w:top w:w="0" w:type="dxa"/>
            <w:left w:w="108" w:type="dxa"/>
            <w:bottom w:w="0" w:type="dxa"/>
            <w:right w:w="108" w:type="dxa"/>
          </w:tblCellMar>
        </w:tblPrEx>
        <w:trPr>
          <w:trHeight w:val="362" w:hRule="atLeast"/>
        </w:trPr>
        <w:tc>
          <w:tcPr>
            <w:tcW w:w="242" w:type="pct"/>
            <w:vMerge w:val="continue"/>
            <w:tcBorders>
              <w:top w:val="nil"/>
              <w:left w:val="single" w:color="000000" w:sz="4" w:space="0"/>
              <w:bottom w:val="single" w:color="000000" w:sz="4" w:space="0"/>
              <w:right w:val="single" w:color="000000" w:sz="4" w:space="0"/>
            </w:tcBorders>
            <w:vAlign w:val="center"/>
          </w:tcPr>
          <w:p w14:paraId="58810A00">
            <w:pPr>
              <w:widowControl/>
              <w:jc w:val="left"/>
              <w:rPr>
                <w:rFonts w:hint="eastAsia" w:ascii="宋体" w:hAnsi="宋体" w:cs="宋体"/>
                <w:b w:val="0"/>
                <w:bCs w:val="0"/>
                <w:color w:val="000000"/>
                <w:kern w:val="0"/>
                <w:sz w:val="18"/>
                <w:szCs w:val="18"/>
              </w:rPr>
            </w:pPr>
          </w:p>
        </w:tc>
        <w:tc>
          <w:tcPr>
            <w:tcW w:w="727" w:type="pct"/>
            <w:tcBorders>
              <w:top w:val="nil"/>
              <w:left w:val="nil"/>
              <w:bottom w:val="single" w:color="000000" w:sz="4" w:space="0"/>
              <w:right w:val="single" w:color="000000" w:sz="4" w:space="0"/>
            </w:tcBorders>
            <w:vAlign w:val="center"/>
          </w:tcPr>
          <w:p w14:paraId="696984E7">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单位资金</w:t>
            </w:r>
          </w:p>
        </w:tc>
        <w:tc>
          <w:tcPr>
            <w:tcW w:w="628" w:type="pct"/>
            <w:tcBorders>
              <w:top w:val="nil"/>
              <w:left w:val="nil"/>
              <w:bottom w:val="single" w:color="000000" w:sz="4" w:space="0"/>
              <w:right w:val="single" w:color="000000" w:sz="4" w:space="0"/>
            </w:tcBorders>
            <w:vAlign w:val="center"/>
          </w:tcPr>
          <w:p w14:paraId="101C8922">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0.00</w:t>
            </w:r>
          </w:p>
        </w:tc>
        <w:tc>
          <w:tcPr>
            <w:tcW w:w="803" w:type="pct"/>
            <w:tcBorders>
              <w:top w:val="nil"/>
              <w:left w:val="nil"/>
              <w:bottom w:val="single" w:color="000000" w:sz="4" w:space="0"/>
              <w:right w:val="single" w:color="000000" w:sz="4" w:space="0"/>
            </w:tcBorders>
            <w:vAlign w:val="center"/>
          </w:tcPr>
          <w:p w14:paraId="31C59074">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0.00</w:t>
            </w:r>
          </w:p>
        </w:tc>
        <w:tc>
          <w:tcPr>
            <w:tcW w:w="962" w:type="pct"/>
            <w:gridSpan w:val="3"/>
            <w:tcBorders>
              <w:top w:val="single" w:color="000000" w:sz="4" w:space="0"/>
              <w:left w:val="nil"/>
              <w:bottom w:val="single" w:color="000000" w:sz="4" w:space="0"/>
              <w:right w:val="single" w:color="000000" w:sz="4" w:space="0"/>
            </w:tcBorders>
            <w:vAlign w:val="center"/>
          </w:tcPr>
          <w:p w14:paraId="03438757">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0.00</w:t>
            </w:r>
          </w:p>
        </w:tc>
        <w:tc>
          <w:tcPr>
            <w:tcW w:w="386" w:type="pct"/>
            <w:tcBorders>
              <w:top w:val="nil"/>
              <w:left w:val="nil"/>
              <w:bottom w:val="single" w:color="000000" w:sz="4" w:space="0"/>
              <w:right w:val="single" w:color="000000" w:sz="4" w:space="0"/>
            </w:tcBorders>
            <w:vAlign w:val="center"/>
          </w:tcPr>
          <w:p w14:paraId="50ABB5DF">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0.00%</w:t>
            </w:r>
          </w:p>
        </w:tc>
        <w:tc>
          <w:tcPr>
            <w:tcW w:w="184" w:type="pct"/>
            <w:tcBorders>
              <w:top w:val="nil"/>
              <w:left w:val="nil"/>
              <w:bottom w:val="single" w:color="000000" w:sz="4" w:space="0"/>
              <w:right w:val="single" w:color="000000" w:sz="4" w:space="0"/>
            </w:tcBorders>
            <w:vAlign w:val="center"/>
          </w:tcPr>
          <w:p w14:paraId="666D1EBA">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w:t>
            </w:r>
          </w:p>
        </w:tc>
        <w:tc>
          <w:tcPr>
            <w:tcW w:w="159" w:type="pct"/>
            <w:tcBorders>
              <w:top w:val="nil"/>
              <w:left w:val="nil"/>
              <w:bottom w:val="single" w:color="000000" w:sz="4" w:space="0"/>
              <w:right w:val="single" w:color="000000" w:sz="4" w:space="0"/>
            </w:tcBorders>
            <w:vAlign w:val="center"/>
          </w:tcPr>
          <w:p w14:paraId="0340B9F0">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w:t>
            </w:r>
          </w:p>
        </w:tc>
        <w:tc>
          <w:tcPr>
            <w:tcW w:w="909" w:type="pct"/>
            <w:vMerge w:val="continue"/>
            <w:tcBorders>
              <w:top w:val="nil"/>
              <w:left w:val="single" w:color="000000" w:sz="4" w:space="0"/>
              <w:bottom w:val="single" w:color="000000" w:sz="4" w:space="0"/>
              <w:right w:val="single" w:color="000000" w:sz="4" w:space="0"/>
            </w:tcBorders>
            <w:vAlign w:val="center"/>
          </w:tcPr>
          <w:p w14:paraId="6529E308">
            <w:pPr>
              <w:widowControl/>
              <w:jc w:val="left"/>
              <w:rPr>
                <w:rFonts w:hint="eastAsia" w:ascii="黑体" w:hAnsi="黑体" w:eastAsia="黑体" w:cs="宋体"/>
                <w:b w:val="0"/>
                <w:bCs w:val="0"/>
                <w:i/>
                <w:iCs/>
                <w:color w:val="000000"/>
                <w:kern w:val="0"/>
                <w:sz w:val="18"/>
                <w:szCs w:val="18"/>
              </w:rPr>
            </w:pPr>
          </w:p>
        </w:tc>
      </w:tr>
      <w:tr w14:paraId="2AF8A674">
        <w:tblPrEx>
          <w:tblCellMar>
            <w:top w:w="0" w:type="dxa"/>
            <w:left w:w="108" w:type="dxa"/>
            <w:bottom w:w="0" w:type="dxa"/>
            <w:right w:w="108" w:type="dxa"/>
          </w:tblCellMar>
        </w:tblPrEx>
        <w:trPr>
          <w:trHeight w:val="340" w:hRule="atLeast"/>
        </w:trPr>
        <w:tc>
          <w:tcPr>
            <w:tcW w:w="242" w:type="pct"/>
            <w:vMerge w:val="continue"/>
            <w:tcBorders>
              <w:top w:val="nil"/>
              <w:left w:val="single" w:color="000000" w:sz="4" w:space="0"/>
              <w:bottom w:val="single" w:color="000000" w:sz="4" w:space="0"/>
              <w:right w:val="single" w:color="000000" w:sz="4" w:space="0"/>
            </w:tcBorders>
            <w:vAlign w:val="center"/>
          </w:tcPr>
          <w:p w14:paraId="420C5F6F">
            <w:pPr>
              <w:widowControl/>
              <w:jc w:val="left"/>
              <w:rPr>
                <w:rFonts w:hint="eastAsia" w:ascii="宋体" w:hAnsi="宋体" w:cs="宋体"/>
                <w:b w:val="0"/>
                <w:bCs w:val="0"/>
                <w:color w:val="000000"/>
                <w:kern w:val="0"/>
                <w:sz w:val="18"/>
                <w:szCs w:val="18"/>
              </w:rPr>
            </w:pPr>
          </w:p>
        </w:tc>
        <w:tc>
          <w:tcPr>
            <w:tcW w:w="727" w:type="pct"/>
            <w:tcBorders>
              <w:top w:val="nil"/>
              <w:left w:val="nil"/>
              <w:bottom w:val="single" w:color="000000" w:sz="4" w:space="0"/>
              <w:right w:val="single" w:color="000000" w:sz="4" w:space="0"/>
            </w:tcBorders>
            <w:vAlign w:val="center"/>
          </w:tcPr>
          <w:p w14:paraId="6FB5FB57">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其他资金</w:t>
            </w:r>
          </w:p>
        </w:tc>
        <w:tc>
          <w:tcPr>
            <w:tcW w:w="628" w:type="pct"/>
            <w:tcBorders>
              <w:top w:val="nil"/>
              <w:left w:val="nil"/>
              <w:bottom w:val="single" w:color="000000" w:sz="4" w:space="0"/>
              <w:right w:val="single" w:color="000000" w:sz="4" w:space="0"/>
            </w:tcBorders>
            <w:vAlign w:val="center"/>
          </w:tcPr>
          <w:p w14:paraId="33782687">
            <w:pPr>
              <w:widowControl/>
              <w:jc w:val="center"/>
              <w:rPr>
                <w:rFonts w:hint="eastAsia" w:ascii="微软雅黑" w:hAnsi="微软雅黑" w:eastAsia="微软雅黑" w:cs="宋体"/>
                <w:b w:val="0"/>
                <w:bCs w:val="0"/>
                <w:i/>
                <w:iCs/>
                <w:color w:val="000000"/>
                <w:kern w:val="0"/>
                <w:sz w:val="16"/>
                <w:szCs w:val="16"/>
              </w:rPr>
            </w:pPr>
            <w:r>
              <w:rPr>
                <w:rFonts w:hint="eastAsia" w:ascii="微软雅黑" w:hAnsi="微软雅黑" w:eastAsia="微软雅黑" w:cs="宋体"/>
                <w:b w:val="0"/>
                <w:bCs w:val="0"/>
                <w:i/>
                <w:iCs/>
                <w:color w:val="000000"/>
                <w:kern w:val="0"/>
                <w:sz w:val="16"/>
                <w:szCs w:val="16"/>
              </w:rPr>
              <w:t>　</w:t>
            </w:r>
          </w:p>
        </w:tc>
        <w:tc>
          <w:tcPr>
            <w:tcW w:w="803" w:type="pct"/>
            <w:tcBorders>
              <w:top w:val="nil"/>
              <w:left w:val="nil"/>
              <w:bottom w:val="single" w:color="000000" w:sz="4" w:space="0"/>
              <w:right w:val="single" w:color="000000" w:sz="4" w:space="0"/>
            </w:tcBorders>
            <w:vAlign w:val="center"/>
          </w:tcPr>
          <w:p w14:paraId="236ACE81">
            <w:pPr>
              <w:widowControl/>
              <w:jc w:val="center"/>
              <w:rPr>
                <w:rFonts w:hint="eastAsia" w:ascii="微软雅黑" w:hAnsi="微软雅黑" w:eastAsia="微软雅黑" w:cs="宋体"/>
                <w:b w:val="0"/>
                <w:bCs w:val="0"/>
                <w:i/>
                <w:iCs/>
                <w:color w:val="000000"/>
                <w:kern w:val="0"/>
                <w:sz w:val="16"/>
                <w:szCs w:val="16"/>
              </w:rPr>
            </w:pPr>
            <w:r>
              <w:rPr>
                <w:rFonts w:hint="eastAsia" w:ascii="微软雅黑" w:hAnsi="微软雅黑" w:eastAsia="微软雅黑" w:cs="宋体"/>
                <w:b w:val="0"/>
                <w:bCs w:val="0"/>
                <w:i/>
                <w:iCs/>
                <w:color w:val="000000"/>
                <w:kern w:val="0"/>
                <w:sz w:val="16"/>
                <w:szCs w:val="16"/>
              </w:rPr>
              <w:t>　</w:t>
            </w:r>
          </w:p>
        </w:tc>
        <w:tc>
          <w:tcPr>
            <w:tcW w:w="962" w:type="pct"/>
            <w:gridSpan w:val="3"/>
            <w:tcBorders>
              <w:top w:val="single" w:color="000000" w:sz="4" w:space="0"/>
              <w:left w:val="nil"/>
              <w:bottom w:val="single" w:color="000000" w:sz="4" w:space="0"/>
              <w:right w:val="single" w:color="000000" w:sz="4" w:space="0"/>
            </w:tcBorders>
            <w:vAlign w:val="center"/>
          </w:tcPr>
          <w:p w14:paraId="5380ECF3">
            <w:pPr>
              <w:widowControl/>
              <w:jc w:val="center"/>
              <w:rPr>
                <w:rFonts w:hint="eastAsia" w:ascii="微软雅黑" w:hAnsi="微软雅黑" w:eastAsia="微软雅黑" w:cs="宋体"/>
                <w:b w:val="0"/>
                <w:bCs w:val="0"/>
                <w:i/>
                <w:iCs/>
                <w:color w:val="000000"/>
                <w:kern w:val="0"/>
                <w:sz w:val="16"/>
                <w:szCs w:val="16"/>
              </w:rPr>
            </w:pPr>
            <w:r>
              <w:rPr>
                <w:rFonts w:hint="eastAsia" w:ascii="微软雅黑" w:hAnsi="微软雅黑" w:eastAsia="微软雅黑" w:cs="宋体"/>
                <w:b w:val="0"/>
                <w:bCs w:val="0"/>
                <w:i/>
                <w:iCs/>
                <w:color w:val="000000"/>
                <w:kern w:val="0"/>
                <w:sz w:val="16"/>
                <w:szCs w:val="16"/>
              </w:rPr>
              <w:t>　</w:t>
            </w:r>
          </w:p>
        </w:tc>
        <w:tc>
          <w:tcPr>
            <w:tcW w:w="386" w:type="pct"/>
            <w:tcBorders>
              <w:top w:val="nil"/>
              <w:left w:val="nil"/>
              <w:bottom w:val="single" w:color="000000" w:sz="4" w:space="0"/>
              <w:right w:val="single" w:color="000000" w:sz="4" w:space="0"/>
            </w:tcBorders>
            <w:vAlign w:val="center"/>
          </w:tcPr>
          <w:p w14:paraId="140F0810">
            <w:pPr>
              <w:widowControl/>
              <w:jc w:val="center"/>
              <w:rPr>
                <w:rFonts w:hint="eastAsia" w:ascii="微软雅黑" w:hAnsi="微软雅黑" w:eastAsia="微软雅黑" w:cs="宋体"/>
                <w:b w:val="0"/>
                <w:bCs w:val="0"/>
                <w:i/>
                <w:iCs/>
                <w:color w:val="000000"/>
                <w:kern w:val="0"/>
                <w:sz w:val="16"/>
                <w:szCs w:val="16"/>
              </w:rPr>
            </w:pPr>
            <w:r>
              <w:rPr>
                <w:rFonts w:hint="eastAsia" w:ascii="微软雅黑" w:hAnsi="微软雅黑" w:eastAsia="微软雅黑" w:cs="宋体"/>
                <w:b w:val="0"/>
                <w:bCs w:val="0"/>
                <w:i/>
                <w:iCs/>
                <w:color w:val="000000"/>
                <w:kern w:val="0"/>
                <w:sz w:val="16"/>
                <w:szCs w:val="16"/>
              </w:rPr>
              <w:t>　</w:t>
            </w:r>
          </w:p>
        </w:tc>
        <w:tc>
          <w:tcPr>
            <w:tcW w:w="184" w:type="pct"/>
            <w:tcBorders>
              <w:top w:val="nil"/>
              <w:left w:val="nil"/>
              <w:bottom w:val="single" w:color="000000" w:sz="4" w:space="0"/>
              <w:right w:val="single" w:color="000000" w:sz="4" w:space="0"/>
            </w:tcBorders>
            <w:vAlign w:val="center"/>
          </w:tcPr>
          <w:p w14:paraId="1FB502DD">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w:t>
            </w:r>
          </w:p>
        </w:tc>
        <w:tc>
          <w:tcPr>
            <w:tcW w:w="159" w:type="pct"/>
            <w:tcBorders>
              <w:top w:val="nil"/>
              <w:left w:val="nil"/>
              <w:bottom w:val="single" w:color="000000" w:sz="4" w:space="0"/>
              <w:right w:val="single" w:color="000000" w:sz="4" w:space="0"/>
            </w:tcBorders>
            <w:vAlign w:val="center"/>
          </w:tcPr>
          <w:p w14:paraId="7E3BA2D6">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w:t>
            </w:r>
          </w:p>
        </w:tc>
        <w:tc>
          <w:tcPr>
            <w:tcW w:w="909" w:type="pct"/>
            <w:vMerge w:val="continue"/>
            <w:tcBorders>
              <w:top w:val="nil"/>
              <w:left w:val="single" w:color="000000" w:sz="4" w:space="0"/>
              <w:bottom w:val="single" w:color="000000" w:sz="4" w:space="0"/>
              <w:right w:val="single" w:color="000000" w:sz="4" w:space="0"/>
            </w:tcBorders>
            <w:vAlign w:val="center"/>
          </w:tcPr>
          <w:p w14:paraId="50E2E1AE">
            <w:pPr>
              <w:widowControl/>
              <w:jc w:val="left"/>
              <w:rPr>
                <w:rFonts w:hint="eastAsia" w:ascii="黑体" w:hAnsi="黑体" w:eastAsia="黑体" w:cs="宋体"/>
                <w:b w:val="0"/>
                <w:bCs w:val="0"/>
                <w:i/>
                <w:iCs/>
                <w:color w:val="000000"/>
                <w:kern w:val="0"/>
                <w:sz w:val="18"/>
                <w:szCs w:val="18"/>
              </w:rPr>
            </w:pPr>
          </w:p>
        </w:tc>
      </w:tr>
      <w:tr w14:paraId="0B2B93BC">
        <w:tblPrEx>
          <w:tblCellMar>
            <w:top w:w="0" w:type="dxa"/>
            <w:left w:w="108" w:type="dxa"/>
            <w:bottom w:w="0" w:type="dxa"/>
            <w:right w:w="108" w:type="dxa"/>
          </w:tblCellMar>
        </w:tblPrEx>
        <w:trPr>
          <w:trHeight w:val="452" w:hRule="atLeast"/>
        </w:trPr>
        <w:tc>
          <w:tcPr>
            <w:tcW w:w="242" w:type="pct"/>
            <w:vMerge w:val="restart"/>
            <w:tcBorders>
              <w:top w:val="nil"/>
              <w:left w:val="single" w:color="000000" w:sz="4" w:space="0"/>
              <w:bottom w:val="single" w:color="000000" w:sz="4" w:space="0"/>
              <w:right w:val="single" w:color="000000" w:sz="4" w:space="0"/>
            </w:tcBorders>
            <w:vAlign w:val="center"/>
          </w:tcPr>
          <w:p w14:paraId="20168C9B">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绩效指标（90分）</w:t>
            </w:r>
          </w:p>
        </w:tc>
        <w:tc>
          <w:tcPr>
            <w:tcW w:w="727" w:type="pct"/>
            <w:tcBorders>
              <w:top w:val="nil"/>
              <w:left w:val="nil"/>
              <w:bottom w:val="single" w:color="000000" w:sz="4" w:space="0"/>
              <w:right w:val="single" w:color="000000" w:sz="4" w:space="0"/>
            </w:tcBorders>
            <w:vAlign w:val="center"/>
          </w:tcPr>
          <w:p w14:paraId="1C1CCF55">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一级指标</w:t>
            </w:r>
          </w:p>
        </w:tc>
        <w:tc>
          <w:tcPr>
            <w:tcW w:w="628" w:type="pct"/>
            <w:tcBorders>
              <w:top w:val="nil"/>
              <w:left w:val="nil"/>
              <w:bottom w:val="single" w:color="000000" w:sz="4" w:space="0"/>
              <w:right w:val="single" w:color="000000" w:sz="4" w:space="0"/>
            </w:tcBorders>
            <w:vAlign w:val="center"/>
          </w:tcPr>
          <w:p w14:paraId="184AAC20">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二级指标</w:t>
            </w:r>
          </w:p>
        </w:tc>
        <w:tc>
          <w:tcPr>
            <w:tcW w:w="803" w:type="pct"/>
            <w:tcBorders>
              <w:top w:val="nil"/>
              <w:left w:val="nil"/>
              <w:bottom w:val="single" w:color="000000" w:sz="4" w:space="0"/>
              <w:right w:val="single" w:color="000000" w:sz="4" w:space="0"/>
            </w:tcBorders>
            <w:vAlign w:val="center"/>
          </w:tcPr>
          <w:p w14:paraId="03B9FC9A">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三级指标</w:t>
            </w:r>
          </w:p>
        </w:tc>
        <w:tc>
          <w:tcPr>
            <w:tcW w:w="182" w:type="pct"/>
            <w:tcBorders>
              <w:top w:val="nil"/>
              <w:left w:val="nil"/>
              <w:bottom w:val="single" w:color="000000" w:sz="4" w:space="0"/>
              <w:right w:val="single" w:color="000000" w:sz="4" w:space="0"/>
            </w:tcBorders>
            <w:vAlign w:val="center"/>
          </w:tcPr>
          <w:p w14:paraId="111C6389">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指标性质</w:t>
            </w:r>
          </w:p>
        </w:tc>
        <w:tc>
          <w:tcPr>
            <w:tcW w:w="598" w:type="pct"/>
            <w:tcBorders>
              <w:top w:val="nil"/>
              <w:left w:val="nil"/>
              <w:bottom w:val="single" w:color="000000" w:sz="4" w:space="0"/>
              <w:right w:val="single" w:color="000000" w:sz="4" w:space="0"/>
            </w:tcBorders>
            <w:vAlign w:val="center"/>
          </w:tcPr>
          <w:p w14:paraId="09232C1B">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指标值</w:t>
            </w:r>
          </w:p>
        </w:tc>
        <w:tc>
          <w:tcPr>
            <w:tcW w:w="182" w:type="pct"/>
            <w:tcBorders>
              <w:top w:val="nil"/>
              <w:left w:val="nil"/>
              <w:bottom w:val="single" w:color="000000" w:sz="4" w:space="0"/>
              <w:right w:val="single" w:color="000000" w:sz="4" w:space="0"/>
            </w:tcBorders>
            <w:vAlign w:val="center"/>
          </w:tcPr>
          <w:p w14:paraId="255FB72A">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度量单位</w:t>
            </w:r>
          </w:p>
        </w:tc>
        <w:tc>
          <w:tcPr>
            <w:tcW w:w="386" w:type="pct"/>
            <w:tcBorders>
              <w:top w:val="nil"/>
              <w:left w:val="nil"/>
              <w:bottom w:val="single" w:color="000000" w:sz="4" w:space="0"/>
              <w:right w:val="single" w:color="000000" w:sz="4" w:space="0"/>
            </w:tcBorders>
            <w:vAlign w:val="center"/>
          </w:tcPr>
          <w:p w14:paraId="6402984D">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完成值</w:t>
            </w:r>
          </w:p>
        </w:tc>
        <w:tc>
          <w:tcPr>
            <w:tcW w:w="184" w:type="pct"/>
            <w:tcBorders>
              <w:top w:val="nil"/>
              <w:left w:val="nil"/>
              <w:bottom w:val="single" w:color="000000" w:sz="4" w:space="0"/>
              <w:right w:val="single" w:color="000000" w:sz="4" w:space="0"/>
            </w:tcBorders>
            <w:vAlign w:val="center"/>
          </w:tcPr>
          <w:p w14:paraId="5299BE34">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权重</w:t>
            </w:r>
          </w:p>
        </w:tc>
        <w:tc>
          <w:tcPr>
            <w:tcW w:w="159" w:type="pct"/>
            <w:tcBorders>
              <w:top w:val="nil"/>
              <w:left w:val="nil"/>
              <w:bottom w:val="single" w:color="000000" w:sz="4" w:space="0"/>
              <w:right w:val="single" w:color="000000" w:sz="4" w:space="0"/>
            </w:tcBorders>
            <w:vAlign w:val="center"/>
          </w:tcPr>
          <w:p w14:paraId="6F22B0DF">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得分</w:t>
            </w:r>
          </w:p>
        </w:tc>
        <w:tc>
          <w:tcPr>
            <w:tcW w:w="909" w:type="pct"/>
            <w:tcBorders>
              <w:top w:val="nil"/>
              <w:left w:val="nil"/>
              <w:bottom w:val="single" w:color="000000" w:sz="4" w:space="0"/>
              <w:right w:val="single" w:color="000000" w:sz="4" w:space="0"/>
            </w:tcBorders>
            <w:vAlign w:val="center"/>
          </w:tcPr>
          <w:p w14:paraId="20E84F01">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未完成原因分析</w:t>
            </w:r>
          </w:p>
        </w:tc>
      </w:tr>
      <w:tr w14:paraId="23FD16A2">
        <w:tblPrEx>
          <w:tblCellMar>
            <w:top w:w="0" w:type="dxa"/>
            <w:left w:w="108" w:type="dxa"/>
            <w:bottom w:w="0" w:type="dxa"/>
            <w:right w:w="108" w:type="dxa"/>
          </w:tblCellMar>
        </w:tblPrEx>
        <w:trPr>
          <w:trHeight w:val="452" w:hRule="atLeast"/>
        </w:trPr>
        <w:tc>
          <w:tcPr>
            <w:tcW w:w="242" w:type="pct"/>
            <w:vMerge w:val="continue"/>
            <w:tcBorders>
              <w:top w:val="nil"/>
              <w:left w:val="single" w:color="000000" w:sz="4" w:space="0"/>
              <w:bottom w:val="single" w:color="000000" w:sz="4" w:space="0"/>
              <w:right w:val="single" w:color="000000" w:sz="4" w:space="0"/>
            </w:tcBorders>
            <w:vAlign w:val="center"/>
          </w:tcPr>
          <w:p w14:paraId="21CF59E2">
            <w:pPr>
              <w:widowControl/>
              <w:jc w:val="left"/>
              <w:rPr>
                <w:rFonts w:hint="eastAsia" w:ascii="宋体" w:hAnsi="宋体" w:cs="宋体"/>
                <w:b w:val="0"/>
                <w:bCs w:val="0"/>
                <w:color w:val="000000"/>
                <w:kern w:val="0"/>
                <w:sz w:val="18"/>
                <w:szCs w:val="18"/>
              </w:rPr>
            </w:pPr>
          </w:p>
        </w:tc>
        <w:tc>
          <w:tcPr>
            <w:tcW w:w="727" w:type="pct"/>
            <w:vMerge w:val="restart"/>
            <w:tcBorders>
              <w:top w:val="nil"/>
              <w:left w:val="single" w:color="000000" w:sz="4" w:space="0"/>
              <w:bottom w:val="single" w:color="000000" w:sz="4" w:space="0"/>
              <w:right w:val="single" w:color="000000" w:sz="4" w:space="0"/>
            </w:tcBorders>
            <w:vAlign w:val="center"/>
          </w:tcPr>
          <w:p w14:paraId="2AB7EAA0">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产出指标</w:t>
            </w:r>
          </w:p>
        </w:tc>
        <w:tc>
          <w:tcPr>
            <w:tcW w:w="628" w:type="pct"/>
            <w:tcBorders>
              <w:top w:val="nil"/>
              <w:left w:val="nil"/>
              <w:bottom w:val="single" w:color="000000" w:sz="4" w:space="0"/>
              <w:right w:val="single" w:color="000000" w:sz="4" w:space="0"/>
            </w:tcBorders>
            <w:vAlign w:val="center"/>
          </w:tcPr>
          <w:p w14:paraId="6CB0C674">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数量指标</w:t>
            </w:r>
          </w:p>
        </w:tc>
        <w:tc>
          <w:tcPr>
            <w:tcW w:w="803" w:type="pct"/>
            <w:tcBorders>
              <w:top w:val="nil"/>
              <w:left w:val="nil"/>
              <w:bottom w:val="single" w:color="000000" w:sz="4" w:space="0"/>
              <w:right w:val="single" w:color="000000" w:sz="4" w:space="0"/>
            </w:tcBorders>
            <w:vAlign w:val="center"/>
          </w:tcPr>
          <w:p w14:paraId="54BA312C">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国家知识产权试点示范工作任务完成率</w:t>
            </w:r>
          </w:p>
        </w:tc>
        <w:tc>
          <w:tcPr>
            <w:tcW w:w="182" w:type="pct"/>
            <w:tcBorders>
              <w:top w:val="nil"/>
              <w:left w:val="nil"/>
              <w:bottom w:val="single" w:color="000000" w:sz="4" w:space="0"/>
              <w:right w:val="single" w:color="000000" w:sz="4" w:space="0"/>
            </w:tcBorders>
            <w:vAlign w:val="center"/>
          </w:tcPr>
          <w:p w14:paraId="05FD4785">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w:t>
            </w:r>
          </w:p>
        </w:tc>
        <w:tc>
          <w:tcPr>
            <w:tcW w:w="598" w:type="pct"/>
            <w:tcBorders>
              <w:top w:val="nil"/>
              <w:left w:val="nil"/>
              <w:bottom w:val="single" w:color="000000" w:sz="4" w:space="0"/>
              <w:right w:val="single" w:color="000000" w:sz="4" w:space="0"/>
            </w:tcBorders>
            <w:vAlign w:val="center"/>
          </w:tcPr>
          <w:p w14:paraId="60AD6752">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95</w:t>
            </w:r>
          </w:p>
        </w:tc>
        <w:tc>
          <w:tcPr>
            <w:tcW w:w="182" w:type="pct"/>
            <w:tcBorders>
              <w:top w:val="nil"/>
              <w:left w:val="nil"/>
              <w:bottom w:val="single" w:color="000000" w:sz="4" w:space="0"/>
              <w:right w:val="single" w:color="000000" w:sz="4" w:space="0"/>
            </w:tcBorders>
            <w:vAlign w:val="center"/>
          </w:tcPr>
          <w:p w14:paraId="7761A2DB">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项</w:t>
            </w:r>
          </w:p>
        </w:tc>
        <w:tc>
          <w:tcPr>
            <w:tcW w:w="386" w:type="pct"/>
            <w:tcBorders>
              <w:top w:val="nil"/>
              <w:left w:val="nil"/>
              <w:bottom w:val="single" w:color="000000" w:sz="4" w:space="0"/>
              <w:right w:val="single" w:color="000000" w:sz="4" w:space="0"/>
            </w:tcBorders>
            <w:vAlign w:val="center"/>
          </w:tcPr>
          <w:p w14:paraId="77B1A53D">
            <w:pPr>
              <w:widowControl/>
              <w:jc w:val="center"/>
              <w:rPr>
                <w:rFonts w:hint="eastAsia" w:ascii="微软雅黑" w:hAnsi="微软雅黑" w:eastAsia="微软雅黑" w:cs="宋体"/>
                <w:b w:val="0"/>
                <w:bCs w:val="0"/>
                <w:i/>
                <w:iCs/>
                <w:color w:val="000000"/>
                <w:kern w:val="0"/>
                <w:sz w:val="16"/>
                <w:szCs w:val="16"/>
              </w:rPr>
            </w:pPr>
            <w:r>
              <w:rPr>
                <w:rFonts w:hint="eastAsia" w:ascii="微软雅黑" w:hAnsi="微软雅黑" w:eastAsia="微软雅黑" w:cs="宋体"/>
                <w:b w:val="0"/>
                <w:bCs w:val="0"/>
                <w:i/>
                <w:iCs/>
                <w:color w:val="000000"/>
                <w:kern w:val="0"/>
                <w:sz w:val="16"/>
                <w:szCs w:val="16"/>
              </w:rPr>
              <w:t>　</w:t>
            </w:r>
          </w:p>
        </w:tc>
        <w:tc>
          <w:tcPr>
            <w:tcW w:w="184" w:type="pct"/>
            <w:tcBorders>
              <w:top w:val="nil"/>
              <w:left w:val="nil"/>
              <w:bottom w:val="single" w:color="000000" w:sz="4" w:space="0"/>
              <w:right w:val="single" w:color="000000" w:sz="4" w:space="0"/>
            </w:tcBorders>
            <w:vAlign w:val="center"/>
          </w:tcPr>
          <w:p w14:paraId="751D14C3">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10</w:t>
            </w:r>
          </w:p>
        </w:tc>
        <w:tc>
          <w:tcPr>
            <w:tcW w:w="159" w:type="pct"/>
            <w:tcBorders>
              <w:top w:val="nil"/>
              <w:left w:val="nil"/>
              <w:bottom w:val="single" w:color="000000" w:sz="4" w:space="0"/>
              <w:right w:val="single" w:color="000000" w:sz="4" w:space="0"/>
            </w:tcBorders>
            <w:vAlign w:val="center"/>
          </w:tcPr>
          <w:p w14:paraId="77B26390">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　</w:t>
            </w:r>
          </w:p>
        </w:tc>
        <w:tc>
          <w:tcPr>
            <w:tcW w:w="909" w:type="pct"/>
            <w:tcBorders>
              <w:top w:val="nil"/>
              <w:left w:val="nil"/>
              <w:bottom w:val="single" w:color="000000" w:sz="4" w:space="0"/>
              <w:right w:val="single" w:color="000000" w:sz="4" w:space="0"/>
            </w:tcBorders>
            <w:vAlign w:val="center"/>
          </w:tcPr>
          <w:p w14:paraId="11A28CB8">
            <w:pPr>
              <w:widowControl/>
              <w:jc w:val="center"/>
              <w:rPr>
                <w:rFonts w:hint="eastAsia" w:ascii="微软雅黑" w:hAnsi="微软雅黑" w:eastAsia="微软雅黑" w:cs="宋体"/>
                <w:b w:val="0"/>
                <w:bCs w:val="0"/>
                <w:i/>
                <w:iCs/>
                <w:color w:val="000000"/>
                <w:kern w:val="0"/>
                <w:sz w:val="16"/>
                <w:szCs w:val="16"/>
              </w:rPr>
            </w:pPr>
            <w:r>
              <w:rPr>
                <w:rFonts w:hint="eastAsia" w:ascii="微软雅黑" w:hAnsi="微软雅黑" w:eastAsia="微软雅黑" w:cs="宋体"/>
                <w:b w:val="0"/>
                <w:bCs w:val="0"/>
                <w:i/>
                <w:iCs/>
                <w:color w:val="000000"/>
                <w:kern w:val="0"/>
                <w:sz w:val="16"/>
                <w:szCs w:val="16"/>
              </w:rPr>
              <w:t>　</w:t>
            </w:r>
          </w:p>
        </w:tc>
      </w:tr>
      <w:tr w14:paraId="69DF40DB">
        <w:tblPrEx>
          <w:tblCellMar>
            <w:top w:w="0" w:type="dxa"/>
            <w:left w:w="108" w:type="dxa"/>
            <w:bottom w:w="0" w:type="dxa"/>
            <w:right w:w="108" w:type="dxa"/>
          </w:tblCellMar>
        </w:tblPrEx>
        <w:trPr>
          <w:trHeight w:val="340" w:hRule="atLeast"/>
        </w:trPr>
        <w:tc>
          <w:tcPr>
            <w:tcW w:w="242" w:type="pct"/>
            <w:vMerge w:val="continue"/>
            <w:tcBorders>
              <w:top w:val="nil"/>
              <w:left w:val="single" w:color="000000" w:sz="4" w:space="0"/>
              <w:bottom w:val="single" w:color="000000" w:sz="4" w:space="0"/>
              <w:right w:val="single" w:color="000000" w:sz="4" w:space="0"/>
            </w:tcBorders>
            <w:vAlign w:val="center"/>
          </w:tcPr>
          <w:p w14:paraId="3F5A09A3">
            <w:pPr>
              <w:widowControl/>
              <w:jc w:val="left"/>
              <w:rPr>
                <w:rFonts w:hint="eastAsia" w:ascii="宋体" w:hAnsi="宋体" w:cs="宋体"/>
                <w:b w:val="0"/>
                <w:bCs w:val="0"/>
                <w:color w:val="000000"/>
                <w:kern w:val="0"/>
                <w:sz w:val="18"/>
                <w:szCs w:val="18"/>
              </w:rPr>
            </w:pPr>
          </w:p>
        </w:tc>
        <w:tc>
          <w:tcPr>
            <w:tcW w:w="727" w:type="pct"/>
            <w:vMerge w:val="continue"/>
            <w:tcBorders>
              <w:top w:val="nil"/>
              <w:left w:val="single" w:color="000000" w:sz="4" w:space="0"/>
              <w:bottom w:val="single" w:color="000000" w:sz="4" w:space="0"/>
              <w:right w:val="single" w:color="000000" w:sz="4" w:space="0"/>
            </w:tcBorders>
            <w:vAlign w:val="center"/>
          </w:tcPr>
          <w:p w14:paraId="7C30824F">
            <w:pPr>
              <w:widowControl/>
              <w:jc w:val="left"/>
              <w:rPr>
                <w:rFonts w:hint="eastAsia" w:ascii="宋体" w:hAnsi="宋体" w:cs="宋体"/>
                <w:b w:val="0"/>
                <w:bCs w:val="0"/>
                <w:color w:val="000000"/>
                <w:kern w:val="0"/>
                <w:sz w:val="18"/>
                <w:szCs w:val="18"/>
              </w:rPr>
            </w:pPr>
          </w:p>
        </w:tc>
        <w:tc>
          <w:tcPr>
            <w:tcW w:w="628" w:type="pct"/>
            <w:vMerge w:val="restart"/>
            <w:tcBorders>
              <w:top w:val="nil"/>
              <w:left w:val="single" w:color="000000" w:sz="4" w:space="0"/>
              <w:bottom w:val="single" w:color="000000" w:sz="4" w:space="0"/>
              <w:right w:val="single" w:color="000000" w:sz="4" w:space="0"/>
            </w:tcBorders>
            <w:vAlign w:val="center"/>
          </w:tcPr>
          <w:p w14:paraId="6C041791">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质量指标</w:t>
            </w:r>
          </w:p>
        </w:tc>
        <w:tc>
          <w:tcPr>
            <w:tcW w:w="803" w:type="pct"/>
            <w:tcBorders>
              <w:top w:val="nil"/>
              <w:left w:val="nil"/>
              <w:bottom w:val="single" w:color="000000" w:sz="4" w:space="0"/>
              <w:right w:val="single" w:color="000000" w:sz="4" w:space="0"/>
            </w:tcBorders>
            <w:vAlign w:val="center"/>
          </w:tcPr>
          <w:p w14:paraId="74091414">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项目验收合格率</w:t>
            </w:r>
          </w:p>
        </w:tc>
        <w:tc>
          <w:tcPr>
            <w:tcW w:w="182" w:type="pct"/>
            <w:tcBorders>
              <w:top w:val="nil"/>
              <w:left w:val="nil"/>
              <w:bottom w:val="single" w:color="000000" w:sz="4" w:space="0"/>
              <w:right w:val="single" w:color="000000" w:sz="4" w:space="0"/>
            </w:tcBorders>
            <w:vAlign w:val="center"/>
          </w:tcPr>
          <w:p w14:paraId="1B542D97">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w:t>
            </w:r>
          </w:p>
        </w:tc>
        <w:tc>
          <w:tcPr>
            <w:tcW w:w="598" w:type="pct"/>
            <w:tcBorders>
              <w:top w:val="nil"/>
              <w:left w:val="nil"/>
              <w:bottom w:val="single" w:color="000000" w:sz="4" w:space="0"/>
              <w:right w:val="single" w:color="000000" w:sz="4" w:space="0"/>
            </w:tcBorders>
            <w:vAlign w:val="center"/>
          </w:tcPr>
          <w:p w14:paraId="0765CA1C">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95</w:t>
            </w:r>
          </w:p>
        </w:tc>
        <w:tc>
          <w:tcPr>
            <w:tcW w:w="182" w:type="pct"/>
            <w:tcBorders>
              <w:top w:val="nil"/>
              <w:left w:val="nil"/>
              <w:bottom w:val="single" w:color="000000" w:sz="4" w:space="0"/>
              <w:right w:val="single" w:color="000000" w:sz="4" w:space="0"/>
            </w:tcBorders>
            <w:vAlign w:val="center"/>
          </w:tcPr>
          <w:p w14:paraId="670735E3">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w:t>
            </w:r>
          </w:p>
        </w:tc>
        <w:tc>
          <w:tcPr>
            <w:tcW w:w="386" w:type="pct"/>
            <w:tcBorders>
              <w:top w:val="nil"/>
              <w:left w:val="nil"/>
              <w:bottom w:val="single" w:color="000000" w:sz="4" w:space="0"/>
              <w:right w:val="single" w:color="000000" w:sz="4" w:space="0"/>
            </w:tcBorders>
            <w:vAlign w:val="center"/>
          </w:tcPr>
          <w:p w14:paraId="1AAB3BA1">
            <w:pPr>
              <w:widowControl/>
              <w:jc w:val="center"/>
              <w:rPr>
                <w:rFonts w:hint="eastAsia" w:ascii="微软雅黑" w:hAnsi="微软雅黑" w:eastAsia="微软雅黑" w:cs="宋体"/>
                <w:b w:val="0"/>
                <w:bCs w:val="0"/>
                <w:i/>
                <w:iCs/>
                <w:color w:val="000000"/>
                <w:kern w:val="0"/>
                <w:sz w:val="16"/>
                <w:szCs w:val="16"/>
              </w:rPr>
            </w:pPr>
            <w:r>
              <w:rPr>
                <w:rFonts w:hint="eastAsia" w:ascii="微软雅黑" w:hAnsi="微软雅黑" w:eastAsia="微软雅黑" w:cs="宋体"/>
                <w:b w:val="0"/>
                <w:bCs w:val="0"/>
                <w:i/>
                <w:iCs/>
                <w:color w:val="000000"/>
                <w:kern w:val="0"/>
                <w:sz w:val="16"/>
                <w:szCs w:val="16"/>
              </w:rPr>
              <w:t>　</w:t>
            </w:r>
          </w:p>
        </w:tc>
        <w:tc>
          <w:tcPr>
            <w:tcW w:w="184" w:type="pct"/>
            <w:tcBorders>
              <w:top w:val="nil"/>
              <w:left w:val="nil"/>
              <w:bottom w:val="single" w:color="000000" w:sz="4" w:space="0"/>
              <w:right w:val="single" w:color="000000" w:sz="4" w:space="0"/>
            </w:tcBorders>
            <w:vAlign w:val="center"/>
          </w:tcPr>
          <w:p w14:paraId="361B5420">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15</w:t>
            </w:r>
          </w:p>
        </w:tc>
        <w:tc>
          <w:tcPr>
            <w:tcW w:w="159" w:type="pct"/>
            <w:tcBorders>
              <w:top w:val="nil"/>
              <w:left w:val="nil"/>
              <w:bottom w:val="single" w:color="000000" w:sz="4" w:space="0"/>
              <w:right w:val="single" w:color="000000" w:sz="4" w:space="0"/>
            </w:tcBorders>
            <w:vAlign w:val="center"/>
          </w:tcPr>
          <w:p w14:paraId="517711C9">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　</w:t>
            </w:r>
          </w:p>
        </w:tc>
        <w:tc>
          <w:tcPr>
            <w:tcW w:w="909" w:type="pct"/>
            <w:tcBorders>
              <w:top w:val="nil"/>
              <w:left w:val="nil"/>
              <w:bottom w:val="single" w:color="000000" w:sz="4" w:space="0"/>
              <w:right w:val="single" w:color="000000" w:sz="4" w:space="0"/>
            </w:tcBorders>
            <w:vAlign w:val="center"/>
          </w:tcPr>
          <w:p w14:paraId="5FF234C5">
            <w:pPr>
              <w:widowControl/>
              <w:jc w:val="center"/>
              <w:rPr>
                <w:rFonts w:hint="eastAsia" w:ascii="微软雅黑" w:hAnsi="微软雅黑" w:eastAsia="微软雅黑" w:cs="宋体"/>
                <w:b w:val="0"/>
                <w:bCs w:val="0"/>
                <w:i/>
                <w:iCs/>
                <w:color w:val="000000"/>
                <w:kern w:val="0"/>
                <w:sz w:val="16"/>
                <w:szCs w:val="16"/>
              </w:rPr>
            </w:pPr>
            <w:r>
              <w:rPr>
                <w:rFonts w:hint="eastAsia" w:ascii="微软雅黑" w:hAnsi="微软雅黑" w:eastAsia="微软雅黑" w:cs="宋体"/>
                <w:b w:val="0"/>
                <w:bCs w:val="0"/>
                <w:i/>
                <w:iCs/>
                <w:color w:val="000000"/>
                <w:kern w:val="0"/>
                <w:sz w:val="16"/>
                <w:szCs w:val="16"/>
              </w:rPr>
              <w:t>　</w:t>
            </w:r>
          </w:p>
        </w:tc>
      </w:tr>
      <w:tr w14:paraId="4D14C5E6">
        <w:tblPrEx>
          <w:tblCellMar>
            <w:top w:w="0" w:type="dxa"/>
            <w:left w:w="108" w:type="dxa"/>
            <w:bottom w:w="0" w:type="dxa"/>
            <w:right w:w="108" w:type="dxa"/>
          </w:tblCellMar>
        </w:tblPrEx>
        <w:trPr>
          <w:trHeight w:val="340" w:hRule="atLeast"/>
        </w:trPr>
        <w:tc>
          <w:tcPr>
            <w:tcW w:w="242" w:type="pct"/>
            <w:vMerge w:val="continue"/>
            <w:tcBorders>
              <w:top w:val="nil"/>
              <w:left w:val="single" w:color="000000" w:sz="4" w:space="0"/>
              <w:bottom w:val="single" w:color="000000" w:sz="4" w:space="0"/>
              <w:right w:val="single" w:color="000000" w:sz="4" w:space="0"/>
            </w:tcBorders>
            <w:vAlign w:val="center"/>
          </w:tcPr>
          <w:p w14:paraId="34C802DA">
            <w:pPr>
              <w:widowControl/>
              <w:jc w:val="left"/>
              <w:rPr>
                <w:rFonts w:hint="eastAsia" w:ascii="宋体" w:hAnsi="宋体" w:cs="宋体"/>
                <w:b w:val="0"/>
                <w:bCs w:val="0"/>
                <w:color w:val="000000"/>
                <w:kern w:val="0"/>
                <w:sz w:val="18"/>
                <w:szCs w:val="18"/>
              </w:rPr>
            </w:pPr>
          </w:p>
        </w:tc>
        <w:tc>
          <w:tcPr>
            <w:tcW w:w="727" w:type="pct"/>
            <w:vMerge w:val="continue"/>
            <w:tcBorders>
              <w:top w:val="nil"/>
              <w:left w:val="single" w:color="000000" w:sz="4" w:space="0"/>
              <w:bottom w:val="single" w:color="000000" w:sz="4" w:space="0"/>
              <w:right w:val="single" w:color="000000" w:sz="4" w:space="0"/>
            </w:tcBorders>
            <w:vAlign w:val="center"/>
          </w:tcPr>
          <w:p w14:paraId="7822313F">
            <w:pPr>
              <w:widowControl/>
              <w:jc w:val="left"/>
              <w:rPr>
                <w:rFonts w:hint="eastAsia" w:ascii="宋体" w:hAnsi="宋体" w:cs="宋体"/>
                <w:b w:val="0"/>
                <w:bCs w:val="0"/>
                <w:color w:val="000000"/>
                <w:kern w:val="0"/>
                <w:sz w:val="18"/>
                <w:szCs w:val="18"/>
              </w:rPr>
            </w:pPr>
          </w:p>
        </w:tc>
        <w:tc>
          <w:tcPr>
            <w:tcW w:w="628" w:type="pct"/>
            <w:vMerge w:val="continue"/>
            <w:tcBorders>
              <w:top w:val="nil"/>
              <w:left w:val="single" w:color="000000" w:sz="4" w:space="0"/>
              <w:bottom w:val="single" w:color="000000" w:sz="4" w:space="0"/>
              <w:right w:val="single" w:color="000000" w:sz="4" w:space="0"/>
            </w:tcBorders>
            <w:vAlign w:val="center"/>
          </w:tcPr>
          <w:p w14:paraId="52C825BD">
            <w:pPr>
              <w:widowControl/>
              <w:jc w:val="left"/>
              <w:rPr>
                <w:rFonts w:hint="eastAsia" w:ascii="宋体" w:hAnsi="宋体" w:cs="宋体"/>
                <w:b w:val="0"/>
                <w:bCs w:val="0"/>
                <w:color w:val="000000"/>
                <w:kern w:val="0"/>
                <w:sz w:val="18"/>
                <w:szCs w:val="18"/>
              </w:rPr>
            </w:pPr>
          </w:p>
        </w:tc>
        <w:tc>
          <w:tcPr>
            <w:tcW w:w="803" w:type="pct"/>
            <w:tcBorders>
              <w:top w:val="nil"/>
              <w:left w:val="nil"/>
              <w:bottom w:val="single" w:color="000000" w:sz="4" w:space="0"/>
              <w:right w:val="single" w:color="000000" w:sz="4" w:space="0"/>
            </w:tcBorders>
            <w:vAlign w:val="center"/>
          </w:tcPr>
          <w:p w14:paraId="635C9435">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项目完成率</w:t>
            </w:r>
          </w:p>
        </w:tc>
        <w:tc>
          <w:tcPr>
            <w:tcW w:w="182" w:type="pct"/>
            <w:tcBorders>
              <w:top w:val="nil"/>
              <w:left w:val="nil"/>
              <w:bottom w:val="single" w:color="000000" w:sz="4" w:space="0"/>
              <w:right w:val="single" w:color="000000" w:sz="4" w:space="0"/>
            </w:tcBorders>
            <w:vAlign w:val="center"/>
          </w:tcPr>
          <w:p w14:paraId="71AE9935">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w:t>
            </w:r>
          </w:p>
        </w:tc>
        <w:tc>
          <w:tcPr>
            <w:tcW w:w="598" w:type="pct"/>
            <w:tcBorders>
              <w:top w:val="nil"/>
              <w:left w:val="nil"/>
              <w:bottom w:val="single" w:color="000000" w:sz="4" w:space="0"/>
              <w:right w:val="single" w:color="000000" w:sz="4" w:space="0"/>
            </w:tcBorders>
            <w:vAlign w:val="center"/>
          </w:tcPr>
          <w:p w14:paraId="52386BEE">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95</w:t>
            </w:r>
          </w:p>
        </w:tc>
        <w:tc>
          <w:tcPr>
            <w:tcW w:w="182" w:type="pct"/>
            <w:tcBorders>
              <w:top w:val="nil"/>
              <w:left w:val="nil"/>
              <w:bottom w:val="single" w:color="000000" w:sz="4" w:space="0"/>
              <w:right w:val="single" w:color="000000" w:sz="4" w:space="0"/>
            </w:tcBorders>
            <w:vAlign w:val="center"/>
          </w:tcPr>
          <w:p w14:paraId="59917608">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w:t>
            </w:r>
          </w:p>
        </w:tc>
        <w:tc>
          <w:tcPr>
            <w:tcW w:w="386" w:type="pct"/>
            <w:tcBorders>
              <w:top w:val="nil"/>
              <w:left w:val="nil"/>
              <w:bottom w:val="single" w:color="000000" w:sz="4" w:space="0"/>
              <w:right w:val="single" w:color="000000" w:sz="4" w:space="0"/>
            </w:tcBorders>
            <w:vAlign w:val="center"/>
          </w:tcPr>
          <w:p w14:paraId="3C69F250">
            <w:pPr>
              <w:widowControl/>
              <w:jc w:val="center"/>
              <w:rPr>
                <w:rFonts w:hint="eastAsia" w:ascii="微软雅黑" w:hAnsi="微软雅黑" w:eastAsia="微软雅黑" w:cs="宋体"/>
                <w:b w:val="0"/>
                <w:bCs w:val="0"/>
                <w:i/>
                <w:iCs/>
                <w:color w:val="000000"/>
                <w:kern w:val="0"/>
                <w:sz w:val="16"/>
                <w:szCs w:val="16"/>
              </w:rPr>
            </w:pPr>
            <w:r>
              <w:rPr>
                <w:rFonts w:hint="eastAsia" w:ascii="微软雅黑" w:hAnsi="微软雅黑" w:eastAsia="微软雅黑" w:cs="宋体"/>
                <w:b w:val="0"/>
                <w:bCs w:val="0"/>
                <w:i/>
                <w:iCs/>
                <w:color w:val="000000"/>
                <w:kern w:val="0"/>
                <w:sz w:val="16"/>
                <w:szCs w:val="16"/>
              </w:rPr>
              <w:t>　</w:t>
            </w:r>
          </w:p>
        </w:tc>
        <w:tc>
          <w:tcPr>
            <w:tcW w:w="184" w:type="pct"/>
            <w:tcBorders>
              <w:top w:val="nil"/>
              <w:left w:val="nil"/>
              <w:bottom w:val="single" w:color="000000" w:sz="4" w:space="0"/>
              <w:right w:val="single" w:color="000000" w:sz="4" w:space="0"/>
            </w:tcBorders>
            <w:vAlign w:val="center"/>
          </w:tcPr>
          <w:p w14:paraId="4781C5FF">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15</w:t>
            </w:r>
          </w:p>
        </w:tc>
        <w:tc>
          <w:tcPr>
            <w:tcW w:w="159" w:type="pct"/>
            <w:tcBorders>
              <w:top w:val="nil"/>
              <w:left w:val="nil"/>
              <w:bottom w:val="single" w:color="000000" w:sz="4" w:space="0"/>
              <w:right w:val="single" w:color="000000" w:sz="4" w:space="0"/>
            </w:tcBorders>
            <w:vAlign w:val="center"/>
          </w:tcPr>
          <w:p w14:paraId="5895A6CB">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　</w:t>
            </w:r>
          </w:p>
        </w:tc>
        <w:tc>
          <w:tcPr>
            <w:tcW w:w="909" w:type="pct"/>
            <w:tcBorders>
              <w:top w:val="nil"/>
              <w:left w:val="nil"/>
              <w:bottom w:val="single" w:color="000000" w:sz="4" w:space="0"/>
              <w:right w:val="single" w:color="000000" w:sz="4" w:space="0"/>
            </w:tcBorders>
            <w:vAlign w:val="center"/>
          </w:tcPr>
          <w:p w14:paraId="002CADD0">
            <w:pPr>
              <w:widowControl/>
              <w:jc w:val="center"/>
              <w:rPr>
                <w:rFonts w:hint="eastAsia" w:ascii="微软雅黑" w:hAnsi="微软雅黑" w:eastAsia="微软雅黑" w:cs="宋体"/>
                <w:b w:val="0"/>
                <w:bCs w:val="0"/>
                <w:i/>
                <w:iCs/>
                <w:color w:val="000000"/>
                <w:kern w:val="0"/>
                <w:sz w:val="16"/>
                <w:szCs w:val="16"/>
              </w:rPr>
            </w:pPr>
            <w:r>
              <w:rPr>
                <w:rFonts w:hint="eastAsia" w:ascii="微软雅黑" w:hAnsi="微软雅黑" w:eastAsia="微软雅黑" w:cs="宋体"/>
                <w:b w:val="0"/>
                <w:bCs w:val="0"/>
                <w:i/>
                <w:iCs/>
                <w:color w:val="000000"/>
                <w:kern w:val="0"/>
                <w:sz w:val="16"/>
                <w:szCs w:val="16"/>
              </w:rPr>
              <w:t>　</w:t>
            </w:r>
          </w:p>
        </w:tc>
      </w:tr>
      <w:tr w14:paraId="083A4D59">
        <w:tblPrEx>
          <w:tblCellMar>
            <w:top w:w="0" w:type="dxa"/>
            <w:left w:w="108" w:type="dxa"/>
            <w:bottom w:w="0" w:type="dxa"/>
            <w:right w:w="108" w:type="dxa"/>
          </w:tblCellMar>
        </w:tblPrEx>
        <w:trPr>
          <w:trHeight w:val="340" w:hRule="atLeast"/>
        </w:trPr>
        <w:tc>
          <w:tcPr>
            <w:tcW w:w="242" w:type="pct"/>
            <w:vMerge w:val="continue"/>
            <w:tcBorders>
              <w:top w:val="nil"/>
              <w:left w:val="single" w:color="000000" w:sz="4" w:space="0"/>
              <w:bottom w:val="single" w:color="000000" w:sz="4" w:space="0"/>
              <w:right w:val="single" w:color="000000" w:sz="4" w:space="0"/>
            </w:tcBorders>
            <w:vAlign w:val="center"/>
          </w:tcPr>
          <w:p w14:paraId="30F8F162">
            <w:pPr>
              <w:widowControl/>
              <w:jc w:val="left"/>
              <w:rPr>
                <w:rFonts w:hint="eastAsia" w:ascii="宋体" w:hAnsi="宋体" w:cs="宋体"/>
                <w:b w:val="0"/>
                <w:bCs w:val="0"/>
                <w:color w:val="000000"/>
                <w:kern w:val="0"/>
                <w:sz w:val="18"/>
                <w:szCs w:val="18"/>
              </w:rPr>
            </w:pPr>
          </w:p>
        </w:tc>
        <w:tc>
          <w:tcPr>
            <w:tcW w:w="727" w:type="pct"/>
            <w:vMerge w:val="continue"/>
            <w:tcBorders>
              <w:top w:val="nil"/>
              <w:left w:val="single" w:color="000000" w:sz="4" w:space="0"/>
              <w:bottom w:val="single" w:color="000000" w:sz="4" w:space="0"/>
              <w:right w:val="single" w:color="000000" w:sz="4" w:space="0"/>
            </w:tcBorders>
            <w:vAlign w:val="center"/>
          </w:tcPr>
          <w:p w14:paraId="595102E2">
            <w:pPr>
              <w:widowControl/>
              <w:jc w:val="left"/>
              <w:rPr>
                <w:rFonts w:hint="eastAsia" w:ascii="宋体" w:hAnsi="宋体" w:cs="宋体"/>
                <w:b w:val="0"/>
                <w:bCs w:val="0"/>
                <w:color w:val="000000"/>
                <w:kern w:val="0"/>
                <w:sz w:val="18"/>
                <w:szCs w:val="18"/>
              </w:rPr>
            </w:pPr>
          </w:p>
        </w:tc>
        <w:tc>
          <w:tcPr>
            <w:tcW w:w="628" w:type="pct"/>
            <w:tcBorders>
              <w:top w:val="nil"/>
              <w:left w:val="nil"/>
              <w:bottom w:val="single" w:color="000000" w:sz="4" w:space="0"/>
              <w:right w:val="single" w:color="000000" w:sz="4" w:space="0"/>
            </w:tcBorders>
            <w:vAlign w:val="center"/>
          </w:tcPr>
          <w:p w14:paraId="13E8807B">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时效指标</w:t>
            </w:r>
          </w:p>
        </w:tc>
        <w:tc>
          <w:tcPr>
            <w:tcW w:w="803" w:type="pct"/>
            <w:tcBorders>
              <w:top w:val="nil"/>
              <w:left w:val="nil"/>
              <w:bottom w:val="single" w:color="000000" w:sz="4" w:space="0"/>
              <w:right w:val="single" w:color="000000" w:sz="4" w:space="0"/>
            </w:tcBorders>
            <w:vAlign w:val="center"/>
          </w:tcPr>
          <w:p w14:paraId="5995A322">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资金拨付及时率</w:t>
            </w:r>
          </w:p>
        </w:tc>
        <w:tc>
          <w:tcPr>
            <w:tcW w:w="182" w:type="pct"/>
            <w:tcBorders>
              <w:top w:val="nil"/>
              <w:left w:val="nil"/>
              <w:bottom w:val="single" w:color="000000" w:sz="4" w:space="0"/>
              <w:right w:val="single" w:color="000000" w:sz="4" w:space="0"/>
            </w:tcBorders>
            <w:vAlign w:val="center"/>
          </w:tcPr>
          <w:p w14:paraId="5CA02EE2">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w:t>
            </w:r>
          </w:p>
        </w:tc>
        <w:tc>
          <w:tcPr>
            <w:tcW w:w="598" w:type="pct"/>
            <w:tcBorders>
              <w:top w:val="nil"/>
              <w:left w:val="nil"/>
              <w:bottom w:val="single" w:color="000000" w:sz="4" w:space="0"/>
              <w:right w:val="single" w:color="000000" w:sz="4" w:space="0"/>
            </w:tcBorders>
            <w:vAlign w:val="center"/>
          </w:tcPr>
          <w:p w14:paraId="083384A6">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100</w:t>
            </w:r>
          </w:p>
        </w:tc>
        <w:tc>
          <w:tcPr>
            <w:tcW w:w="182" w:type="pct"/>
            <w:tcBorders>
              <w:top w:val="nil"/>
              <w:left w:val="nil"/>
              <w:bottom w:val="single" w:color="000000" w:sz="4" w:space="0"/>
              <w:right w:val="single" w:color="000000" w:sz="4" w:space="0"/>
            </w:tcBorders>
            <w:vAlign w:val="center"/>
          </w:tcPr>
          <w:p w14:paraId="3B74810A">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w:t>
            </w:r>
          </w:p>
        </w:tc>
        <w:tc>
          <w:tcPr>
            <w:tcW w:w="386" w:type="pct"/>
            <w:tcBorders>
              <w:top w:val="nil"/>
              <w:left w:val="nil"/>
              <w:bottom w:val="single" w:color="000000" w:sz="4" w:space="0"/>
              <w:right w:val="single" w:color="000000" w:sz="4" w:space="0"/>
            </w:tcBorders>
            <w:vAlign w:val="center"/>
          </w:tcPr>
          <w:p w14:paraId="7F8720F7">
            <w:pPr>
              <w:widowControl/>
              <w:jc w:val="center"/>
              <w:rPr>
                <w:rFonts w:hint="eastAsia" w:ascii="微软雅黑" w:hAnsi="微软雅黑" w:eastAsia="微软雅黑" w:cs="宋体"/>
                <w:b w:val="0"/>
                <w:bCs w:val="0"/>
                <w:i/>
                <w:iCs/>
                <w:color w:val="000000"/>
                <w:kern w:val="0"/>
                <w:sz w:val="16"/>
                <w:szCs w:val="16"/>
              </w:rPr>
            </w:pPr>
            <w:r>
              <w:rPr>
                <w:rFonts w:hint="eastAsia" w:ascii="微软雅黑" w:hAnsi="微软雅黑" w:eastAsia="微软雅黑" w:cs="宋体"/>
                <w:b w:val="0"/>
                <w:bCs w:val="0"/>
                <w:i/>
                <w:iCs/>
                <w:color w:val="000000"/>
                <w:kern w:val="0"/>
                <w:sz w:val="16"/>
                <w:szCs w:val="16"/>
              </w:rPr>
              <w:t>　</w:t>
            </w:r>
          </w:p>
        </w:tc>
        <w:tc>
          <w:tcPr>
            <w:tcW w:w="184" w:type="pct"/>
            <w:tcBorders>
              <w:top w:val="nil"/>
              <w:left w:val="nil"/>
              <w:bottom w:val="single" w:color="000000" w:sz="4" w:space="0"/>
              <w:right w:val="single" w:color="000000" w:sz="4" w:space="0"/>
            </w:tcBorders>
            <w:vAlign w:val="center"/>
          </w:tcPr>
          <w:p w14:paraId="7E0896BE">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10</w:t>
            </w:r>
          </w:p>
        </w:tc>
        <w:tc>
          <w:tcPr>
            <w:tcW w:w="159" w:type="pct"/>
            <w:tcBorders>
              <w:top w:val="nil"/>
              <w:left w:val="nil"/>
              <w:bottom w:val="single" w:color="000000" w:sz="4" w:space="0"/>
              <w:right w:val="single" w:color="000000" w:sz="4" w:space="0"/>
            </w:tcBorders>
            <w:vAlign w:val="center"/>
          </w:tcPr>
          <w:p w14:paraId="2A8BF055">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　</w:t>
            </w:r>
          </w:p>
        </w:tc>
        <w:tc>
          <w:tcPr>
            <w:tcW w:w="909" w:type="pct"/>
            <w:tcBorders>
              <w:top w:val="nil"/>
              <w:left w:val="nil"/>
              <w:bottom w:val="single" w:color="000000" w:sz="4" w:space="0"/>
              <w:right w:val="single" w:color="000000" w:sz="4" w:space="0"/>
            </w:tcBorders>
            <w:vAlign w:val="center"/>
          </w:tcPr>
          <w:p w14:paraId="558FC9B7">
            <w:pPr>
              <w:widowControl/>
              <w:jc w:val="center"/>
              <w:rPr>
                <w:rFonts w:hint="eastAsia" w:ascii="微软雅黑" w:hAnsi="微软雅黑" w:eastAsia="微软雅黑" w:cs="宋体"/>
                <w:b w:val="0"/>
                <w:bCs w:val="0"/>
                <w:i/>
                <w:iCs/>
                <w:color w:val="000000"/>
                <w:kern w:val="0"/>
                <w:sz w:val="16"/>
                <w:szCs w:val="16"/>
              </w:rPr>
            </w:pPr>
            <w:r>
              <w:rPr>
                <w:rFonts w:hint="eastAsia" w:ascii="微软雅黑" w:hAnsi="微软雅黑" w:eastAsia="微软雅黑" w:cs="宋体"/>
                <w:b w:val="0"/>
                <w:bCs w:val="0"/>
                <w:i/>
                <w:iCs/>
                <w:color w:val="000000"/>
                <w:kern w:val="0"/>
                <w:sz w:val="16"/>
                <w:szCs w:val="16"/>
              </w:rPr>
              <w:t>　</w:t>
            </w:r>
          </w:p>
        </w:tc>
      </w:tr>
      <w:tr w14:paraId="62466207">
        <w:tblPrEx>
          <w:tblCellMar>
            <w:top w:w="0" w:type="dxa"/>
            <w:left w:w="108" w:type="dxa"/>
            <w:bottom w:w="0" w:type="dxa"/>
            <w:right w:w="108" w:type="dxa"/>
          </w:tblCellMar>
        </w:tblPrEx>
        <w:trPr>
          <w:trHeight w:val="452" w:hRule="atLeast"/>
        </w:trPr>
        <w:tc>
          <w:tcPr>
            <w:tcW w:w="242" w:type="pct"/>
            <w:vMerge w:val="continue"/>
            <w:tcBorders>
              <w:top w:val="nil"/>
              <w:left w:val="single" w:color="000000" w:sz="4" w:space="0"/>
              <w:bottom w:val="single" w:color="000000" w:sz="4" w:space="0"/>
              <w:right w:val="single" w:color="000000" w:sz="4" w:space="0"/>
            </w:tcBorders>
            <w:vAlign w:val="center"/>
          </w:tcPr>
          <w:p w14:paraId="3FB5F6F8">
            <w:pPr>
              <w:widowControl/>
              <w:jc w:val="left"/>
              <w:rPr>
                <w:rFonts w:hint="eastAsia" w:ascii="宋体" w:hAnsi="宋体" w:cs="宋体"/>
                <w:b w:val="0"/>
                <w:bCs w:val="0"/>
                <w:color w:val="000000"/>
                <w:kern w:val="0"/>
                <w:sz w:val="18"/>
                <w:szCs w:val="18"/>
              </w:rPr>
            </w:pPr>
          </w:p>
        </w:tc>
        <w:tc>
          <w:tcPr>
            <w:tcW w:w="727" w:type="pct"/>
            <w:vMerge w:val="restart"/>
            <w:tcBorders>
              <w:top w:val="nil"/>
              <w:left w:val="single" w:color="000000" w:sz="4" w:space="0"/>
              <w:bottom w:val="single" w:color="000000" w:sz="4" w:space="0"/>
              <w:right w:val="single" w:color="000000" w:sz="4" w:space="0"/>
            </w:tcBorders>
            <w:vAlign w:val="center"/>
          </w:tcPr>
          <w:p w14:paraId="42D0654E">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效益指标</w:t>
            </w:r>
          </w:p>
        </w:tc>
        <w:tc>
          <w:tcPr>
            <w:tcW w:w="628" w:type="pct"/>
            <w:tcBorders>
              <w:top w:val="nil"/>
              <w:left w:val="nil"/>
              <w:bottom w:val="single" w:color="000000" w:sz="4" w:space="0"/>
              <w:right w:val="single" w:color="000000" w:sz="4" w:space="0"/>
            </w:tcBorders>
            <w:vAlign w:val="center"/>
          </w:tcPr>
          <w:p w14:paraId="4FCB39AD">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经济效益指标</w:t>
            </w:r>
          </w:p>
        </w:tc>
        <w:tc>
          <w:tcPr>
            <w:tcW w:w="803" w:type="pct"/>
            <w:tcBorders>
              <w:top w:val="nil"/>
              <w:left w:val="nil"/>
              <w:bottom w:val="single" w:color="000000" w:sz="4" w:space="0"/>
              <w:right w:val="single" w:color="000000" w:sz="4" w:space="0"/>
            </w:tcBorders>
            <w:vAlign w:val="center"/>
          </w:tcPr>
          <w:p w14:paraId="4270819B">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专利实施项目新增产值年增长率</w:t>
            </w:r>
          </w:p>
        </w:tc>
        <w:tc>
          <w:tcPr>
            <w:tcW w:w="182" w:type="pct"/>
            <w:tcBorders>
              <w:top w:val="nil"/>
              <w:left w:val="nil"/>
              <w:bottom w:val="single" w:color="000000" w:sz="4" w:space="0"/>
              <w:right w:val="single" w:color="000000" w:sz="4" w:space="0"/>
            </w:tcBorders>
            <w:vAlign w:val="center"/>
          </w:tcPr>
          <w:p w14:paraId="7128F664">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定性</w:t>
            </w:r>
          </w:p>
        </w:tc>
        <w:tc>
          <w:tcPr>
            <w:tcW w:w="598" w:type="pct"/>
            <w:tcBorders>
              <w:top w:val="nil"/>
              <w:left w:val="nil"/>
              <w:bottom w:val="single" w:color="000000" w:sz="4" w:space="0"/>
              <w:right w:val="single" w:color="000000" w:sz="4" w:space="0"/>
            </w:tcBorders>
            <w:vAlign w:val="center"/>
          </w:tcPr>
          <w:p w14:paraId="4B81476C">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不低于全市GDP增长率</w:t>
            </w:r>
          </w:p>
        </w:tc>
        <w:tc>
          <w:tcPr>
            <w:tcW w:w="182" w:type="pct"/>
            <w:tcBorders>
              <w:top w:val="nil"/>
              <w:left w:val="nil"/>
              <w:bottom w:val="single" w:color="000000" w:sz="4" w:space="0"/>
              <w:right w:val="single" w:color="000000" w:sz="4" w:space="0"/>
            </w:tcBorders>
            <w:vAlign w:val="center"/>
          </w:tcPr>
          <w:p w14:paraId="399DE60F">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　</w:t>
            </w:r>
          </w:p>
        </w:tc>
        <w:tc>
          <w:tcPr>
            <w:tcW w:w="386" w:type="pct"/>
            <w:tcBorders>
              <w:top w:val="nil"/>
              <w:left w:val="nil"/>
              <w:bottom w:val="single" w:color="000000" w:sz="4" w:space="0"/>
              <w:right w:val="single" w:color="000000" w:sz="4" w:space="0"/>
            </w:tcBorders>
            <w:vAlign w:val="center"/>
          </w:tcPr>
          <w:p w14:paraId="798F8F88">
            <w:pPr>
              <w:widowControl/>
              <w:jc w:val="center"/>
              <w:rPr>
                <w:rFonts w:hint="eastAsia" w:ascii="微软雅黑" w:hAnsi="微软雅黑" w:eastAsia="微软雅黑" w:cs="宋体"/>
                <w:b w:val="0"/>
                <w:bCs w:val="0"/>
                <w:i/>
                <w:iCs/>
                <w:color w:val="000000"/>
                <w:kern w:val="0"/>
                <w:sz w:val="16"/>
                <w:szCs w:val="16"/>
              </w:rPr>
            </w:pPr>
            <w:r>
              <w:rPr>
                <w:rFonts w:hint="eastAsia" w:ascii="微软雅黑" w:hAnsi="微软雅黑" w:eastAsia="微软雅黑" w:cs="宋体"/>
                <w:b w:val="0"/>
                <w:bCs w:val="0"/>
                <w:i/>
                <w:iCs/>
                <w:color w:val="000000"/>
                <w:kern w:val="0"/>
                <w:sz w:val="16"/>
                <w:szCs w:val="16"/>
              </w:rPr>
              <w:t>　</w:t>
            </w:r>
          </w:p>
        </w:tc>
        <w:tc>
          <w:tcPr>
            <w:tcW w:w="184" w:type="pct"/>
            <w:tcBorders>
              <w:top w:val="nil"/>
              <w:left w:val="nil"/>
              <w:bottom w:val="single" w:color="000000" w:sz="4" w:space="0"/>
              <w:right w:val="single" w:color="000000" w:sz="4" w:space="0"/>
            </w:tcBorders>
            <w:vAlign w:val="center"/>
          </w:tcPr>
          <w:p w14:paraId="13825C8E">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15</w:t>
            </w:r>
          </w:p>
        </w:tc>
        <w:tc>
          <w:tcPr>
            <w:tcW w:w="159" w:type="pct"/>
            <w:tcBorders>
              <w:top w:val="nil"/>
              <w:left w:val="nil"/>
              <w:bottom w:val="single" w:color="000000" w:sz="4" w:space="0"/>
              <w:right w:val="single" w:color="000000" w:sz="4" w:space="0"/>
            </w:tcBorders>
            <w:vAlign w:val="center"/>
          </w:tcPr>
          <w:p w14:paraId="0B2568B7">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　</w:t>
            </w:r>
          </w:p>
        </w:tc>
        <w:tc>
          <w:tcPr>
            <w:tcW w:w="909" w:type="pct"/>
            <w:tcBorders>
              <w:top w:val="nil"/>
              <w:left w:val="nil"/>
              <w:bottom w:val="single" w:color="000000" w:sz="4" w:space="0"/>
              <w:right w:val="single" w:color="000000" w:sz="4" w:space="0"/>
            </w:tcBorders>
            <w:vAlign w:val="center"/>
          </w:tcPr>
          <w:p w14:paraId="352EDFA4">
            <w:pPr>
              <w:widowControl/>
              <w:jc w:val="center"/>
              <w:rPr>
                <w:rFonts w:hint="eastAsia" w:ascii="微软雅黑" w:hAnsi="微软雅黑" w:eastAsia="微软雅黑" w:cs="宋体"/>
                <w:b w:val="0"/>
                <w:bCs w:val="0"/>
                <w:i/>
                <w:iCs/>
                <w:color w:val="000000"/>
                <w:kern w:val="0"/>
                <w:sz w:val="16"/>
                <w:szCs w:val="16"/>
              </w:rPr>
            </w:pPr>
            <w:r>
              <w:rPr>
                <w:rFonts w:hint="eastAsia" w:ascii="微软雅黑" w:hAnsi="微软雅黑" w:eastAsia="微软雅黑" w:cs="宋体"/>
                <w:b w:val="0"/>
                <w:bCs w:val="0"/>
                <w:i/>
                <w:iCs/>
                <w:color w:val="000000"/>
                <w:kern w:val="0"/>
                <w:sz w:val="16"/>
                <w:szCs w:val="16"/>
              </w:rPr>
              <w:t>　</w:t>
            </w:r>
          </w:p>
        </w:tc>
      </w:tr>
      <w:tr w14:paraId="5EEFB57E">
        <w:tblPrEx>
          <w:tblCellMar>
            <w:top w:w="0" w:type="dxa"/>
            <w:left w:w="108" w:type="dxa"/>
            <w:bottom w:w="0" w:type="dxa"/>
            <w:right w:w="108" w:type="dxa"/>
          </w:tblCellMar>
        </w:tblPrEx>
        <w:trPr>
          <w:trHeight w:val="452" w:hRule="atLeast"/>
        </w:trPr>
        <w:tc>
          <w:tcPr>
            <w:tcW w:w="242" w:type="pct"/>
            <w:vMerge w:val="continue"/>
            <w:tcBorders>
              <w:top w:val="nil"/>
              <w:left w:val="single" w:color="000000" w:sz="4" w:space="0"/>
              <w:bottom w:val="single" w:color="000000" w:sz="4" w:space="0"/>
              <w:right w:val="single" w:color="000000" w:sz="4" w:space="0"/>
            </w:tcBorders>
            <w:vAlign w:val="center"/>
          </w:tcPr>
          <w:p w14:paraId="412BA360">
            <w:pPr>
              <w:widowControl/>
              <w:jc w:val="left"/>
              <w:rPr>
                <w:rFonts w:hint="eastAsia" w:ascii="宋体" w:hAnsi="宋体" w:cs="宋体"/>
                <w:b w:val="0"/>
                <w:bCs w:val="0"/>
                <w:color w:val="000000"/>
                <w:kern w:val="0"/>
                <w:sz w:val="18"/>
                <w:szCs w:val="18"/>
              </w:rPr>
            </w:pPr>
          </w:p>
        </w:tc>
        <w:tc>
          <w:tcPr>
            <w:tcW w:w="727" w:type="pct"/>
            <w:vMerge w:val="continue"/>
            <w:tcBorders>
              <w:top w:val="nil"/>
              <w:left w:val="single" w:color="000000" w:sz="4" w:space="0"/>
              <w:bottom w:val="single" w:color="000000" w:sz="4" w:space="0"/>
              <w:right w:val="single" w:color="000000" w:sz="4" w:space="0"/>
            </w:tcBorders>
            <w:vAlign w:val="center"/>
          </w:tcPr>
          <w:p w14:paraId="422764E1">
            <w:pPr>
              <w:widowControl/>
              <w:jc w:val="left"/>
              <w:rPr>
                <w:rFonts w:hint="eastAsia" w:ascii="宋体" w:hAnsi="宋体" w:cs="宋体"/>
                <w:b w:val="0"/>
                <w:bCs w:val="0"/>
                <w:color w:val="000000"/>
                <w:kern w:val="0"/>
                <w:sz w:val="18"/>
                <w:szCs w:val="18"/>
              </w:rPr>
            </w:pPr>
          </w:p>
        </w:tc>
        <w:tc>
          <w:tcPr>
            <w:tcW w:w="628" w:type="pct"/>
            <w:tcBorders>
              <w:top w:val="nil"/>
              <w:left w:val="nil"/>
              <w:bottom w:val="single" w:color="000000" w:sz="4" w:space="0"/>
              <w:right w:val="single" w:color="000000" w:sz="4" w:space="0"/>
            </w:tcBorders>
            <w:vAlign w:val="center"/>
          </w:tcPr>
          <w:p w14:paraId="7C55DEC1">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可持续发展指标</w:t>
            </w:r>
          </w:p>
        </w:tc>
        <w:tc>
          <w:tcPr>
            <w:tcW w:w="803" w:type="pct"/>
            <w:tcBorders>
              <w:top w:val="nil"/>
              <w:left w:val="nil"/>
              <w:bottom w:val="single" w:color="000000" w:sz="4" w:space="0"/>
              <w:right w:val="single" w:color="000000" w:sz="4" w:space="0"/>
            </w:tcBorders>
            <w:vAlign w:val="center"/>
          </w:tcPr>
          <w:p w14:paraId="054F9C36">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建立优化知识产权营商环境体系</w:t>
            </w:r>
          </w:p>
        </w:tc>
        <w:tc>
          <w:tcPr>
            <w:tcW w:w="182" w:type="pct"/>
            <w:tcBorders>
              <w:top w:val="nil"/>
              <w:left w:val="nil"/>
              <w:bottom w:val="single" w:color="000000" w:sz="4" w:space="0"/>
              <w:right w:val="single" w:color="000000" w:sz="4" w:space="0"/>
            </w:tcBorders>
            <w:vAlign w:val="center"/>
          </w:tcPr>
          <w:p w14:paraId="5A286E1A">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w:t>
            </w:r>
          </w:p>
        </w:tc>
        <w:tc>
          <w:tcPr>
            <w:tcW w:w="598" w:type="pct"/>
            <w:tcBorders>
              <w:top w:val="nil"/>
              <w:left w:val="nil"/>
              <w:bottom w:val="single" w:color="000000" w:sz="4" w:space="0"/>
              <w:right w:val="single" w:color="000000" w:sz="4" w:space="0"/>
            </w:tcBorders>
            <w:vAlign w:val="center"/>
          </w:tcPr>
          <w:p w14:paraId="5C14B4E9">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1</w:t>
            </w:r>
          </w:p>
        </w:tc>
        <w:tc>
          <w:tcPr>
            <w:tcW w:w="182" w:type="pct"/>
            <w:tcBorders>
              <w:top w:val="nil"/>
              <w:left w:val="nil"/>
              <w:bottom w:val="single" w:color="000000" w:sz="4" w:space="0"/>
              <w:right w:val="single" w:color="000000" w:sz="4" w:space="0"/>
            </w:tcBorders>
            <w:vAlign w:val="center"/>
          </w:tcPr>
          <w:p w14:paraId="216D23D7">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套</w:t>
            </w:r>
          </w:p>
        </w:tc>
        <w:tc>
          <w:tcPr>
            <w:tcW w:w="386" w:type="pct"/>
            <w:tcBorders>
              <w:top w:val="nil"/>
              <w:left w:val="nil"/>
              <w:bottom w:val="single" w:color="000000" w:sz="4" w:space="0"/>
              <w:right w:val="single" w:color="000000" w:sz="4" w:space="0"/>
            </w:tcBorders>
            <w:vAlign w:val="center"/>
          </w:tcPr>
          <w:p w14:paraId="7304B6BC">
            <w:pPr>
              <w:widowControl/>
              <w:jc w:val="center"/>
              <w:rPr>
                <w:rFonts w:hint="eastAsia" w:ascii="微软雅黑" w:hAnsi="微软雅黑" w:eastAsia="微软雅黑" w:cs="宋体"/>
                <w:b w:val="0"/>
                <w:bCs w:val="0"/>
                <w:i/>
                <w:iCs/>
                <w:color w:val="000000"/>
                <w:kern w:val="0"/>
                <w:sz w:val="16"/>
                <w:szCs w:val="16"/>
              </w:rPr>
            </w:pPr>
            <w:r>
              <w:rPr>
                <w:rFonts w:hint="eastAsia" w:ascii="微软雅黑" w:hAnsi="微软雅黑" w:eastAsia="微软雅黑" w:cs="宋体"/>
                <w:b w:val="0"/>
                <w:bCs w:val="0"/>
                <w:i/>
                <w:iCs/>
                <w:color w:val="000000"/>
                <w:kern w:val="0"/>
                <w:sz w:val="16"/>
                <w:szCs w:val="16"/>
              </w:rPr>
              <w:t>　</w:t>
            </w:r>
          </w:p>
        </w:tc>
        <w:tc>
          <w:tcPr>
            <w:tcW w:w="184" w:type="pct"/>
            <w:tcBorders>
              <w:top w:val="nil"/>
              <w:left w:val="nil"/>
              <w:bottom w:val="single" w:color="000000" w:sz="4" w:space="0"/>
              <w:right w:val="single" w:color="000000" w:sz="4" w:space="0"/>
            </w:tcBorders>
            <w:vAlign w:val="center"/>
          </w:tcPr>
          <w:p w14:paraId="16E33D04">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15</w:t>
            </w:r>
          </w:p>
        </w:tc>
        <w:tc>
          <w:tcPr>
            <w:tcW w:w="159" w:type="pct"/>
            <w:tcBorders>
              <w:top w:val="nil"/>
              <w:left w:val="nil"/>
              <w:bottom w:val="single" w:color="000000" w:sz="4" w:space="0"/>
              <w:right w:val="single" w:color="000000" w:sz="4" w:space="0"/>
            </w:tcBorders>
            <w:vAlign w:val="center"/>
          </w:tcPr>
          <w:p w14:paraId="26A87987">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　</w:t>
            </w:r>
          </w:p>
        </w:tc>
        <w:tc>
          <w:tcPr>
            <w:tcW w:w="909" w:type="pct"/>
            <w:tcBorders>
              <w:top w:val="nil"/>
              <w:left w:val="nil"/>
              <w:bottom w:val="single" w:color="000000" w:sz="4" w:space="0"/>
              <w:right w:val="single" w:color="000000" w:sz="4" w:space="0"/>
            </w:tcBorders>
            <w:vAlign w:val="center"/>
          </w:tcPr>
          <w:p w14:paraId="284AF6ED">
            <w:pPr>
              <w:widowControl/>
              <w:jc w:val="center"/>
              <w:rPr>
                <w:rFonts w:hint="eastAsia" w:ascii="微软雅黑" w:hAnsi="微软雅黑" w:eastAsia="微软雅黑" w:cs="宋体"/>
                <w:b w:val="0"/>
                <w:bCs w:val="0"/>
                <w:i/>
                <w:iCs/>
                <w:color w:val="000000"/>
                <w:kern w:val="0"/>
                <w:sz w:val="16"/>
                <w:szCs w:val="16"/>
              </w:rPr>
            </w:pPr>
            <w:r>
              <w:rPr>
                <w:rFonts w:hint="eastAsia" w:ascii="微软雅黑" w:hAnsi="微软雅黑" w:eastAsia="微软雅黑" w:cs="宋体"/>
                <w:b w:val="0"/>
                <w:bCs w:val="0"/>
                <w:i/>
                <w:iCs/>
                <w:color w:val="000000"/>
                <w:kern w:val="0"/>
                <w:sz w:val="16"/>
                <w:szCs w:val="16"/>
              </w:rPr>
              <w:t>　</w:t>
            </w:r>
          </w:p>
        </w:tc>
      </w:tr>
      <w:tr w14:paraId="4357ED03">
        <w:tblPrEx>
          <w:tblCellMar>
            <w:top w:w="0" w:type="dxa"/>
            <w:left w:w="108" w:type="dxa"/>
            <w:bottom w:w="0" w:type="dxa"/>
            <w:right w:w="108" w:type="dxa"/>
          </w:tblCellMar>
        </w:tblPrEx>
        <w:trPr>
          <w:trHeight w:val="452" w:hRule="atLeast"/>
        </w:trPr>
        <w:tc>
          <w:tcPr>
            <w:tcW w:w="242" w:type="pct"/>
            <w:vMerge w:val="continue"/>
            <w:tcBorders>
              <w:top w:val="nil"/>
              <w:left w:val="single" w:color="000000" w:sz="4" w:space="0"/>
              <w:bottom w:val="single" w:color="000000" w:sz="4" w:space="0"/>
              <w:right w:val="single" w:color="000000" w:sz="4" w:space="0"/>
            </w:tcBorders>
            <w:vAlign w:val="center"/>
          </w:tcPr>
          <w:p w14:paraId="2D1282FC">
            <w:pPr>
              <w:widowControl/>
              <w:jc w:val="left"/>
              <w:rPr>
                <w:rFonts w:hint="eastAsia" w:ascii="宋体" w:hAnsi="宋体" w:cs="宋体"/>
                <w:b w:val="0"/>
                <w:bCs w:val="0"/>
                <w:color w:val="000000"/>
                <w:kern w:val="0"/>
                <w:sz w:val="18"/>
                <w:szCs w:val="18"/>
              </w:rPr>
            </w:pPr>
          </w:p>
        </w:tc>
        <w:tc>
          <w:tcPr>
            <w:tcW w:w="727" w:type="pct"/>
            <w:tcBorders>
              <w:top w:val="nil"/>
              <w:left w:val="nil"/>
              <w:bottom w:val="single" w:color="000000" w:sz="4" w:space="0"/>
              <w:right w:val="single" w:color="000000" w:sz="4" w:space="0"/>
            </w:tcBorders>
            <w:vAlign w:val="center"/>
          </w:tcPr>
          <w:p w14:paraId="3A37B9B7">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满意度指标</w:t>
            </w:r>
          </w:p>
        </w:tc>
        <w:tc>
          <w:tcPr>
            <w:tcW w:w="628" w:type="pct"/>
            <w:tcBorders>
              <w:top w:val="nil"/>
              <w:left w:val="nil"/>
              <w:bottom w:val="single" w:color="000000" w:sz="4" w:space="0"/>
              <w:right w:val="single" w:color="000000" w:sz="4" w:space="0"/>
            </w:tcBorders>
            <w:vAlign w:val="center"/>
          </w:tcPr>
          <w:p w14:paraId="06DC75DB">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服务对象满意度指标</w:t>
            </w:r>
          </w:p>
        </w:tc>
        <w:tc>
          <w:tcPr>
            <w:tcW w:w="803" w:type="pct"/>
            <w:tcBorders>
              <w:top w:val="nil"/>
              <w:left w:val="nil"/>
              <w:bottom w:val="single" w:color="000000" w:sz="4" w:space="0"/>
              <w:right w:val="single" w:color="000000" w:sz="4" w:space="0"/>
            </w:tcBorders>
            <w:vAlign w:val="center"/>
          </w:tcPr>
          <w:p w14:paraId="52A1F3E7">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服务对象满意度</w:t>
            </w:r>
          </w:p>
        </w:tc>
        <w:tc>
          <w:tcPr>
            <w:tcW w:w="182" w:type="pct"/>
            <w:tcBorders>
              <w:top w:val="nil"/>
              <w:left w:val="nil"/>
              <w:bottom w:val="single" w:color="000000" w:sz="4" w:space="0"/>
              <w:right w:val="single" w:color="000000" w:sz="4" w:space="0"/>
            </w:tcBorders>
            <w:vAlign w:val="center"/>
          </w:tcPr>
          <w:p w14:paraId="2A16B83D">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w:t>
            </w:r>
          </w:p>
        </w:tc>
        <w:tc>
          <w:tcPr>
            <w:tcW w:w="598" w:type="pct"/>
            <w:tcBorders>
              <w:top w:val="nil"/>
              <w:left w:val="nil"/>
              <w:bottom w:val="single" w:color="000000" w:sz="4" w:space="0"/>
              <w:right w:val="single" w:color="000000" w:sz="4" w:space="0"/>
            </w:tcBorders>
            <w:vAlign w:val="center"/>
          </w:tcPr>
          <w:p w14:paraId="44A6D566">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85</w:t>
            </w:r>
          </w:p>
        </w:tc>
        <w:tc>
          <w:tcPr>
            <w:tcW w:w="182" w:type="pct"/>
            <w:tcBorders>
              <w:top w:val="nil"/>
              <w:left w:val="nil"/>
              <w:bottom w:val="single" w:color="000000" w:sz="4" w:space="0"/>
              <w:right w:val="single" w:color="000000" w:sz="4" w:space="0"/>
            </w:tcBorders>
            <w:vAlign w:val="center"/>
          </w:tcPr>
          <w:p w14:paraId="4F5590B5">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w:t>
            </w:r>
          </w:p>
        </w:tc>
        <w:tc>
          <w:tcPr>
            <w:tcW w:w="386" w:type="pct"/>
            <w:tcBorders>
              <w:top w:val="nil"/>
              <w:left w:val="nil"/>
              <w:bottom w:val="single" w:color="000000" w:sz="4" w:space="0"/>
              <w:right w:val="single" w:color="000000" w:sz="4" w:space="0"/>
            </w:tcBorders>
            <w:vAlign w:val="center"/>
          </w:tcPr>
          <w:p w14:paraId="209D43C0">
            <w:pPr>
              <w:widowControl/>
              <w:jc w:val="center"/>
              <w:rPr>
                <w:rFonts w:hint="eastAsia" w:ascii="微软雅黑" w:hAnsi="微软雅黑" w:eastAsia="微软雅黑" w:cs="宋体"/>
                <w:b w:val="0"/>
                <w:bCs w:val="0"/>
                <w:i/>
                <w:iCs/>
                <w:color w:val="000000"/>
                <w:kern w:val="0"/>
                <w:sz w:val="16"/>
                <w:szCs w:val="16"/>
              </w:rPr>
            </w:pPr>
            <w:r>
              <w:rPr>
                <w:rFonts w:hint="eastAsia" w:ascii="微软雅黑" w:hAnsi="微软雅黑" w:eastAsia="微软雅黑" w:cs="宋体"/>
                <w:b w:val="0"/>
                <w:bCs w:val="0"/>
                <w:i/>
                <w:iCs/>
                <w:color w:val="000000"/>
                <w:kern w:val="0"/>
                <w:sz w:val="16"/>
                <w:szCs w:val="16"/>
              </w:rPr>
              <w:t>　</w:t>
            </w:r>
          </w:p>
        </w:tc>
        <w:tc>
          <w:tcPr>
            <w:tcW w:w="184" w:type="pct"/>
            <w:tcBorders>
              <w:top w:val="nil"/>
              <w:left w:val="nil"/>
              <w:bottom w:val="single" w:color="000000" w:sz="4" w:space="0"/>
              <w:right w:val="single" w:color="000000" w:sz="4" w:space="0"/>
            </w:tcBorders>
            <w:vAlign w:val="center"/>
          </w:tcPr>
          <w:p w14:paraId="4C3CE7FA">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10</w:t>
            </w:r>
          </w:p>
        </w:tc>
        <w:tc>
          <w:tcPr>
            <w:tcW w:w="159" w:type="pct"/>
            <w:tcBorders>
              <w:top w:val="nil"/>
              <w:left w:val="nil"/>
              <w:bottom w:val="single" w:color="000000" w:sz="4" w:space="0"/>
              <w:right w:val="single" w:color="000000" w:sz="4" w:space="0"/>
            </w:tcBorders>
            <w:vAlign w:val="center"/>
          </w:tcPr>
          <w:p w14:paraId="579C49BF">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　</w:t>
            </w:r>
          </w:p>
        </w:tc>
        <w:tc>
          <w:tcPr>
            <w:tcW w:w="909" w:type="pct"/>
            <w:tcBorders>
              <w:top w:val="nil"/>
              <w:left w:val="nil"/>
              <w:bottom w:val="single" w:color="000000" w:sz="4" w:space="0"/>
              <w:right w:val="single" w:color="000000" w:sz="4" w:space="0"/>
            </w:tcBorders>
            <w:vAlign w:val="center"/>
          </w:tcPr>
          <w:p w14:paraId="21C5FBC1">
            <w:pPr>
              <w:widowControl/>
              <w:jc w:val="center"/>
              <w:rPr>
                <w:rFonts w:hint="eastAsia" w:ascii="微软雅黑" w:hAnsi="微软雅黑" w:eastAsia="微软雅黑" w:cs="宋体"/>
                <w:b w:val="0"/>
                <w:bCs w:val="0"/>
                <w:i/>
                <w:iCs/>
                <w:color w:val="000000"/>
                <w:kern w:val="0"/>
                <w:sz w:val="16"/>
                <w:szCs w:val="16"/>
              </w:rPr>
            </w:pPr>
            <w:r>
              <w:rPr>
                <w:rFonts w:hint="eastAsia" w:ascii="微软雅黑" w:hAnsi="微软雅黑" w:eastAsia="微软雅黑" w:cs="宋体"/>
                <w:b w:val="0"/>
                <w:bCs w:val="0"/>
                <w:i/>
                <w:iCs/>
                <w:color w:val="000000"/>
                <w:kern w:val="0"/>
                <w:sz w:val="16"/>
                <w:szCs w:val="16"/>
              </w:rPr>
              <w:t>　</w:t>
            </w:r>
          </w:p>
        </w:tc>
      </w:tr>
      <w:tr w14:paraId="452D4DD1">
        <w:tblPrEx>
          <w:tblCellMar>
            <w:top w:w="0" w:type="dxa"/>
            <w:left w:w="108" w:type="dxa"/>
            <w:bottom w:w="0" w:type="dxa"/>
            <w:right w:w="108" w:type="dxa"/>
          </w:tblCellMar>
        </w:tblPrEx>
        <w:trPr>
          <w:trHeight w:val="287" w:hRule="atLeast"/>
        </w:trPr>
        <w:tc>
          <w:tcPr>
            <w:tcW w:w="3748" w:type="pct"/>
            <w:gridSpan w:val="8"/>
            <w:tcBorders>
              <w:top w:val="single" w:color="000000" w:sz="4" w:space="0"/>
              <w:left w:val="single" w:color="000000" w:sz="4" w:space="0"/>
              <w:bottom w:val="single" w:color="000000" w:sz="4" w:space="0"/>
              <w:right w:val="single" w:color="000000" w:sz="4" w:space="0"/>
            </w:tcBorders>
            <w:vAlign w:val="center"/>
          </w:tcPr>
          <w:p w14:paraId="1F2C5406">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合计</w:t>
            </w:r>
          </w:p>
        </w:tc>
        <w:tc>
          <w:tcPr>
            <w:tcW w:w="184" w:type="pct"/>
            <w:tcBorders>
              <w:top w:val="nil"/>
              <w:left w:val="nil"/>
              <w:bottom w:val="single" w:color="000000" w:sz="4" w:space="0"/>
              <w:right w:val="single" w:color="000000" w:sz="4" w:space="0"/>
            </w:tcBorders>
            <w:vAlign w:val="center"/>
          </w:tcPr>
          <w:p w14:paraId="02A02C0C">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100</w:t>
            </w:r>
          </w:p>
        </w:tc>
        <w:tc>
          <w:tcPr>
            <w:tcW w:w="159" w:type="pct"/>
            <w:tcBorders>
              <w:top w:val="nil"/>
              <w:left w:val="nil"/>
              <w:bottom w:val="single" w:color="000000" w:sz="4" w:space="0"/>
              <w:right w:val="single" w:color="000000" w:sz="4" w:space="0"/>
            </w:tcBorders>
            <w:vAlign w:val="center"/>
          </w:tcPr>
          <w:p w14:paraId="55C66EDF">
            <w:pPr>
              <w:widowControl/>
              <w:jc w:val="left"/>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　</w:t>
            </w:r>
          </w:p>
        </w:tc>
        <w:tc>
          <w:tcPr>
            <w:tcW w:w="909" w:type="pct"/>
            <w:tcBorders>
              <w:top w:val="nil"/>
              <w:left w:val="nil"/>
              <w:bottom w:val="single" w:color="000000" w:sz="4" w:space="0"/>
              <w:right w:val="single" w:color="000000" w:sz="4" w:space="0"/>
            </w:tcBorders>
            <w:vAlign w:val="center"/>
          </w:tcPr>
          <w:p w14:paraId="389848CA">
            <w:pPr>
              <w:widowControl/>
              <w:jc w:val="left"/>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　</w:t>
            </w:r>
          </w:p>
        </w:tc>
      </w:tr>
      <w:tr w14:paraId="11EAB9A3">
        <w:tblPrEx>
          <w:tblCellMar>
            <w:top w:w="0" w:type="dxa"/>
            <w:left w:w="108" w:type="dxa"/>
            <w:bottom w:w="0" w:type="dxa"/>
            <w:right w:w="108" w:type="dxa"/>
          </w:tblCellMar>
        </w:tblPrEx>
        <w:trPr>
          <w:trHeight w:val="604" w:hRule="atLeast"/>
        </w:trPr>
        <w:tc>
          <w:tcPr>
            <w:tcW w:w="242" w:type="pct"/>
            <w:tcBorders>
              <w:top w:val="nil"/>
              <w:left w:val="single" w:color="000000" w:sz="4" w:space="0"/>
              <w:bottom w:val="single" w:color="000000" w:sz="4" w:space="0"/>
              <w:right w:val="single" w:color="000000" w:sz="4" w:space="0"/>
            </w:tcBorders>
            <w:vAlign w:val="center"/>
          </w:tcPr>
          <w:p w14:paraId="760F1BFF">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评价结论</w:t>
            </w:r>
          </w:p>
        </w:tc>
        <w:tc>
          <w:tcPr>
            <w:tcW w:w="4758" w:type="pct"/>
            <w:gridSpan w:val="10"/>
            <w:tcBorders>
              <w:top w:val="single" w:color="000000" w:sz="4" w:space="0"/>
              <w:left w:val="nil"/>
              <w:bottom w:val="single" w:color="000000" w:sz="4" w:space="0"/>
              <w:right w:val="single" w:color="000000" w:sz="4" w:space="0"/>
            </w:tcBorders>
            <w:vAlign w:val="center"/>
          </w:tcPr>
          <w:p w14:paraId="3CB1F402">
            <w:pPr>
              <w:widowControl/>
              <w:jc w:val="left"/>
              <w:rPr>
                <w:rFonts w:hint="eastAsia" w:ascii="微软雅黑" w:hAnsi="微软雅黑" w:eastAsia="微软雅黑" w:cs="宋体"/>
                <w:b w:val="0"/>
                <w:bCs w:val="0"/>
                <w:i/>
                <w:iCs/>
                <w:color w:val="000000"/>
                <w:kern w:val="0"/>
                <w:sz w:val="16"/>
                <w:szCs w:val="16"/>
              </w:rPr>
            </w:pPr>
            <w:r>
              <w:rPr>
                <w:rFonts w:hint="eastAsia" w:ascii="微软雅黑" w:hAnsi="微软雅黑" w:eastAsia="微软雅黑" w:cs="宋体"/>
                <w:b w:val="0"/>
                <w:bCs w:val="0"/>
                <w:i/>
                <w:iCs/>
                <w:color w:val="000000"/>
                <w:kern w:val="0"/>
                <w:sz w:val="16"/>
                <w:szCs w:val="16"/>
              </w:rPr>
              <w:t>结合自评情况，说明项目自评总分，说明项目实施取得的成效或成果。（200字以内）</w:t>
            </w:r>
          </w:p>
        </w:tc>
      </w:tr>
      <w:tr w14:paraId="7628AAAE">
        <w:tblPrEx>
          <w:tblCellMar>
            <w:top w:w="0" w:type="dxa"/>
            <w:left w:w="108" w:type="dxa"/>
            <w:bottom w:w="0" w:type="dxa"/>
            <w:right w:w="108" w:type="dxa"/>
          </w:tblCellMar>
        </w:tblPrEx>
        <w:trPr>
          <w:trHeight w:val="572" w:hRule="atLeast"/>
        </w:trPr>
        <w:tc>
          <w:tcPr>
            <w:tcW w:w="242" w:type="pct"/>
            <w:tcBorders>
              <w:top w:val="nil"/>
              <w:left w:val="single" w:color="000000" w:sz="4" w:space="0"/>
              <w:bottom w:val="single" w:color="000000" w:sz="4" w:space="0"/>
              <w:right w:val="single" w:color="000000" w:sz="4" w:space="0"/>
            </w:tcBorders>
            <w:vAlign w:val="center"/>
          </w:tcPr>
          <w:p w14:paraId="74E04B93">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存在问题</w:t>
            </w:r>
          </w:p>
        </w:tc>
        <w:tc>
          <w:tcPr>
            <w:tcW w:w="4758" w:type="pct"/>
            <w:gridSpan w:val="10"/>
            <w:tcBorders>
              <w:top w:val="single" w:color="000000" w:sz="4" w:space="0"/>
              <w:left w:val="nil"/>
              <w:bottom w:val="single" w:color="000000" w:sz="4" w:space="0"/>
              <w:right w:val="single" w:color="000000" w:sz="4" w:space="0"/>
            </w:tcBorders>
            <w:vAlign w:val="center"/>
          </w:tcPr>
          <w:p w14:paraId="5BC02A6E">
            <w:pPr>
              <w:widowControl/>
              <w:jc w:val="left"/>
              <w:rPr>
                <w:rFonts w:hint="eastAsia" w:ascii="微软雅黑" w:hAnsi="微软雅黑" w:eastAsia="微软雅黑" w:cs="宋体"/>
                <w:b w:val="0"/>
                <w:bCs w:val="0"/>
                <w:i/>
                <w:iCs/>
                <w:color w:val="000000"/>
                <w:kern w:val="0"/>
                <w:sz w:val="16"/>
                <w:szCs w:val="16"/>
              </w:rPr>
            </w:pPr>
            <w:r>
              <w:rPr>
                <w:rFonts w:hint="eastAsia" w:ascii="微软雅黑" w:hAnsi="微软雅黑" w:eastAsia="微软雅黑" w:cs="宋体"/>
                <w:b w:val="0"/>
                <w:bCs w:val="0"/>
                <w:i/>
                <w:iCs/>
                <w:color w:val="000000"/>
                <w:kern w:val="0"/>
                <w:sz w:val="16"/>
                <w:szCs w:val="16"/>
              </w:rPr>
              <w:t>结合自评情况，分析存在的问题及原因。（200字以内）</w:t>
            </w:r>
          </w:p>
        </w:tc>
      </w:tr>
      <w:tr w14:paraId="54AC0D71">
        <w:tblPrEx>
          <w:tblCellMar>
            <w:top w:w="0" w:type="dxa"/>
            <w:left w:w="108" w:type="dxa"/>
            <w:bottom w:w="0" w:type="dxa"/>
            <w:right w:w="108" w:type="dxa"/>
          </w:tblCellMar>
        </w:tblPrEx>
        <w:trPr>
          <w:trHeight w:val="634" w:hRule="atLeast"/>
        </w:trPr>
        <w:tc>
          <w:tcPr>
            <w:tcW w:w="242" w:type="pct"/>
            <w:tcBorders>
              <w:top w:val="nil"/>
              <w:left w:val="single" w:color="000000" w:sz="4" w:space="0"/>
              <w:bottom w:val="single" w:color="000000" w:sz="4" w:space="0"/>
              <w:right w:val="single" w:color="000000" w:sz="4" w:space="0"/>
            </w:tcBorders>
            <w:vAlign w:val="center"/>
          </w:tcPr>
          <w:p w14:paraId="1128C48F">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改进措施</w:t>
            </w:r>
          </w:p>
        </w:tc>
        <w:tc>
          <w:tcPr>
            <w:tcW w:w="4758" w:type="pct"/>
            <w:gridSpan w:val="10"/>
            <w:tcBorders>
              <w:top w:val="single" w:color="000000" w:sz="4" w:space="0"/>
              <w:left w:val="nil"/>
              <w:bottom w:val="single" w:color="000000" w:sz="4" w:space="0"/>
              <w:right w:val="single" w:color="000000" w:sz="4" w:space="0"/>
            </w:tcBorders>
            <w:vAlign w:val="center"/>
          </w:tcPr>
          <w:p w14:paraId="6409526D">
            <w:pPr>
              <w:widowControl/>
              <w:jc w:val="left"/>
              <w:rPr>
                <w:rFonts w:hint="eastAsia" w:ascii="微软雅黑" w:hAnsi="微软雅黑" w:eastAsia="微软雅黑" w:cs="宋体"/>
                <w:b w:val="0"/>
                <w:bCs w:val="0"/>
                <w:i/>
                <w:iCs/>
                <w:color w:val="000000"/>
                <w:kern w:val="0"/>
                <w:sz w:val="16"/>
                <w:szCs w:val="16"/>
              </w:rPr>
            </w:pPr>
            <w:r>
              <w:rPr>
                <w:rFonts w:hint="eastAsia" w:ascii="微软雅黑" w:hAnsi="微软雅黑" w:eastAsia="微软雅黑" w:cs="宋体"/>
                <w:b w:val="0"/>
                <w:bCs w:val="0"/>
                <w:i/>
                <w:iCs/>
                <w:color w:val="000000"/>
                <w:kern w:val="0"/>
                <w:sz w:val="16"/>
                <w:szCs w:val="16"/>
              </w:rPr>
              <w:t>针对项目自评中发现的问题，提出下一步改进完善的意见及有关政策性建议。（200字以内）</w:t>
            </w:r>
          </w:p>
        </w:tc>
      </w:tr>
      <w:tr w14:paraId="205040EE">
        <w:tblPrEx>
          <w:tblCellMar>
            <w:top w:w="0" w:type="dxa"/>
            <w:left w:w="108" w:type="dxa"/>
            <w:bottom w:w="0" w:type="dxa"/>
            <w:right w:w="108" w:type="dxa"/>
          </w:tblCellMar>
        </w:tblPrEx>
        <w:trPr>
          <w:trHeight w:val="287" w:hRule="atLeast"/>
        </w:trPr>
        <w:tc>
          <w:tcPr>
            <w:tcW w:w="2582" w:type="pct"/>
            <w:gridSpan w:val="5"/>
            <w:tcBorders>
              <w:top w:val="single" w:color="000000" w:sz="4" w:space="0"/>
              <w:left w:val="single" w:color="000000" w:sz="4" w:space="0"/>
              <w:bottom w:val="single" w:color="000000" w:sz="4" w:space="0"/>
              <w:right w:val="single" w:color="000000" w:sz="4" w:space="0"/>
            </w:tcBorders>
            <w:vAlign w:val="center"/>
          </w:tcPr>
          <w:p w14:paraId="678C8CD4">
            <w:pPr>
              <w:widowControl/>
              <w:jc w:val="left"/>
              <w:rPr>
                <w:rFonts w:hint="eastAsia" w:ascii="黑体" w:hAnsi="黑体" w:eastAsia="黑体" w:cs="宋体"/>
                <w:b w:val="0"/>
                <w:bCs w:val="0"/>
                <w:color w:val="000000"/>
                <w:kern w:val="0"/>
                <w:sz w:val="18"/>
                <w:szCs w:val="18"/>
              </w:rPr>
            </w:pPr>
            <w:r>
              <w:rPr>
                <w:rFonts w:hint="eastAsia" w:ascii="黑体" w:hAnsi="黑体" w:eastAsia="黑体" w:cs="宋体"/>
                <w:b w:val="0"/>
                <w:bCs w:val="0"/>
                <w:color w:val="000000"/>
                <w:kern w:val="0"/>
                <w:sz w:val="18"/>
                <w:szCs w:val="18"/>
              </w:rPr>
              <w:t>项目负责人：</w:t>
            </w:r>
          </w:p>
        </w:tc>
        <w:tc>
          <w:tcPr>
            <w:tcW w:w="2418" w:type="pct"/>
            <w:gridSpan w:val="6"/>
            <w:tcBorders>
              <w:top w:val="single" w:color="000000" w:sz="4" w:space="0"/>
              <w:left w:val="nil"/>
              <w:bottom w:val="single" w:color="000000" w:sz="4" w:space="0"/>
              <w:right w:val="single" w:color="000000" w:sz="4" w:space="0"/>
            </w:tcBorders>
            <w:vAlign w:val="center"/>
          </w:tcPr>
          <w:p w14:paraId="1603869F">
            <w:pPr>
              <w:widowControl/>
              <w:jc w:val="left"/>
              <w:rPr>
                <w:rFonts w:hint="eastAsia" w:ascii="黑体" w:hAnsi="黑体" w:eastAsia="黑体" w:cs="宋体"/>
                <w:b w:val="0"/>
                <w:bCs w:val="0"/>
                <w:color w:val="000000"/>
                <w:kern w:val="0"/>
                <w:sz w:val="18"/>
                <w:szCs w:val="18"/>
              </w:rPr>
            </w:pPr>
            <w:r>
              <w:rPr>
                <w:rFonts w:hint="eastAsia" w:ascii="黑体" w:hAnsi="黑体" w:eastAsia="黑体" w:cs="宋体"/>
                <w:b w:val="0"/>
                <w:bCs w:val="0"/>
                <w:color w:val="000000"/>
                <w:kern w:val="0"/>
                <w:sz w:val="18"/>
                <w:szCs w:val="18"/>
              </w:rPr>
              <w:t>财务负责人：</w:t>
            </w:r>
          </w:p>
        </w:tc>
      </w:tr>
      <w:tr w14:paraId="1E4B7CEF">
        <w:tblPrEx>
          <w:tblCellMar>
            <w:top w:w="0" w:type="dxa"/>
            <w:left w:w="108" w:type="dxa"/>
            <w:bottom w:w="0" w:type="dxa"/>
            <w:right w:w="108" w:type="dxa"/>
          </w:tblCellMar>
        </w:tblPrEx>
        <w:trPr>
          <w:trHeight w:val="287" w:hRule="atLeast"/>
        </w:trPr>
        <w:tc>
          <w:tcPr>
            <w:tcW w:w="242" w:type="pct"/>
            <w:tcBorders>
              <w:top w:val="nil"/>
              <w:left w:val="nil"/>
              <w:bottom w:val="nil"/>
              <w:right w:val="nil"/>
            </w:tcBorders>
            <w:vAlign w:val="center"/>
          </w:tcPr>
          <w:p w14:paraId="41D7A2A8">
            <w:pPr>
              <w:widowControl/>
              <w:jc w:val="left"/>
              <w:rPr>
                <w:rFonts w:hint="eastAsia" w:ascii="宋体" w:hAnsi="宋体" w:cs="宋体"/>
                <w:b w:val="0"/>
                <w:bCs w:val="0"/>
                <w:kern w:val="0"/>
                <w:sz w:val="18"/>
                <w:szCs w:val="18"/>
              </w:rPr>
            </w:pPr>
            <w:r>
              <w:rPr>
                <w:rFonts w:hint="eastAsia" w:ascii="宋体" w:hAnsi="宋体" w:cs="宋体"/>
                <w:b w:val="0"/>
                <w:bCs w:val="0"/>
                <w:kern w:val="0"/>
                <w:sz w:val="18"/>
                <w:szCs w:val="18"/>
              </w:rPr>
              <w:t>　</w:t>
            </w:r>
          </w:p>
        </w:tc>
        <w:tc>
          <w:tcPr>
            <w:tcW w:w="727" w:type="pct"/>
            <w:tcBorders>
              <w:top w:val="nil"/>
              <w:left w:val="nil"/>
              <w:bottom w:val="nil"/>
              <w:right w:val="nil"/>
            </w:tcBorders>
            <w:vAlign w:val="center"/>
          </w:tcPr>
          <w:p w14:paraId="0887E9B7">
            <w:pPr>
              <w:widowControl/>
              <w:jc w:val="left"/>
              <w:rPr>
                <w:rFonts w:hint="eastAsia" w:ascii="宋体" w:hAnsi="宋体" w:cs="宋体"/>
                <w:b w:val="0"/>
                <w:bCs w:val="0"/>
                <w:kern w:val="0"/>
                <w:sz w:val="18"/>
                <w:szCs w:val="18"/>
              </w:rPr>
            </w:pPr>
            <w:r>
              <w:rPr>
                <w:rFonts w:hint="eastAsia" w:ascii="宋体" w:hAnsi="宋体" w:cs="宋体"/>
                <w:b w:val="0"/>
                <w:bCs w:val="0"/>
                <w:kern w:val="0"/>
                <w:sz w:val="18"/>
                <w:szCs w:val="18"/>
              </w:rPr>
              <w:t>　</w:t>
            </w:r>
          </w:p>
        </w:tc>
        <w:tc>
          <w:tcPr>
            <w:tcW w:w="628" w:type="pct"/>
            <w:tcBorders>
              <w:top w:val="nil"/>
              <w:left w:val="nil"/>
              <w:bottom w:val="nil"/>
              <w:right w:val="nil"/>
            </w:tcBorders>
            <w:vAlign w:val="center"/>
          </w:tcPr>
          <w:p w14:paraId="611DCD6C">
            <w:pPr>
              <w:widowControl/>
              <w:jc w:val="left"/>
              <w:rPr>
                <w:rFonts w:hint="eastAsia" w:ascii="宋体" w:hAnsi="宋体" w:cs="宋体"/>
                <w:b w:val="0"/>
                <w:bCs w:val="0"/>
                <w:kern w:val="0"/>
                <w:sz w:val="18"/>
                <w:szCs w:val="18"/>
              </w:rPr>
            </w:pPr>
            <w:r>
              <w:rPr>
                <w:rFonts w:hint="eastAsia" w:ascii="宋体" w:hAnsi="宋体" w:cs="宋体"/>
                <w:b w:val="0"/>
                <w:bCs w:val="0"/>
                <w:kern w:val="0"/>
                <w:sz w:val="18"/>
                <w:szCs w:val="18"/>
              </w:rPr>
              <w:t>　</w:t>
            </w:r>
          </w:p>
        </w:tc>
        <w:tc>
          <w:tcPr>
            <w:tcW w:w="803" w:type="pct"/>
            <w:tcBorders>
              <w:top w:val="nil"/>
              <w:left w:val="nil"/>
              <w:bottom w:val="nil"/>
              <w:right w:val="nil"/>
            </w:tcBorders>
            <w:vAlign w:val="center"/>
          </w:tcPr>
          <w:p w14:paraId="4F5E8E10">
            <w:pPr>
              <w:widowControl/>
              <w:jc w:val="left"/>
              <w:rPr>
                <w:rFonts w:hint="eastAsia" w:ascii="宋体" w:hAnsi="宋体" w:cs="宋体"/>
                <w:b w:val="0"/>
                <w:bCs w:val="0"/>
                <w:kern w:val="0"/>
                <w:sz w:val="18"/>
                <w:szCs w:val="18"/>
              </w:rPr>
            </w:pPr>
            <w:r>
              <w:rPr>
                <w:rFonts w:hint="eastAsia" w:ascii="宋体" w:hAnsi="宋体" w:cs="宋体"/>
                <w:b w:val="0"/>
                <w:bCs w:val="0"/>
                <w:kern w:val="0"/>
                <w:sz w:val="18"/>
                <w:szCs w:val="18"/>
              </w:rPr>
              <w:t>　</w:t>
            </w:r>
          </w:p>
        </w:tc>
        <w:tc>
          <w:tcPr>
            <w:tcW w:w="182" w:type="pct"/>
            <w:tcBorders>
              <w:top w:val="nil"/>
              <w:left w:val="nil"/>
              <w:bottom w:val="nil"/>
              <w:right w:val="nil"/>
            </w:tcBorders>
            <w:vAlign w:val="center"/>
          </w:tcPr>
          <w:p w14:paraId="797CCFE1">
            <w:pPr>
              <w:widowControl/>
              <w:jc w:val="left"/>
              <w:rPr>
                <w:rFonts w:hint="eastAsia" w:ascii="宋体" w:hAnsi="宋体" w:cs="宋体"/>
                <w:b w:val="0"/>
                <w:bCs w:val="0"/>
                <w:kern w:val="0"/>
                <w:sz w:val="18"/>
                <w:szCs w:val="18"/>
              </w:rPr>
            </w:pPr>
            <w:r>
              <w:rPr>
                <w:rFonts w:hint="eastAsia" w:ascii="宋体" w:hAnsi="宋体" w:cs="宋体"/>
                <w:b w:val="0"/>
                <w:bCs w:val="0"/>
                <w:kern w:val="0"/>
                <w:sz w:val="18"/>
                <w:szCs w:val="18"/>
              </w:rPr>
              <w:t>　</w:t>
            </w:r>
          </w:p>
        </w:tc>
        <w:tc>
          <w:tcPr>
            <w:tcW w:w="598" w:type="pct"/>
            <w:tcBorders>
              <w:top w:val="nil"/>
              <w:left w:val="nil"/>
              <w:bottom w:val="nil"/>
              <w:right w:val="nil"/>
            </w:tcBorders>
            <w:vAlign w:val="center"/>
          </w:tcPr>
          <w:p w14:paraId="443FE34C">
            <w:pPr>
              <w:widowControl/>
              <w:jc w:val="left"/>
              <w:rPr>
                <w:rFonts w:hint="eastAsia" w:ascii="宋体" w:hAnsi="宋体" w:cs="宋体"/>
                <w:b w:val="0"/>
                <w:bCs w:val="0"/>
                <w:kern w:val="0"/>
                <w:sz w:val="18"/>
                <w:szCs w:val="18"/>
              </w:rPr>
            </w:pPr>
            <w:r>
              <w:rPr>
                <w:rFonts w:hint="eastAsia" w:ascii="宋体" w:hAnsi="宋体" w:cs="宋体"/>
                <w:b w:val="0"/>
                <w:bCs w:val="0"/>
                <w:kern w:val="0"/>
                <w:sz w:val="18"/>
                <w:szCs w:val="18"/>
              </w:rPr>
              <w:t>　</w:t>
            </w:r>
          </w:p>
        </w:tc>
        <w:tc>
          <w:tcPr>
            <w:tcW w:w="182" w:type="pct"/>
            <w:tcBorders>
              <w:top w:val="nil"/>
              <w:left w:val="nil"/>
              <w:bottom w:val="nil"/>
              <w:right w:val="nil"/>
            </w:tcBorders>
            <w:vAlign w:val="center"/>
          </w:tcPr>
          <w:p w14:paraId="61FFBE7D">
            <w:pPr>
              <w:widowControl/>
              <w:jc w:val="left"/>
              <w:rPr>
                <w:rFonts w:hint="eastAsia" w:ascii="宋体" w:hAnsi="宋体" w:cs="宋体"/>
                <w:b w:val="0"/>
                <w:bCs w:val="0"/>
                <w:kern w:val="0"/>
                <w:sz w:val="18"/>
                <w:szCs w:val="18"/>
              </w:rPr>
            </w:pPr>
            <w:r>
              <w:rPr>
                <w:rFonts w:hint="eastAsia" w:ascii="宋体" w:hAnsi="宋体" w:cs="宋体"/>
                <w:b w:val="0"/>
                <w:bCs w:val="0"/>
                <w:kern w:val="0"/>
                <w:sz w:val="18"/>
                <w:szCs w:val="18"/>
              </w:rPr>
              <w:t>　</w:t>
            </w:r>
          </w:p>
        </w:tc>
        <w:tc>
          <w:tcPr>
            <w:tcW w:w="386" w:type="pct"/>
            <w:tcBorders>
              <w:top w:val="nil"/>
              <w:left w:val="nil"/>
              <w:bottom w:val="nil"/>
              <w:right w:val="nil"/>
            </w:tcBorders>
            <w:vAlign w:val="center"/>
          </w:tcPr>
          <w:p w14:paraId="2B3BA01F">
            <w:pPr>
              <w:widowControl/>
              <w:jc w:val="left"/>
              <w:rPr>
                <w:rFonts w:hint="eastAsia" w:ascii="宋体" w:hAnsi="宋体" w:cs="宋体"/>
                <w:b w:val="0"/>
                <w:bCs w:val="0"/>
                <w:kern w:val="0"/>
                <w:sz w:val="18"/>
                <w:szCs w:val="18"/>
              </w:rPr>
            </w:pPr>
            <w:r>
              <w:rPr>
                <w:rFonts w:hint="eastAsia" w:ascii="宋体" w:hAnsi="宋体" w:cs="宋体"/>
                <w:b w:val="0"/>
                <w:bCs w:val="0"/>
                <w:kern w:val="0"/>
                <w:sz w:val="18"/>
                <w:szCs w:val="18"/>
              </w:rPr>
              <w:t>　</w:t>
            </w:r>
          </w:p>
        </w:tc>
        <w:tc>
          <w:tcPr>
            <w:tcW w:w="184" w:type="pct"/>
            <w:tcBorders>
              <w:top w:val="nil"/>
              <w:left w:val="nil"/>
              <w:bottom w:val="nil"/>
              <w:right w:val="nil"/>
            </w:tcBorders>
            <w:vAlign w:val="center"/>
          </w:tcPr>
          <w:p w14:paraId="297A8F84">
            <w:pPr>
              <w:widowControl/>
              <w:jc w:val="left"/>
              <w:rPr>
                <w:rFonts w:hint="eastAsia" w:ascii="宋体" w:hAnsi="宋体" w:cs="宋体"/>
                <w:b w:val="0"/>
                <w:bCs w:val="0"/>
                <w:kern w:val="0"/>
                <w:sz w:val="18"/>
                <w:szCs w:val="18"/>
              </w:rPr>
            </w:pPr>
            <w:r>
              <w:rPr>
                <w:rFonts w:hint="eastAsia" w:ascii="宋体" w:hAnsi="宋体" w:cs="宋体"/>
                <w:b w:val="0"/>
                <w:bCs w:val="0"/>
                <w:kern w:val="0"/>
                <w:sz w:val="18"/>
                <w:szCs w:val="18"/>
              </w:rPr>
              <w:t>　</w:t>
            </w:r>
          </w:p>
        </w:tc>
        <w:tc>
          <w:tcPr>
            <w:tcW w:w="159" w:type="pct"/>
            <w:tcBorders>
              <w:top w:val="nil"/>
              <w:left w:val="nil"/>
              <w:bottom w:val="nil"/>
              <w:right w:val="nil"/>
            </w:tcBorders>
            <w:vAlign w:val="center"/>
          </w:tcPr>
          <w:p w14:paraId="5DE09504">
            <w:pPr>
              <w:widowControl/>
              <w:jc w:val="left"/>
              <w:rPr>
                <w:rFonts w:hint="eastAsia" w:ascii="宋体" w:hAnsi="宋体" w:cs="宋体"/>
                <w:b w:val="0"/>
                <w:bCs w:val="0"/>
                <w:kern w:val="0"/>
                <w:sz w:val="18"/>
                <w:szCs w:val="18"/>
              </w:rPr>
            </w:pPr>
            <w:r>
              <w:rPr>
                <w:rFonts w:hint="eastAsia" w:ascii="宋体" w:hAnsi="宋体" w:cs="宋体"/>
                <w:b w:val="0"/>
                <w:bCs w:val="0"/>
                <w:kern w:val="0"/>
                <w:sz w:val="18"/>
                <w:szCs w:val="18"/>
              </w:rPr>
              <w:t>　</w:t>
            </w:r>
          </w:p>
        </w:tc>
        <w:tc>
          <w:tcPr>
            <w:tcW w:w="909" w:type="pct"/>
            <w:tcBorders>
              <w:top w:val="nil"/>
              <w:left w:val="nil"/>
              <w:bottom w:val="nil"/>
              <w:right w:val="nil"/>
            </w:tcBorders>
            <w:vAlign w:val="center"/>
          </w:tcPr>
          <w:p w14:paraId="0BC1A109">
            <w:pPr>
              <w:widowControl/>
              <w:jc w:val="left"/>
              <w:rPr>
                <w:rFonts w:hint="eastAsia" w:ascii="宋体" w:hAnsi="宋体" w:cs="宋体"/>
                <w:b w:val="0"/>
                <w:bCs w:val="0"/>
                <w:kern w:val="0"/>
                <w:sz w:val="18"/>
                <w:szCs w:val="18"/>
              </w:rPr>
            </w:pPr>
            <w:r>
              <w:rPr>
                <w:rFonts w:hint="eastAsia" w:ascii="宋体" w:hAnsi="宋体" w:cs="宋体"/>
                <w:b w:val="0"/>
                <w:bCs w:val="0"/>
                <w:kern w:val="0"/>
                <w:sz w:val="18"/>
                <w:szCs w:val="18"/>
              </w:rPr>
              <w:t>　</w:t>
            </w:r>
          </w:p>
        </w:tc>
      </w:tr>
      <w:tr w14:paraId="3B4DFB89">
        <w:tblPrEx>
          <w:tblCellMar>
            <w:top w:w="0" w:type="dxa"/>
            <w:left w:w="108" w:type="dxa"/>
            <w:bottom w:w="0" w:type="dxa"/>
            <w:right w:w="108" w:type="dxa"/>
          </w:tblCellMar>
        </w:tblPrEx>
        <w:trPr>
          <w:trHeight w:val="904" w:hRule="atLeast"/>
        </w:trPr>
        <w:tc>
          <w:tcPr>
            <w:tcW w:w="5000" w:type="pct"/>
            <w:gridSpan w:val="11"/>
            <w:tcBorders>
              <w:top w:val="single" w:color="000000" w:sz="4" w:space="0"/>
              <w:left w:val="single" w:color="000000" w:sz="4" w:space="0"/>
              <w:bottom w:val="single" w:color="000000" w:sz="4" w:space="0"/>
              <w:right w:val="single" w:color="000000" w:sz="4" w:space="0"/>
            </w:tcBorders>
            <w:vAlign w:val="center"/>
          </w:tcPr>
          <w:p w14:paraId="5104AC2C">
            <w:pPr>
              <w:widowControl/>
              <w:jc w:val="center"/>
              <w:rPr>
                <w:rFonts w:hint="eastAsia" w:ascii="黑体" w:hAnsi="黑体" w:eastAsia="黑体" w:cs="宋体"/>
                <w:b w:val="0"/>
                <w:bCs w:val="0"/>
                <w:color w:val="000000"/>
                <w:kern w:val="0"/>
                <w:sz w:val="30"/>
                <w:szCs w:val="30"/>
              </w:rPr>
            </w:pPr>
            <w:r>
              <w:rPr>
                <w:rFonts w:hint="eastAsia" w:ascii="黑体" w:hAnsi="黑体" w:eastAsia="黑体" w:cs="宋体"/>
                <w:b w:val="0"/>
                <w:bCs w:val="0"/>
                <w:color w:val="000000"/>
                <w:kern w:val="0"/>
                <w:sz w:val="30"/>
                <w:szCs w:val="30"/>
              </w:rPr>
              <w:t>部门预算项目支出绩效自评表（2024年度）</w:t>
            </w:r>
          </w:p>
        </w:tc>
      </w:tr>
      <w:tr w14:paraId="24F60DD4">
        <w:tblPrEx>
          <w:tblCellMar>
            <w:top w:w="0" w:type="dxa"/>
            <w:left w:w="108" w:type="dxa"/>
            <w:bottom w:w="0" w:type="dxa"/>
            <w:right w:w="108" w:type="dxa"/>
          </w:tblCellMar>
        </w:tblPrEx>
        <w:trPr>
          <w:trHeight w:val="287" w:hRule="atLeast"/>
        </w:trPr>
        <w:tc>
          <w:tcPr>
            <w:tcW w:w="969" w:type="pct"/>
            <w:gridSpan w:val="2"/>
            <w:tcBorders>
              <w:top w:val="single" w:color="000000" w:sz="4" w:space="0"/>
              <w:left w:val="single" w:color="000000" w:sz="4" w:space="0"/>
              <w:bottom w:val="single" w:color="000000" w:sz="4" w:space="0"/>
              <w:right w:val="single" w:color="000000" w:sz="4" w:space="0"/>
            </w:tcBorders>
            <w:vAlign w:val="center"/>
          </w:tcPr>
          <w:p w14:paraId="39B791A9">
            <w:pPr>
              <w:widowControl/>
              <w:jc w:val="left"/>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项目名称</w:t>
            </w:r>
          </w:p>
        </w:tc>
        <w:tc>
          <w:tcPr>
            <w:tcW w:w="4031" w:type="pct"/>
            <w:gridSpan w:val="9"/>
            <w:tcBorders>
              <w:top w:val="single" w:color="000000" w:sz="4" w:space="0"/>
              <w:left w:val="nil"/>
              <w:bottom w:val="single" w:color="000000" w:sz="4" w:space="0"/>
              <w:right w:val="single" w:color="000000" w:sz="4" w:space="0"/>
            </w:tcBorders>
            <w:vAlign w:val="center"/>
          </w:tcPr>
          <w:p w14:paraId="525BC088">
            <w:pPr>
              <w:widowControl/>
              <w:jc w:val="left"/>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51110024T000011934755-2024年市场监管专项资金</w:t>
            </w:r>
          </w:p>
        </w:tc>
      </w:tr>
      <w:tr w14:paraId="207AA334">
        <w:tblPrEx>
          <w:tblCellMar>
            <w:top w:w="0" w:type="dxa"/>
            <w:left w:w="108" w:type="dxa"/>
            <w:bottom w:w="0" w:type="dxa"/>
            <w:right w:w="108" w:type="dxa"/>
          </w:tblCellMar>
        </w:tblPrEx>
        <w:trPr>
          <w:trHeight w:val="512" w:hRule="atLeast"/>
        </w:trPr>
        <w:tc>
          <w:tcPr>
            <w:tcW w:w="969" w:type="pct"/>
            <w:gridSpan w:val="2"/>
            <w:tcBorders>
              <w:top w:val="single" w:color="000000" w:sz="4" w:space="0"/>
              <w:left w:val="single" w:color="000000" w:sz="4" w:space="0"/>
              <w:bottom w:val="single" w:color="000000" w:sz="4" w:space="0"/>
              <w:right w:val="single" w:color="000000" w:sz="4" w:space="0"/>
            </w:tcBorders>
            <w:vAlign w:val="center"/>
          </w:tcPr>
          <w:p w14:paraId="0E7D517D">
            <w:pPr>
              <w:widowControl/>
              <w:jc w:val="left"/>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主管部门</w:t>
            </w:r>
          </w:p>
        </w:tc>
        <w:tc>
          <w:tcPr>
            <w:tcW w:w="2393" w:type="pct"/>
            <w:gridSpan w:val="5"/>
            <w:tcBorders>
              <w:top w:val="single" w:color="000000" w:sz="4" w:space="0"/>
              <w:left w:val="nil"/>
              <w:bottom w:val="single" w:color="000000" w:sz="4" w:space="0"/>
              <w:right w:val="single" w:color="000000" w:sz="4" w:space="0"/>
            </w:tcBorders>
            <w:vAlign w:val="center"/>
          </w:tcPr>
          <w:p w14:paraId="78ABE938">
            <w:pPr>
              <w:widowControl/>
              <w:jc w:val="left"/>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乐山市市场监督管理局</w:t>
            </w:r>
          </w:p>
        </w:tc>
        <w:tc>
          <w:tcPr>
            <w:tcW w:w="386" w:type="pct"/>
            <w:tcBorders>
              <w:top w:val="nil"/>
              <w:left w:val="nil"/>
              <w:bottom w:val="nil"/>
              <w:right w:val="nil"/>
            </w:tcBorders>
            <w:vAlign w:val="center"/>
          </w:tcPr>
          <w:p w14:paraId="761F0E1D">
            <w:pPr>
              <w:widowControl/>
              <w:jc w:val="left"/>
              <w:rPr>
                <w:rFonts w:hint="eastAsia" w:ascii="黑体" w:hAnsi="黑体" w:eastAsia="黑体" w:cs="宋体"/>
                <w:b w:val="0"/>
                <w:bCs w:val="0"/>
                <w:color w:val="000000"/>
                <w:kern w:val="0"/>
                <w:sz w:val="18"/>
                <w:szCs w:val="18"/>
              </w:rPr>
            </w:pPr>
            <w:r>
              <w:rPr>
                <w:rFonts w:hint="eastAsia" w:ascii="黑体" w:hAnsi="黑体" w:eastAsia="黑体" w:cs="宋体"/>
                <w:b w:val="0"/>
                <w:bCs w:val="0"/>
                <w:color w:val="000000"/>
                <w:kern w:val="0"/>
                <w:sz w:val="18"/>
                <w:szCs w:val="18"/>
              </w:rPr>
              <w:t>实施单位 （盖章）</w:t>
            </w:r>
          </w:p>
        </w:tc>
        <w:tc>
          <w:tcPr>
            <w:tcW w:w="1252" w:type="pct"/>
            <w:gridSpan w:val="3"/>
            <w:tcBorders>
              <w:top w:val="single" w:color="000000" w:sz="4" w:space="0"/>
              <w:left w:val="single" w:color="000000" w:sz="4" w:space="0"/>
              <w:bottom w:val="single" w:color="000000" w:sz="4" w:space="0"/>
              <w:right w:val="single" w:color="000000" w:sz="4" w:space="0"/>
            </w:tcBorders>
            <w:vAlign w:val="center"/>
          </w:tcPr>
          <w:p w14:paraId="206D69A5">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乐山市知识产权服务促进中心</w:t>
            </w:r>
          </w:p>
        </w:tc>
      </w:tr>
      <w:tr w14:paraId="7B90A11A">
        <w:tblPrEx>
          <w:tblCellMar>
            <w:top w:w="0" w:type="dxa"/>
            <w:left w:w="108" w:type="dxa"/>
            <w:bottom w:w="0" w:type="dxa"/>
            <w:right w:w="108" w:type="dxa"/>
          </w:tblCellMar>
        </w:tblPrEx>
        <w:trPr>
          <w:trHeight w:val="287" w:hRule="atLeast"/>
        </w:trPr>
        <w:tc>
          <w:tcPr>
            <w:tcW w:w="242" w:type="pct"/>
            <w:vMerge w:val="restart"/>
            <w:tcBorders>
              <w:top w:val="nil"/>
              <w:left w:val="single" w:color="000000" w:sz="4" w:space="0"/>
              <w:bottom w:val="single" w:color="000000" w:sz="4" w:space="0"/>
              <w:right w:val="single" w:color="000000" w:sz="4" w:space="0"/>
            </w:tcBorders>
            <w:vAlign w:val="center"/>
          </w:tcPr>
          <w:p w14:paraId="1BD3C794">
            <w:pPr>
              <w:widowControl/>
              <w:jc w:val="left"/>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项目基本情况</w:t>
            </w:r>
          </w:p>
        </w:tc>
        <w:tc>
          <w:tcPr>
            <w:tcW w:w="727" w:type="pct"/>
            <w:vMerge w:val="restart"/>
            <w:tcBorders>
              <w:top w:val="nil"/>
              <w:left w:val="single" w:color="000000" w:sz="4" w:space="0"/>
              <w:bottom w:val="single" w:color="000000" w:sz="4" w:space="0"/>
              <w:right w:val="single" w:color="000000" w:sz="4" w:space="0"/>
            </w:tcBorders>
            <w:vAlign w:val="center"/>
          </w:tcPr>
          <w:p w14:paraId="269C2965">
            <w:pPr>
              <w:widowControl/>
              <w:jc w:val="left"/>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1.项目年度目标完成情况</w:t>
            </w:r>
          </w:p>
        </w:tc>
        <w:tc>
          <w:tcPr>
            <w:tcW w:w="2393" w:type="pct"/>
            <w:gridSpan w:val="5"/>
            <w:tcBorders>
              <w:top w:val="single" w:color="000000" w:sz="4" w:space="0"/>
              <w:left w:val="nil"/>
              <w:bottom w:val="single" w:color="000000" w:sz="4" w:space="0"/>
              <w:right w:val="single" w:color="000000" w:sz="4" w:space="0"/>
            </w:tcBorders>
            <w:vAlign w:val="center"/>
          </w:tcPr>
          <w:p w14:paraId="4FECDD1C">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项目年度目标</w:t>
            </w:r>
          </w:p>
        </w:tc>
        <w:tc>
          <w:tcPr>
            <w:tcW w:w="1638" w:type="pct"/>
            <w:gridSpan w:val="4"/>
            <w:tcBorders>
              <w:top w:val="single" w:color="000000" w:sz="4" w:space="0"/>
              <w:left w:val="nil"/>
              <w:bottom w:val="single" w:color="000000" w:sz="4" w:space="0"/>
              <w:right w:val="single" w:color="000000" w:sz="4" w:space="0"/>
            </w:tcBorders>
            <w:vAlign w:val="center"/>
          </w:tcPr>
          <w:p w14:paraId="4CEB57B5">
            <w:pPr>
              <w:widowControl/>
              <w:jc w:val="center"/>
              <w:rPr>
                <w:rFonts w:hint="eastAsia" w:ascii="黑体" w:hAnsi="黑体" w:eastAsia="黑体" w:cs="宋体"/>
                <w:b w:val="0"/>
                <w:bCs w:val="0"/>
                <w:color w:val="000000"/>
                <w:kern w:val="0"/>
                <w:sz w:val="18"/>
                <w:szCs w:val="18"/>
              </w:rPr>
            </w:pPr>
            <w:r>
              <w:rPr>
                <w:rFonts w:hint="eastAsia" w:ascii="黑体" w:hAnsi="黑体" w:eastAsia="黑体" w:cs="宋体"/>
                <w:b w:val="0"/>
                <w:bCs w:val="0"/>
                <w:color w:val="000000"/>
                <w:kern w:val="0"/>
                <w:sz w:val="18"/>
                <w:szCs w:val="18"/>
              </w:rPr>
              <w:t>年度目标完成情况</w:t>
            </w:r>
          </w:p>
        </w:tc>
      </w:tr>
      <w:tr w14:paraId="32ED8532">
        <w:tblPrEx>
          <w:tblCellMar>
            <w:top w:w="0" w:type="dxa"/>
            <w:left w:w="108" w:type="dxa"/>
            <w:bottom w:w="0" w:type="dxa"/>
            <w:right w:w="108" w:type="dxa"/>
          </w:tblCellMar>
        </w:tblPrEx>
        <w:trPr>
          <w:trHeight w:val="709" w:hRule="atLeast"/>
        </w:trPr>
        <w:tc>
          <w:tcPr>
            <w:tcW w:w="242" w:type="pct"/>
            <w:vMerge w:val="continue"/>
            <w:tcBorders>
              <w:top w:val="nil"/>
              <w:left w:val="single" w:color="000000" w:sz="4" w:space="0"/>
              <w:bottom w:val="single" w:color="000000" w:sz="4" w:space="0"/>
              <w:right w:val="single" w:color="000000" w:sz="4" w:space="0"/>
            </w:tcBorders>
            <w:vAlign w:val="center"/>
          </w:tcPr>
          <w:p w14:paraId="7681674A">
            <w:pPr>
              <w:widowControl/>
              <w:jc w:val="left"/>
              <w:rPr>
                <w:rFonts w:hint="eastAsia" w:ascii="宋体" w:hAnsi="宋体" w:cs="宋体"/>
                <w:b w:val="0"/>
                <w:bCs w:val="0"/>
                <w:color w:val="000000"/>
                <w:kern w:val="0"/>
                <w:sz w:val="18"/>
                <w:szCs w:val="18"/>
              </w:rPr>
            </w:pPr>
          </w:p>
        </w:tc>
        <w:tc>
          <w:tcPr>
            <w:tcW w:w="727" w:type="pct"/>
            <w:vMerge w:val="continue"/>
            <w:tcBorders>
              <w:top w:val="nil"/>
              <w:left w:val="single" w:color="000000" w:sz="4" w:space="0"/>
              <w:bottom w:val="single" w:color="000000" w:sz="4" w:space="0"/>
              <w:right w:val="single" w:color="000000" w:sz="4" w:space="0"/>
            </w:tcBorders>
            <w:vAlign w:val="center"/>
          </w:tcPr>
          <w:p w14:paraId="5D648408">
            <w:pPr>
              <w:widowControl/>
              <w:jc w:val="left"/>
              <w:rPr>
                <w:rFonts w:hint="eastAsia" w:ascii="宋体" w:hAnsi="宋体" w:cs="宋体"/>
                <w:b w:val="0"/>
                <w:bCs w:val="0"/>
                <w:color w:val="000000"/>
                <w:kern w:val="0"/>
                <w:sz w:val="18"/>
                <w:szCs w:val="18"/>
              </w:rPr>
            </w:pPr>
          </w:p>
        </w:tc>
        <w:tc>
          <w:tcPr>
            <w:tcW w:w="2393" w:type="pct"/>
            <w:gridSpan w:val="5"/>
            <w:tcBorders>
              <w:top w:val="single" w:color="000000" w:sz="4" w:space="0"/>
              <w:left w:val="nil"/>
              <w:bottom w:val="single" w:color="000000" w:sz="4" w:space="0"/>
              <w:right w:val="single" w:color="000000" w:sz="4" w:space="0"/>
            </w:tcBorders>
            <w:vAlign w:val="center"/>
          </w:tcPr>
          <w:p w14:paraId="742A1460">
            <w:pPr>
              <w:widowControl/>
              <w:jc w:val="left"/>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　</w:t>
            </w:r>
          </w:p>
        </w:tc>
        <w:tc>
          <w:tcPr>
            <w:tcW w:w="1638" w:type="pct"/>
            <w:gridSpan w:val="4"/>
            <w:tcBorders>
              <w:top w:val="single" w:color="000000" w:sz="4" w:space="0"/>
              <w:left w:val="nil"/>
              <w:bottom w:val="single" w:color="000000" w:sz="4" w:space="0"/>
              <w:right w:val="single" w:color="000000" w:sz="4" w:space="0"/>
            </w:tcBorders>
            <w:vAlign w:val="center"/>
          </w:tcPr>
          <w:p w14:paraId="0D5C8F2E">
            <w:pPr>
              <w:widowControl/>
              <w:jc w:val="left"/>
              <w:rPr>
                <w:rFonts w:hint="eastAsia" w:ascii="黑体" w:hAnsi="黑体" w:eastAsia="黑体" w:cs="宋体"/>
                <w:b w:val="0"/>
                <w:bCs w:val="0"/>
                <w:color w:val="000000"/>
                <w:kern w:val="0"/>
                <w:sz w:val="18"/>
                <w:szCs w:val="18"/>
              </w:rPr>
            </w:pPr>
            <w:r>
              <w:rPr>
                <w:rFonts w:hint="eastAsia" w:ascii="黑体" w:hAnsi="黑体" w:eastAsia="黑体" w:cs="宋体"/>
                <w:b w:val="0"/>
                <w:bCs w:val="0"/>
                <w:color w:val="000000"/>
                <w:kern w:val="0"/>
                <w:sz w:val="18"/>
                <w:szCs w:val="18"/>
              </w:rPr>
              <w:t>对照年度目标，说明相关任务目标的完成情况（100字以内）</w:t>
            </w:r>
          </w:p>
        </w:tc>
      </w:tr>
      <w:tr w14:paraId="32FFF35E">
        <w:tblPrEx>
          <w:tblCellMar>
            <w:top w:w="0" w:type="dxa"/>
            <w:left w:w="108" w:type="dxa"/>
            <w:bottom w:w="0" w:type="dxa"/>
            <w:right w:w="108" w:type="dxa"/>
          </w:tblCellMar>
        </w:tblPrEx>
        <w:trPr>
          <w:trHeight w:val="694" w:hRule="atLeast"/>
        </w:trPr>
        <w:tc>
          <w:tcPr>
            <w:tcW w:w="242" w:type="pct"/>
            <w:vMerge w:val="continue"/>
            <w:tcBorders>
              <w:top w:val="nil"/>
              <w:left w:val="single" w:color="000000" w:sz="4" w:space="0"/>
              <w:bottom w:val="single" w:color="000000" w:sz="4" w:space="0"/>
              <w:right w:val="single" w:color="000000" w:sz="4" w:space="0"/>
            </w:tcBorders>
            <w:vAlign w:val="center"/>
          </w:tcPr>
          <w:p w14:paraId="5D1B8C74">
            <w:pPr>
              <w:widowControl/>
              <w:jc w:val="left"/>
              <w:rPr>
                <w:rFonts w:hint="eastAsia" w:ascii="宋体" w:hAnsi="宋体" w:cs="宋体"/>
                <w:b w:val="0"/>
                <w:bCs w:val="0"/>
                <w:color w:val="000000"/>
                <w:kern w:val="0"/>
                <w:sz w:val="18"/>
                <w:szCs w:val="18"/>
              </w:rPr>
            </w:pPr>
          </w:p>
        </w:tc>
        <w:tc>
          <w:tcPr>
            <w:tcW w:w="727" w:type="pct"/>
            <w:tcBorders>
              <w:top w:val="nil"/>
              <w:left w:val="nil"/>
              <w:bottom w:val="single" w:color="000000" w:sz="4" w:space="0"/>
              <w:right w:val="single" w:color="000000" w:sz="4" w:space="0"/>
            </w:tcBorders>
            <w:vAlign w:val="center"/>
          </w:tcPr>
          <w:p w14:paraId="04E82E50">
            <w:pPr>
              <w:widowControl/>
              <w:jc w:val="left"/>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2.项目实施内容及过程概述</w:t>
            </w:r>
          </w:p>
        </w:tc>
        <w:tc>
          <w:tcPr>
            <w:tcW w:w="4031" w:type="pct"/>
            <w:gridSpan w:val="9"/>
            <w:tcBorders>
              <w:top w:val="single" w:color="000000" w:sz="4" w:space="0"/>
              <w:left w:val="nil"/>
              <w:bottom w:val="single" w:color="000000" w:sz="4" w:space="0"/>
              <w:right w:val="single" w:color="000000" w:sz="4" w:space="0"/>
            </w:tcBorders>
            <w:vAlign w:val="center"/>
          </w:tcPr>
          <w:p w14:paraId="5A456351">
            <w:pPr>
              <w:widowControl/>
              <w:jc w:val="left"/>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　</w:t>
            </w:r>
          </w:p>
        </w:tc>
      </w:tr>
      <w:tr w14:paraId="0947437D">
        <w:tblPrEx>
          <w:tblCellMar>
            <w:top w:w="0" w:type="dxa"/>
            <w:left w:w="108" w:type="dxa"/>
            <w:bottom w:w="0" w:type="dxa"/>
            <w:right w:w="108" w:type="dxa"/>
          </w:tblCellMar>
        </w:tblPrEx>
        <w:trPr>
          <w:trHeight w:val="362" w:hRule="atLeast"/>
        </w:trPr>
        <w:tc>
          <w:tcPr>
            <w:tcW w:w="242" w:type="pct"/>
            <w:vMerge w:val="restart"/>
            <w:tcBorders>
              <w:top w:val="nil"/>
              <w:left w:val="single" w:color="000000" w:sz="4" w:space="0"/>
              <w:bottom w:val="single" w:color="000000" w:sz="4" w:space="0"/>
              <w:right w:val="single" w:color="000000" w:sz="4" w:space="0"/>
            </w:tcBorders>
            <w:vAlign w:val="center"/>
          </w:tcPr>
          <w:p w14:paraId="202827EE">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预算执行情况（10分）</w:t>
            </w:r>
          </w:p>
        </w:tc>
        <w:tc>
          <w:tcPr>
            <w:tcW w:w="727" w:type="pct"/>
            <w:tcBorders>
              <w:top w:val="nil"/>
              <w:left w:val="nil"/>
              <w:bottom w:val="single" w:color="000000" w:sz="4" w:space="0"/>
              <w:right w:val="single" w:color="000000" w:sz="4" w:space="0"/>
            </w:tcBorders>
            <w:vAlign w:val="center"/>
          </w:tcPr>
          <w:p w14:paraId="3F909394">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年度预算数（万元）</w:t>
            </w:r>
          </w:p>
        </w:tc>
        <w:tc>
          <w:tcPr>
            <w:tcW w:w="628" w:type="pct"/>
            <w:tcBorders>
              <w:top w:val="nil"/>
              <w:left w:val="nil"/>
              <w:bottom w:val="single" w:color="000000" w:sz="4" w:space="0"/>
              <w:right w:val="single" w:color="000000" w:sz="4" w:space="0"/>
            </w:tcBorders>
            <w:vAlign w:val="center"/>
          </w:tcPr>
          <w:p w14:paraId="287A5E7F">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年初预算</w:t>
            </w:r>
          </w:p>
        </w:tc>
        <w:tc>
          <w:tcPr>
            <w:tcW w:w="803" w:type="pct"/>
            <w:tcBorders>
              <w:top w:val="nil"/>
              <w:left w:val="nil"/>
              <w:bottom w:val="single" w:color="000000" w:sz="4" w:space="0"/>
              <w:right w:val="single" w:color="000000" w:sz="4" w:space="0"/>
            </w:tcBorders>
            <w:vAlign w:val="center"/>
          </w:tcPr>
          <w:p w14:paraId="7987FDC8">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调整后预算数</w:t>
            </w:r>
          </w:p>
        </w:tc>
        <w:tc>
          <w:tcPr>
            <w:tcW w:w="962" w:type="pct"/>
            <w:gridSpan w:val="3"/>
            <w:tcBorders>
              <w:top w:val="single" w:color="000000" w:sz="4" w:space="0"/>
              <w:left w:val="nil"/>
              <w:bottom w:val="single" w:color="000000" w:sz="4" w:space="0"/>
              <w:right w:val="single" w:color="000000" w:sz="4" w:space="0"/>
            </w:tcBorders>
            <w:vAlign w:val="center"/>
          </w:tcPr>
          <w:p w14:paraId="711FE514">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预算执行数</w:t>
            </w:r>
          </w:p>
        </w:tc>
        <w:tc>
          <w:tcPr>
            <w:tcW w:w="386" w:type="pct"/>
            <w:tcBorders>
              <w:top w:val="nil"/>
              <w:left w:val="nil"/>
              <w:bottom w:val="single" w:color="000000" w:sz="4" w:space="0"/>
              <w:right w:val="single" w:color="000000" w:sz="4" w:space="0"/>
            </w:tcBorders>
            <w:vAlign w:val="center"/>
          </w:tcPr>
          <w:p w14:paraId="6FA4212E">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预算执行率</w:t>
            </w:r>
          </w:p>
        </w:tc>
        <w:tc>
          <w:tcPr>
            <w:tcW w:w="184" w:type="pct"/>
            <w:tcBorders>
              <w:top w:val="nil"/>
              <w:left w:val="nil"/>
              <w:bottom w:val="single" w:color="000000" w:sz="4" w:space="0"/>
              <w:right w:val="single" w:color="000000" w:sz="4" w:space="0"/>
            </w:tcBorders>
            <w:vAlign w:val="center"/>
          </w:tcPr>
          <w:p w14:paraId="0699D7BA">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权重</w:t>
            </w:r>
          </w:p>
        </w:tc>
        <w:tc>
          <w:tcPr>
            <w:tcW w:w="159" w:type="pct"/>
            <w:tcBorders>
              <w:top w:val="nil"/>
              <w:left w:val="nil"/>
              <w:bottom w:val="single" w:color="000000" w:sz="4" w:space="0"/>
              <w:right w:val="single" w:color="000000" w:sz="4" w:space="0"/>
            </w:tcBorders>
            <w:vAlign w:val="center"/>
          </w:tcPr>
          <w:p w14:paraId="56F5B158">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得分</w:t>
            </w:r>
          </w:p>
        </w:tc>
        <w:tc>
          <w:tcPr>
            <w:tcW w:w="909" w:type="pct"/>
            <w:tcBorders>
              <w:top w:val="nil"/>
              <w:left w:val="nil"/>
              <w:bottom w:val="single" w:color="000000" w:sz="4" w:space="0"/>
              <w:right w:val="single" w:color="000000" w:sz="4" w:space="0"/>
            </w:tcBorders>
            <w:vAlign w:val="center"/>
          </w:tcPr>
          <w:p w14:paraId="2AA14E58">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原因</w:t>
            </w:r>
          </w:p>
        </w:tc>
      </w:tr>
      <w:tr w14:paraId="3E34BB10">
        <w:tblPrEx>
          <w:tblCellMar>
            <w:top w:w="0" w:type="dxa"/>
            <w:left w:w="108" w:type="dxa"/>
            <w:bottom w:w="0" w:type="dxa"/>
            <w:right w:w="108" w:type="dxa"/>
          </w:tblCellMar>
        </w:tblPrEx>
        <w:trPr>
          <w:trHeight w:val="347" w:hRule="atLeast"/>
        </w:trPr>
        <w:tc>
          <w:tcPr>
            <w:tcW w:w="242" w:type="pct"/>
            <w:vMerge w:val="continue"/>
            <w:tcBorders>
              <w:top w:val="nil"/>
              <w:left w:val="single" w:color="000000" w:sz="4" w:space="0"/>
              <w:bottom w:val="single" w:color="000000" w:sz="4" w:space="0"/>
              <w:right w:val="single" w:color="000000" w:sz="4" w:space="0"/>
            </w:tcBorders>
            <w:vAlign w:val="center"/>
          </w:tcPr>
          <w:p w14:paraId="0DF4CAC2">
            <w:pPr>
              <w:widowControl/>
              <w:jc w:val="left"/>
              <w:rPr>
                <w:rFonts w:hint="eastAsia" w:ascii="宋体" w:hAnsi="宋体" w:cs="宋体"/>
                <w:b w:val="0"/>
                <w:bCs w:val="0"/>
                <w:color w:val="000000"/>
                <w:kern w:val="0"/>
                <w:sz w:val="18"/>
                <w:szCs w:val="18"/>
              </w:rPr>
            </w:pPr>
          </w:p>
        </w:tc>
        <w:tc>
          <w:tcPr>
            <w:tcW w:w="727" w:type="pct"/>
            <w:tcBorders>
              <w:top w:val="nil"/>
              <w:left w:val="nil"/>
              <w:bottom w:val="single" w:color="000000" w:sz="4" w:space="0"/>
              <w:right w:val="single" w:color="000000" w:sz="4" w:space="0"/>
            </w:tcBorders>
            <w:vAlign w:val="center"/>
          </w:tcPr>
          <w:p w14:paraId="03133EBC">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总额</w:t>
            </w:r>
          </w:p>
        </w:tc>
        <w:tc>
          <w:tcPr>
            <w:tcW w:w="628" w:type="pct"/>
            <w:tcBorders>
              <w:top w:val="nil"/>
              <w:left w:val="nil"/>
              <w:bottom w:val="single" w:color="000000" w:sz="4" w:space="0"/>
              <w:right w:val="single" w:color="000000" w:sz="4" w:space="0"/>
            </w:tcBorders>
            <w:vAlign w:val="center"/>
          </w:tcPr>
          <w:p w14:paraId="145A6600">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0.00</w:t>
            </w:r>
          </w:p>
        </w:tc>
        <w:tc>
          <w:tcPr>
            <w:tcW w:w="803" w:type="pct"/>
            <w:tcBorders>
              <w:top w:val="nil"/>
              <w:left w:val="nil"/>
              <w:bottom w:val="single" w:color="000000" w:sz="4" w:space="0"/>
              <w:right w:val="single" w:color="000000" w:sz="4" w:space="0"/>
            </w:tcBorders>
            <w:vAlign w:val="center"/>
          </w:tcPr>
          <w:p w14:paraId="6B07CE37">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10.00</w:t>
            </w:r>
          </w:p>
        </w:tc>
        <w:tc>
          <w:tcPr>
            <w:tcW w:w="962" w:type="pct"/>
            <w:gridSpan w:val="3"/>
            <w:tcBorders>
              <w:top w:val="single" w:color="000000" w:sz="4" w:space="0"/>
              <w:left w:val="nil"/>
              <w:bottom w:val="single" w:color="000000" w:sz="4" w:space="0"/>
              <w:right w:val="single" w:color="000000" w:sz="4" w:space="0"/>
            </w:tcBorders>
            <w:vAlign w:val="center"/>
          </w:tcPr>
          <w:p w14:paraId="257EF803">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0.00</w:t>
            </w:r>
          </w:p>
        </w:tc>
        <w:tc>
          <w:tcPr>
            <w:tcW w:w="386" w:type="pct"/>
            <w:tcBorders>
              <w:top w:val="nil"/>
              <w:left w:val="nil"/>
              <w:bottom w:val="single" w:color="000000" w:sz="4" w:space="0"/>
              <w:right w:val="single" w:color="000000" w:sz="4" w:space="0"/>
            </w:tcBorders>
            <w:vAlign w:val="center"/>
          </w:tcPr>
          <w:p w14:paraId="12FD5173">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0.00%</w:t>
            </w:r>
          </w:p>
        </w:tc>
        <w:tc>
          <w:tcPr>
            <w:tcW w:w="184" w:type="pct"/>
            <w:tcBorders>
              <w:top w:val="nil"/>
              <w:left w:val="nil"/>
              <w:bottom w:val="single" w:color="000000" w:sz="4" w:space="0"/>
              <w:right w:val="single" w:color="000000" w:sz="4" w:space="0"/>
            </w:tcBorders>
            <w:vAlign w:val="center"/>
          </w:tcPr>
          <w:p w14:paraId="1B2A71C3">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10</w:t>
            </w:r>
          </w:p>
        </w:tc>
        <w:tc>
          <w:tcPr>
            <w:tcW w:w="159" w:type="pct"/>
            <w:tcBorders>
              <w:top w:val="nil"/>
              <w:left w:val="nil"/>
              <w:bottom w:val="single" w:color="000000" w:sz="4" w:space="0"/>
              <w:right w:val="single" w:color="000000" w:sz="4" w:space="0"/>
            </w:tcBorders>
            <w:vAlign w:val="center"/>
          </w:tcPr>
          <w:p w14:paraId="465AF62B">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　</w:t>
            </w:r>
          </w:p>
        </w:tc>
        <w:tc>
          <w:tcPr>
            <w:tcW w:w="909" w:type="pct"/>
            <w:vMerge w:val="restart"/>
            <w:tcBorders>
              <w:top w:val="nil"/>
              <w:left w:val="single" w:color="000000" w:sz="4" w:space="0"/>
              <w:bottom w:val="single" w:color="000000" w:sz="4" w:space="0"/>
              <w:right w:val="single" w:color="000000" w:sz="4" w:space="0"/>
            </w:tcBorders>
            <w:vAlign w:val="center"/>
          </w:tcPr>
          <w:p w14:paraId="2AA2AF88">
            <w:pPr>
              <w:widowControl/>
              <w:jc w:val="left"/>
              <w:rPr>
                <w:rFonts w:hint="eastAsia" w:ascii="黑体" w:hAnsi="黑体" w:eastAsia="黑体" w:cs="宋体"/>
                <w:b w:val="0"/>
                <w:bCs w:val="0"/>
                <w:i/>
                <w:iCs/>
                <w:color w:val="000000"/>
                <w:kern w:val="0"/>
                <w:sz w:val="18"/>
                <w:szCs w:val="18"/>
              </w:rPr>
            </w:pPr>
            <w:r>
              <w:rPr>
                <w:rFonts w:hint="eastAsia" w:ascii="黑体" w:hAnsi="黑体" w:eastAsia="黑体" w:cs="宋体"/>
                <w:b w:val="0"/>
                <w:bCs w:val="0"/>
                <w:i/>
                <w:iCs/>
                <w:color w:val="000000"/>
                <w:kern w:val="0"/>
                <w:sz w:val="18"/>
                <w:szCs w:val="18"/>
              </w:rPr>
              <w:t>1.预算执行率=预算执行数/调整后预算数，预算执行率未达到90%的需说明原因（100字以内）;2.年中发生预算调整的（追加或调减）,应单独说明理由；3.其他资金包括：社会投入资金、银行贷款.</w:t>
            </w:r>
          </w:p>
        </w:tc>
      </w:tr>
      <w:tr w14:paraId="51F7ED72">
        <w:tblPrEx>
          <w:tblCellMar>
            <w:top w:w="0" w:type="dxa"/>
            <w:left w:w="108" w:type="dxa"/>
            <w:bottom w:w="0" w:type="dxa"/>
            <w:right w:w="108" w:type="dxa"/>
          </w:tblCellMar>
        </w:tblPrEx>
        <w:trPr>
          <w:trHeight w:val="392" w:hRule="atLeast"/>
        </w:trPr>
        <w:tc>
          <w:tcPr>
            <w:tcW w:w="242" w:type="pct"/>
            <w:vMerge w:val="continue"/>
            <w:tcBorders>
              <w:top w:val="nil"/>
              <w:left w:val="single" w:color="000000" w:sz="4" w:space="0"/>
              <w:bottom w:val="single" w:color="000000" w:sz="4" w:space="0"/>
              <w:right w:val="single" w:color="000000" w:sz="4" w:space="0"/>
            </w:tcBorders>
            <w:vAlign w:val="center"/>
          </w:tcPr>
          <w:p w14:paraId="07F939AB">
            <w:pPr>
              <w:widowControl/>
              <w:jc w:val="left"/>
              <w:rPr>
                <w:rFonts w:hint="eastAsia" w:ascii="宋体" w:hAnsi="宋体" w:cs="宋体"/>
                <w:b w:val="0"/>
                <w:bCs w:val="0"/>
                <w:color w:val="000000"/>
                <w:kern w:val="0"/>
                <w:sz w:val="18"/>
                <w:szCs w:val="18"/>
              </w:rPr>
            </w:pPr>
          </w:p>
        </w:tc>
        <w:tc>
          <w:tcPr>
            <w:tcW w:w="727" w:type="pct"/>
            <w:tcBorders>
              <w:top w:val="nil"/>
              <w:left w:val="nil"/>
              <w:bottom w:val="single" w:color="000000" w:sz="4" w:space="0"/>
              <w:right w:val="single" w:color="000000" w:sz="4" w:space="0"/>
            </w:tcBorders>
            <w:vAlign w:val="center"/>
          </w:tcPr>
          <w:p w14:paraId="7F261B53">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其中：财政资金</w:t>
            </w:r>
          </w:p>
        </w:tc>
        <w:tc>
          <w:tcPr>
            <w:tcW w:w="628" w:type="pct"/>
            <w:tcBorders>
              <w:top w:val="nil"/>
              <w:left w:val="nil"/>
              <w:bottom w:val="single" w:color="000000" w:sz="4" w:space="0"/>
              <w:right w:val="single" w:color="000000" w:sz="4" w:space="0"/>
            </w:tcBorders>
            <w:vAlign w:val="center"/>
          </w:tcPr>
          <w:p w14:paraId="73F346EB">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0.00</w:t>
            </w:r>
          </w:p>
        </w:tc>
        <w:tc>
          <w:tcPr>
            <w:tcW w:w="803" w:type="pct"/>
            <w:tcBorders>
              <w:top w:val="nil"/>
              <w:left w:val="nil"/>
              <w:bottom w:val="single" w:color="000000" w:sz="4" w:space="0"/>
              <w:right w:val="single" w:color="000000" w:sz="4" w:space="0"/>
            </w:tcBorders>
            <w:vAlign w:val="center"/>
          </w:tcPr>
          <w:p w14:paraId="56F4AAAB">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10.00</w:t>
            </w:r>
          </w:p>
        </w:tc>
        <w:tc>
          <w:tcPr>
            <w:tcW w:w="962" w:type="pct"/>
            <w:gridSpan w:val="3"/>
            <w:tcBorders>
              <w:top w:val="single" w:color="000000" w:sz="4" w:space="0"/>
              <w:left w:val="nil"/>
              <w:bottom w:val="single" w:color="000000" w:sz="4" w:space="0"/>
              <w:right w:val="single" w:color="000000" w:sz="4" w:space="0"/>
            </w:tcBorders>
            <w:vAlign w:val="center"/>
          </w:tcPr>
          <w:p w14:paraId="0344415C">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0.00</w:t>
            </w:r>
          </w:p>
        </w:tc>
        <w:tc>
          <w:tcPr>
            <w:tcW w:w="386" w:type="pct"/>
            <w:tcBorders>
              <w:top w:val="nil"/>
              <w:left w:val="nil"/>
              <w:bottom w:val="single" w:color="000000" w:sz="4" w:space="0"/>
              <w:right w:val="single" w:color="000000" w:sz="4" w:space="0"/>
            </w:tcBorders>
            <w:vAlign w:val="center"/>
          </w:tcPr>
          <w:p w14:paraId="6C8C14BA">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0.00%</w:t>
            </w:r>
          </w:p>
        </w:tc>
        <w:tc>
          <w:tcPr>
            <w:tcW w:w="184" w:type="pct"/>
            <w:tcBorders>
              <w:top w:val="nil"/>
              <w:left w:val="nil"/>
              <w:bottom w:val="single" w:color="000000" w:sz="4" w:space="0"/>
              <w:right w:val="single" w:color="000000" w:sz="4" w:space="0"/>
            </w:tcBorders>
            <w:vAlign w:val="center"/>
          </w:tcPr>
          <w:p w14:paraId="55040727">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w:t>
            </w:r>
          </w:p>
        </w:tc>
        <w:tc>
          <w:tcPr>
            <w:tcW w:w="159" w:type="pct"/>
            <w:tcBorders>
              <w:top w:val="nil"/>
              <w:left w:val="nil"/>
              <w:bottom w:val="single" w:color="000000" w:sz="4" w:space="0"/>
              <w:right w:val="single" w:color="000000" w:sz="4" w:space="0"/>
            </w:tcBorders>
            <w:vAlign w:val="center"/>
          </w:tcPr>
          <w:p w14:paraId="16933D03">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w:t>
            </w:r>
          </w:p>
        </w:tc>
        <w:tc>
          <w:tcPr>
            <w:tcW w:w="909" w:type="pct"/>
            <w:vMerge w:val="continue"/>
            <w:tcBorders>
              <w:top w:val="nil"/>
              <w:left w:val="single" w:color="000000" w:sz="4" w:space="0"/>
              <w:bottom w:val="single" w:color="000000" w:sz="4" w:space="0"/>
              <w:right w:val="single" w:color="000000" w:sz="4" w:space="0"/>
            </w:tcBorders>
            <w:vAlign w:val="center"/>
          </w:tcPr>
          <w:p w14:paraId="29984766">
            <w:pPr>
              <w:widowControl/>
              <w:jc w:val="left"/>
              <w:rPr>
                <w:rFonts w:hint="eastAsia" w:ascii="黑体" w:hAnsi="黑体" w:eastAsia="黑体" w:cs="宋体"/>
                <w:b w:val="0"/>
                <w:bCs w:val="0"/>
                <w:i/>
                <w:iCs/>
                <w:color w:val="000000"/>
                <w:kern w:val="0"/>
                <w:sz w:val="18"/>
                <w:szCs w:val="18"/>
              </w:rPr>
            </w:pPr>
          </w:p>
        </w:tc>
      </w:tr>
      <w:tr w14:paraId="5D3A36AB">
        <w:tblPrEx>
          <w:tblCellMar>
            <w:top w:w="0" w:type="dxa"/>
            <w:left w:w="108" w:type="dxa"/>
            <w:bottom w:w="0" w:type="dxa"/>
            <w:right w:w="108" w:type="dxa"/>
          </w:tblCellMar>
        </w:tblPrEx>
        <w:trPr>
          <w:trHeight w:val="407" w:hRule="atLeast"/>
        </w:trPr>
        <w:tc>
          <w:tcPr>
            <w:tcW w:w="242" w:type="pct"/>
            <w:vMerge w:val="continue"/>
            <w:tcBorders>
              <w:top w:val="nil"/>
              <w:left w:val="single" w:color="000000" w:sz="4" w:space="0"/>
              <w:bottom w:val="single" w:color="000000" w:sz="4" w:space="0"/>
              <w:right w:val="single" w:color="000000" w:sz="4" w:space="0"/>
            </w:tcBorders>
            <w:vAlign w:val="center"/>
          </w:tcPr>
          <w:p w14:paraId="2F5CFCA4">
            <w:pPr>
              <w:widowControl/>
              <w:jc w:val="left"/>
              <w:rPr>
                <w:rFonts w:hint="eastAsia" w:ascii="宋体" w:hAnsi="宋体" w:cs="宋体"/>
                <w:b w:val="0"/>
                <w:bCs w:val="0"/>
                <w:color w:val="000000"/>
                <w:kern w:val="0"/>
                <w:sz w:val="18"/>
                <w:szCs w:val="18"/>
              </w:rPr>
            </w:pPr>
          </w:p>
        </w:tc>
        <w:tc>
          <w:tcPr>
            <w:tcW w:w="727" w:type="pct"/>
            <w:tcBorders>
              <w:top w:val="nil"/>
              <w:left w:val="nil"/>
              <w:bottom w:val="single" w:color="000000" w:sz="4" w:space="0"/>
              <w:right w:val="single" w:color="000000" w:sz="4" w:space="0"/>
            </w:tcBorders>
            <w:vAlign w:val="center"/>
          </w:tcPr>
          <w:p w14:paraId="1D54EB55">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财政专户管理资金</w:t>
            </w:r>
          </w:p>
        </w:tc>
        <w:tc>
          <w:tcPr>
            <w:tcW w:w="628" w:type="pct"/>
            <w:tcBorders>
              <w:top w:val="nil"/>
              <w:left w:val="nil"/>
              <w:bottom w:val="single" w:color="000000" w:sz="4" w:space="0"/>
              <w:right w:val="single" w:color="000000" w:sz="4" w:space="0"/>
            </w:tcBorders>
            <w:vAlign w:val="center"/>
          </w:tcPr>
          <w:p w14:paraId="5DD4E7DB">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0.00</w:t>
            </w:r>
          </w:p>
        </w:tc>
        <w:tc>
          <w:tcPr>
            <w:tcW w:w="803" w:type="pct"/>
            <w:tcBorders>
              <w:top w:val="nil"/>
              <w:left w:val="nil"/>
              <w:bottom w:val="single" w:color="000000" w:sz="4" w:space="0"/>
              <w:right w:val="single" w:color="000000" w:sz="4" w:space="0"/>
            </w:tcBorders>
            <w:vAlign w:val="center"/>
          </w:tcPr>
          <w:p w14:paraId="4BCF9D71">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0.00</w:t>
            </w:r>
          </w:p>
        </w:tc>
        <w:tc>
          <w:tcPr>
            <w:tcW w:w="962" w:type="pct"/>
            <w:gridSpan w:val="3"/>
            <w:tcBorders>
              <w:top w:val="single" w:color="000000" w:sz="4" w:space="0"/>
              <w:left w:val="nil"/>
              <w:bottom w:val="single" w:color="000000" w:sz="4" w:space="0"/>
              <w:right w:val="single" w:color="000000" w:sz="4" w:space="0"/>
            </w:tcBorders>
            <w:vAlign w:val="center"/>
          </w:tcPr>
          <w:p w14:paraId="76D7CC91">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0.00</w:t>
            </w:r>
          </w:p>
        </w:tc>
        <w:tc>
          <w:tcPr>
            <w:tcW w:w="386" w:type="pct"/>
            <w:tcBorders>
              <w:top w:val="nil"/>
              <w:left w:val="nil"/>
              <w:bottom w:val="single" w:color="000000" w:sz="4" w:space="0"/>
              <w:right w:val="single" w:color="000000" w:sz="4" w:space="0"/>
            </w:tcBorders>
            <w:vAlign w:val="center"/>
          </w:tcPr>
          <w:p w14:paraId="4FCFD2AE">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0.00%</w:t>
            </w:r>
          </w:p>
        </w:tc>
        <w:tc>
          <w:tcPr>
            <w:tcW w:w="184" w:type="pct"/>
            <w:tcBorders>
              <w:top w:val="nil"/>
              <w:left w:val="nil"/>
              <w:bottom w:val="single" w:color="000000" w:sz="4" w:space="0"/>
              <w:right w:val="single" w:color="000000" w:sz="4" w:space="0"/>
            </w:tcBorders>
            <w:vAlign w:val="center"/>
          </w:tcPr>
          <w:p w14:paraId="72D24EB9">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w:t>
            </w:r>
          </w:p>
        </w:tc>
        <w:tc>
          <w:tcPr>
            <w:tcW w:w="159" w:type="pct"/>
            <w:tcBorders>
              <w:top w:val="nil"/>
              <w:left w:val="nil"/>
              <w:bottom w:val="single" w:color="000000" w:sz="4" w:space="0"/>
              <w:right w:val="single" w:color="000000" w:sz="4" w:space="0"/>
            </w:tcBorders>
            <w:vAlign w:val="center"/>
          </w:tcPr>
          <w:p w14:paraId="09231688">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w:t>
            </w:r>
          </w:p>
        </w:tc>
        <w:tc>
          <w:tcPr>
            <w:tcW w:w="909" w:type="pct"/>
            <w:vMerge w:val="continue"/>
            <w:tcBorders>
              <w:top w:val="nil"/>
              <w:left w:val="single" w:color="000000" w:sz="4" w:space="0"/>
              <w:bottom w:val="single" w:color="000000" w:sz="4" w:space="0"/>
              <w:right w:val="single" w:color="000000" w:sz="4" w:space="0"/>
            </w:tcBorders>
            <w:vAlign w:val="center"/>
          </w:tcPr>
          <w:p w14:paraId="222414AF">
            <w:pPr>
              <w:widowControl/>
              <w:jc w:val="left"/>
              <w:rPr>
                <w:rFonts w:hint="eastAsia" w:ascii="黑体" w:hAnsi="黑体" w:eastAsia="黑体" w:cs="宋体"/>
                <w:b w:val="0"/>
                <w:bCs w:val="0"/>
                <w:i/>
                <w:iCs/>
                <w:color w:val="000000"/>
                <w:kern w:val="0"/>
                <w:sz w:val="18"/>
                <w:szCs w:val="18"/>
              </w:rPr>
            </w:pPr>
          </w:p>
        </w:tc>
      </w:tr>
      <w:tr w14:paraId="4374AB00">
        <w:tblPrEx>
          <w:tblCellMar>
            <w:top w:w="0" w:type="dxa"/>
            <w:left w:w="108" w:type="dxa"/>
            <w:bottom w:w="0" w:type="dxa"/>
            <w:right w:w="108" w:type="dxa"/>
          </w:tblCellMar>
        </w:tblPrEx>
        <w:trPr>
          <w:trHeight w:val="362" w:hRule="atLeast"/>
        </w:trPr>
        <w:tc>
          <w:tcPr>
            <w:tcW w:w="242" w:type="pct"/>
            <w:vMerge w:val="continue"/>
            <w:tcBorders>
              <w:top w:val="nil"/>
              <w:left w:val="single" w:color="000000" w:sz="4" w:space="0"/>
              <w:bottom w:val="single" w:color="000000" w:sz="4" w:space="0"/>
              <w:right w:val="single" w:color="000000" w:sz="4" w:space="0"/>
            </w:tcBorders>
            <w:vAlign w:val="center"/>
          </w:tcPr>
          <w:p w14:paraId="1D5027B3">
            <w:pPr>
              <w:widowControl/>
              <w:jc w:val="left"/>
              <w:rPr>
                <w:rFonts w:hint="eastAsia" w:ascii="宋体" w:hAnsi="宋体" w:cs="宋体"/>
                <w:b w:val="0"/>
                <w:bCs w:val="0"/>
                <w:color w:val="000000"/>
                <w:kern w:val="0"/>
                <w:sz w:val="18"/>
                <w:szCs w:val="18"/>
              </w:rPr>
            </w:pPr>
          </w:p>
        </w:tc>
        <w:tc>
          <w:tcPr>
            <w:tcW w:w="727" w:type="pct"/>
            <w:tcBorders>
              <w:top w:val="nil"/>
              <w:left w:val="nil"/>
              <w:bottom w:val="single" w:color="000000" w:sz="4" w:space="0"/>
              <w:right w:val="single" w:color="000000" w:sz="4" w:space="0"/>
            </w:tcBorders>
            <w:vAlign w:val="center"/>
          </w:tcPr>
          <w:p w14:paraId="270FAEE2">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单位资金</w:t>
            </w:r>
          </w:p>
        </w:tc>
        <w:tc>
          <w:tcPr>
            <w:tcW w:w="628" w:type="pct"/>
            <w:tcBorders>
              <w:top w:val="nil"/>
              <w:left w:val="nil"/>
              <w:bottom w:val="single" w:color="000000" w:sz="4" w:space="0"/>
              <w:right w:val="single" w:color="000000" w:sz="4" w:space="0"/>
            </w:tcBorders>
            <w:vAlign w:val="center"/>
          </w:tcPr>
          <w:p w14:paraId="1FB4D810">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0.00</w:t>
            </w:r>
          </w:p>
        </w:tc>
        <w:tc>
          <w:tcPr>
            <w:tcW w:w="803" w:type="pct"/>
            <w:tcBorders>
              <w:top w:val="nil"/>
              <w:left w:val="nil"/>
              <w:bottom w:val="single" w:color="000000" w:sz="4" w:space="0"/>
              <w:right w:val="single" w:color="000000" w:sz="4" w:space="0"/>
            </w:tcBorders>
            <w:vAlign w:val="center"/>
          </w:tcPr>
          <w:p w14:paraId="77D1ADFC">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0.00</w:t>
            </w:r>
          </w:p>
        </w:tc>
        <w:tc>
          <w:tcPr>
            <w:tcW w:w="962" w:type="pct"/>
            <w:gridSpan w:val="3"/>
            <w:tcBorders>
              <w:top w:val="single" w:color="000000" w:sz="4" w:space="0"/>
              <w:left w:val="nil"/>
              <w:bottom w:val="single" w:color="000000" w:sz="4" w:space="0"/>
              <w:right w:val="single" w:color="000000" w:sz="4" w:space="0"/>
            </w:tcBorders>
            <w:vAlign w:val="center"/>
          </w:tcPr>
          <w:p w14:paraId="420C8406">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0.00</w:t>
            </w:r>
          </w:p>
        </w:tc>
        <w:tc>
          <w:tcPr>
            <w:tcW w:w="386" w:type="pct"/>
            <w:tcBorders>
              <w:top w:val="nil"/>
              <w:left w:val="nil"/>
              <w:bottom w:val="single" w:color="000000" w:sz="4" w:space="0"/>
              <w:right w:val="single" w:color="000000" w:sz="4" w:space="0"/>
            </w:tcBorders>
            <w:vAlign w:val="center"/>
          </w:tcPr>
          <w:p w14:paraId="7531AE2C">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0.00%</w:t>
            </w:r>
          </w:p>
        </w:tc>
        <w:tc>
          <w:tcPr>
            <w:tcW w:w="184" w:type="pct"/>
            <w:tcBorders>
              <w:top w:val="nil"/>
              <w:left w:val="nil"/>
              <w:bottom w:val="single" w:color="000000" w:sz="4" w:space="0"/>
              <w:right w:val="single" w:color="000000" w:sz="4" w:space="0"/>
            </w:tcBorders>
            <w:vAlign w:val="center"/>
          </w:tcPr>
          <w:p w14:paraId="0DF3BF94">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w:t>
            </w:r>
          </w:p>
        </w:tc>
        <w:tc>
          <w:tcPr>
            <w:tcW w:w="159" w:type="pct"/>
            <w:tcBorders>
              <w:top w:val="nil"/>
              <w:left w:val="nil"/>
              <w:bottom w:val="single" w:color="000000" w:sz="4" w:space="0"/>
              <w:right w:val="single" w:color="000000" w:sz="4" w:space="0"/>
            </w:tcBorders>
            <w:vAlign w:val="center"/>
          </w:tcPr>
          <w:p w14:paraId="5B095254">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w:t>
            </w:r>
          </w:p>
        </w:tc>
        <w:tc>
          <w:tcPr>
            <w:tcW w:w="909" w:type="pct"/>
            <w:vMerge w:val="continue"/>
            <w:tcBorders>
              <w:top w:val="nil"/>
              <w:left w:val="single" w:color="000000" w:sz="4" w:space="0"/>
              <w:bottom w:val="single" w:color="000000" w:sz="4" w:space="0"/>
              <w:right w:val="single" w:color="000000" w:sz="4" w:space="0"/>
            </w:tcBorders>
            <w:vAlign w:val="center"/>
          </w:tcPr>
          <w:p w14:paraId="0FA837E3">
            <w:pPr>
              <w:widowControl/>
              <w:jc w:val="left"/>
              <w:rPr>
                <w:rFonts w:hint="eastAsia" w:ascii="黑体" w:hAnsi="黑体" w:eastAsia="黑体" w:cs="宋体"/>
                <w:b w:val="0"/>
                <w:bCs w:val="0"/>
                <w:i/>
                <w:iCs/>
                <w:color w:val="000000"/>
                <w:kern w:val="0"/>
                <w:sz w:val="18"/>
                <w:szCs w:val="18"/>
              </w:rPr>
            </w:pPr>
          </w:p>
        </w:tc>
      </w:tr>
      <w:tr w14:paraId="35E2813C">
        <w:tblPrEx>
          <w:tblCellMar>
            <w:top w:w="0" w:type="dxa"/>
            <w:left w:w="108" w:type="dxa"/>
            <w:bottom w:w="0" w:type="dxa"/>
            <w:right w:w="108" w:type="dxa"/>
          </w:tblCellMar>
        </w:tblPrEx>
        <w:trPr>
          <w:trHeight w:val="340" w:hRule="atLeast"/>
        </w:trPr>
        <w:tc>
          <w:tcPr>
            <w:tcW w:w="242" w:type="pct"/>
            <w:vMerge w:val="continue"/>
            <w:tcBorders>
              <w:top w:val="nil"/>
              <w:left w:val="single" w:color="000000" w:sz="4" w:space="0"/>
              <w:bottom w:val="single" w:color="000000" w:sz="4" w:space="0"/>
              <w:right w:val="single" w:color="000000" w:sz="4" w:space="0"/>
            </w:tcBorders>
            <w:vAlign w:val="center"/>
          </w:tcPr>
          <w:p w14:paraId="6DD0E6EE">
            <w:pPr>
              <w:widowControl/>
              <w:jc w:val="left"/>
              <w:rPr>
                <w:rFonts w:hint="eastAsia" w:ascii="宋体" w:hAnsi="宋体" w:cs="宋体"/>
                <w:b w:val="0"/>
                <w:bCs w:val="0"/>
                <w:color w:val="000000"/>
                <w:kern w:val="0"/>
                <w:sz w:val="18"/>
                <w:szCs w:val="18"/>
              </w:rPr>
            </w:pPr>
          </w:p>
        </w:tc>
        <w:tc>
          <w:tcPr>
            <w:tcW w:w="727" w:type="pct"/>
            <w:tcBorders>
              <w:top w:val="nil"/>
              <w:left w:val="nil"/>
              <w:bottom w:val="single" w:color="000000" w:sz="4" w:space="0"/>
              <w:right w:val="single" w:color="000000" w:sz="4" w:space="0"/>
            </w:tcBorders>
            <w:vAlign w:val="center"/>
          </w:tcPr>
          <w:p w14:paraId="023820B1">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其他资金</w:t>
            </w:r>
          </w:p>
        </w:tc>
        <w:tc>
          <w:tcPr>
            <w:tcW w:w="628" w:type="pct"/>
            <w:tcBorders>
              <w:top w:val="nil"/>
              <w:left w:val="nil"/>
              <w:bottom w:val="single" w:color="000000" w:sz="4" w:space="0"/>
              <w:right w:val="single" w:color="000000" w:sz="4" w:space="0"/>
            </w:tcBorders>
            <w:vAlign w:val="center"/>
          </w:tcPr>
          <w:p w14:paraId="3E4ACCE4">
            <w:pPr>
              <w:widowControl/>
              <w:jc w:val="center"/>
              <w:rPr>
                <w:rFonts w:hint="eastAsia" w:ascii="微软雅黑" w:hAnsi="微软雅黑" w:eastAsia="微软雅黑" w:cs="宋体"/>
                <w:b w:val="0"/>
                <w:bCs w:val="0"/>
                <w:i/>
                <w:iCs/>
                <w:color w:val="000000"/>
                <w:kern w:val="0"/>
                <w:sz w:val="16"/>
                <w:szCs w:val="16"/>
              </w:rPr>
            </w:pPr>
            <w:r>
              <w:rPr>
                <w:rFonts w:hint="eastAsia" w:ascii="微软雅黑" w:hAnsi="微软雅黑" w:eastAsia="微软雅黑" w:cs="宋体"/>
                <w:b w:val="0"/>
                <w:bCs w:val="0"/>
                <w:i/>
                <w:iCs/>
                <w:color w:val="000000"/>
                <w:kern w:val="0"/>
                <w:sz w:val="16"/>
                <w:szCs w:val="16"/>
              </w:rPr>
              <w:t>　</w:t>
            </w:r>
          </w:p>
        </w:tc>
        <w:tc>
          <w:tcPr>
            <w:tcW w:w="803" w:type="pct"/>
            <w:tcBorders>
              <w:top w:val="nil"/>
              <w:left w:val="nil"/>
              <w:bottom w:val="single" w:color="000000" w:sz="4" w:space="0"/>
              <w:right w:val="single" w:color="000000" w:sz="4" w:space="0"/>
            </w:tcBorders>
            <w:vAlign w:val="center"/>
          </w:tcPr>
          <w:p w14:paraId="56A30F36">
            <w:pPr>
              <w:widowControl/>
              <w:jc w:val="center"/>
              <w:rPr>
                <w:rFonts w:hint="eastAsia" w:ascii="微软雅黑" w:hAnsi="微软雅黑" w:eastAsia="微软雅黑" w:cs="宋体"/>
                <w:b w:val="0"/>
                <w:bCs w:val="0"/>
                <w:i/>
                <w:iCs/>
                <w:color w:val="000000"/>
                <w:kern w:val="0"/>
                <w:sz w:val="16"/>
                <w:szCs w:val="16"/>
              </w:rPr>
            </w:pPr>
            <w:r>
              <w:rPr>
                <w:rFonts w:hint="eastAsia" w:ascii="微软雅黑" w:hAnsi="微软雅黑" w:eastAsia="微软雅黑" w:cs="宋体"/>
                <w:b w:val="0"/>
                <w:bCs w:val="0"/>
                <w:i/>
                <w:iCs/>
                <w:color w:val="000000"/>
                <w:kern w:val="0"/>
                <w:sz w:val="16"/>
                <w:szCs w:val="16"/>
              </w:rPr>
              <w:t>　</w:t>
            </w:r>
          </w:p>
        </w:tc>
        <w:tc>
          <w:tcPr>
            <w:tcW w:w="962" w:type="pct"/>
            <w:gridSpan w:val="3"/>
            <w:tcBorders>
              <w:top w:val="single" w:color="000000" w:sz="4" w:space="0"/>
              <w:left w:val="nil"/>
              <w:bottom w:val="single" w:color="000000" w:sz="4" w:space="0"/>
              <w:right w:val="single" w:color="000000" w:sz="4" w:space="0"/>
            </w:tcBorders>
            <w:vAlign w:val="center"/>
          </w:tcPr>
          <w:p w14:paraId="488B66EE">
            <w:pPr>
              <w:widowControl/>
              <w:jc w:val="center"/>
              <w:rPr>
                <w:rFonts w:hint="eastAsia" w:ascii="微软雅黑" w:hAnsi="微软雅黑" w:eastAsia="微软雅黑" w:cs="宋体"/>
                <w:b w:val="0"/>
                <w:bCs w:val="0"/>
                <w:i/>
                <w:iCs/>
                <w:color w:val="000000"/>
                <w:kern w:val="0"/>
                <w:sz w:val="16"/>
                <w:szCs w:val="16"/>
              </w:rPr>
            </w:pPr>
            <w:r>
              <w:rPr>
                <w:rFonts w:hint="eastAsia" w:ascii="微软雅黑" w:hAnsi="微软雅黑" w:eastAsia="微软雅黑" w:cs="宋体"/>
                <w:b w:val="0"/>
                <w:bCs w:val="0"/>
                <w:i/>
                <w:iCs/>
                <w:color w:val="000000"/>
                <w:kern w:val="0"/>
                <w:sz w:val="16"/>
                <w:szCs w:val="16"/>
              </w:rPr>
              <w:t>　</w:t>
            </w:r>
          </w:p>
        </w:tc>
        <w:tc>
          <w:tcPr>
            <w:tcW w:w="386" w:type="pct"/>
            <w:tcBorders>
              <w:top w:val="nil"/>
              <w:left w:val="nil"/>
              <w:bottom w:val="single" w:color="000000" w:sz="4" w:space="0"/>
              <w:right w:val="single" w:color="000000" w:sz="4" w:space="0"/>
            </w:tcBorders>
            <w:vAlign w:val="center"/>
          </w:tcPr>
          <w:p w14:paraId="26F889E9">
            <w:pPr>
              <w:widowControl/>
              <w:jc w:val="center"/>
              <w:rPr>
                <w:rFonts w:hint="eastAsia" w:ascii="微软雅黑" w:hAnsi="微软雅黑" w:eastAsia="微软雅黑" w:cs="宋体"/>
                <w:b w:val="0"/>
                <w:bCs w:val="0"/>
                <w:i/>
                <w:iCs/>
                <w:color w:val="000000"/>
                <w:kern w:val="0"/>
                <w:sz w:val="16"/>
                <w:szCs w:val="16"/>
              </w:rPr>
            </w:pPr>
            <w:r>
              <w:rPr>
                <w:rFonts w:hint="eastAsia" w:ascii="微软雅黑" w:hAnsi="微软雅黑" w:eastAsia="微软雅黑" w:cs="宋体"/>
                <w:b w:val="0"/>
                <w:bCs w:val="0"/>
                <w:i/>
                <w:iCs/>
                <w:color w:val="000000"/>
                <w:kern w:val="0"/>
                <w:sz w:val="16"/>
                <w:szCs w:val="16"/>
              </w:rPr>
              <w:t>　</w:t>
            </w:r>
          </w:p>
        </w:tc>
        <w:tc>
          <w:tcPr>
            <w:tcW w:w="184" w:type="pct"/>
            <w:tcBorders>
              <w:top w:val="nil"/>
              <w:left w:val="nil"/>
              <w:bottom w:val="single" w:color="000000" w:sz="4" w:space="0"/>
              <w:right w:val="single" w:color="000000" w:sz="4" w:space="0"/>
            </w:tcBorders>
            <w:vAlign w:val="center"/>
          </w:tcPr>
          <w:p w14:paraId="27CF7421">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w:t>
            </w:r>
          </w:p>
        </w:tc>
        <w:tc>
          <w:tcPr>
            <w:tcW w:w="159" w:type="pct"/>
            <w:tcBorders>
              <w:top w:val="nil"/>
              <w:left w:val="nil"/>
              <w:bottom w:val="single" w:color="000000" w:sz="4" w:space="0"/>
              <w:right w:val="single" w:color="000000" w:sz="4" w:space="0"/>
            </w:tcBorders>
            <w:vAlign w:val="center"/>
          </w:tcPr>
          <w:p w14:paraId="5CA6F093">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w:t>
            </w:r>
          </w:p>
        </w:tc>
        <w:tc>
          <w:tcPr>
            <w:tcW w:w="909" w:type="pct"/>
            <w:vMerge w:val="continue"/>
            <w:tcBorders>
              <w:top w:val="nil"/>
              <w:left w:val="single" w:color="000000" w:sz="4" w:space="0"/>
              <w:bottom w:val="single" w:color="000000" w:sz="4" w:space="0"/>
              <w:right w:val="single" w:color="000000" w:sz="4" w:space="0"/>
            </w:tcBorders>
            <w:vAlign w:val="center"/>
          </w:tcPr>
          <w:p w14:paraId="0B682866">
            <w:pPr>
              <w:widowControl/>
              <w:jc w:val="left"/>
              <w:rPr>
                <w:rFonts w:hint="eastAsia" w:ascii="黑体" w:hAnsi="黑体" w:eastAsia="黑体" w:cs="宋体"/>
                <w:b w:val="0"/>
                <w:bCs w:val="0"/>
                <w:i/>
                <w:iCs/>
                <w:color w:val="000000"/>
                <w:kern w:val="0"/>
                <w:sz w:val="18"/>
                <w:szCs w:val="18"/>
              </w:rPr>
            </w:pPr>
          </w:p>
        </w:tc>
      </w:tr>
      <w:tr w14:paraId="363C3D99">
        <w:tblPrEx>
          <w:tblCellMar>
            <w:top w:w="0" w:type="dxa"/>
            <w:left w:w="108" w:type="dxa"/>
            <w:bottom w:w="0" w:type="dxa"/>
            <w:right w:w="108" w:type="dxa"/>
          </w:tblCellMar>
        </w:tblPrEx>
        <w:trPr>
          <w:trHeight w:val="452" w:hRule="atLeast"/>
        </w:trPr>
        <w:tc>
          <w:tcPr>
            <w:tcW w:w="242" w:type="pct"/>
            <w:vMerge w:val="restart"/>
            <w:tcBorders>
              <w:top w:val="nil"/>
              <w:left w:val="single" w:color="000000" w:sz="4" w:space="0"/>
              <w:bottom w:val="single" w:color="000000" w:sz="4" w:space="0"/>
              <w:right w:val="single" w:color="000000" w:sz="4" w:space="0"/>
            </w:tcBorders>
            <w:vAlign w:val="center"/>
          </w:tcPr>
          <w:p w14:paraId="4D84ACC5">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绩效指标（90分）</w:t>
            </w:r>
          </w:p>
        </w:tc>
        <w:tc>
          <w:tcPr>
            <w:tcW w:w="727" w:type="pct"/>
            <w:tcBorders>
              <w:top w:val="nil"/>
              <w:left w:val="nil"/>
              <w:bottom w:val="single" w:color="000000" w:sz="4" w:space="0"/>
              <w:right w:val="single" w:color="000000" w:sz="4" w:space="0"/>
            </w:tcBorders>
            <w:vAlign w:val="center"/>
          </w:tcPr>
          <w:p w14:paraId="75E4D077">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一级指标</w:t>
            </w:r>
          </w:p>
        </w:tc>
        <w:tc>
          <w:tcPr>
            <w:tcW w:w="628" w:type="pct"/>
            <w:tcBorders>
              <w:top w:val="nil"/>
              <w:left w:val="nil"/>
              <w:bottom w:val="single" w:color="000000" w:sz="4" w:space="0"/>
              <w:right w:val="single" w:color="000000" w:sz="4" w:space="0"/>
            </w:tcBorders>
            <w:vAlign w:val="center"/>
          </w:tcPr>
          <w:p w14:paraId="661E4955">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二级指标</w:t>
            </w:r>
          </w:p>
        </w:tc>
        <w:tc>
          <w:tcPr>
            <w:tcW w:w="803" w:type="pct"/>
            <w:tcBorders>
              <w:top w:val="nil"/>
              <w:left w:val="nil"/>
              <w:bottom w:val="single" w:color="000000" w:sz="4" w:space="0"/>
              <w:right w:val="single" w:color="000000" w:sz="4" w:space="0"/>
            </w:tcBorders>
            <w:vAlign w:val="center"/>
          </w:tcPr>
          <w:p w14:paraId="32F0357F">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三级指标</w:t>
            </w:r>
          </w:p>
        </w:tc>
        <w:tc>
          <w:tcPr>
            <w:tcW w:w="182" w:type="pct"/>
            <w:tcBorders>
              <w:top w:val="nil"/>
              <w:left w:val="nil"/>
              <w:bottom w:val="single" w:color="000000" w:sz="4" w:space="0"/>
              <w:right w:val="single" w:color="000000" w:sz="4" w:space="0"/>
            </w:tcBorders>
            <w:vAlign w:val="center"/>
          </w:tcPr>
          <w:p w14:paraId="44410707">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指标性质</w:t>
            </w:r>
          </w:p>
        </w:tc>
        <w:tc>
          <w:tcPr>
            <w:tcW w:w="598" w:type="pct"/>
            <w:tcBorders>
              <w:top w:val="nil"/>
              <w:left w:val="nil"/>
              <w:bottom w:val="single" w:color="000000" w:sz="4" w:space="0"/>
              <w:right w:val="single" w:color="000000" w:sz="4" w:space="0"/>
            </w:tcBorders>
            <w:vAlign w:val="center"/>
          </w:tcPr>
          <w:p w14:paraId="0DB772BC">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指标值</w:t>
            </w:r>
          </w:p>
        </w:tc>
        <w:tc>
          <w:tcPr>
            <w:tcW w:w="182" w:type="pct"/>
            <w:tcBorders>
              <w:top w:val="nil"/>
              <w:left w:val="nil"/>
              <w:bottom w:val="single" w:color="000000" w:sz="4" w:space="0"/>
              <w:right w:val="single" w:color="000000" w:sz="4" w:space="0"/>
            </w:tcBorders>
            <w:vAlign w:val="center"/>
          </w:tcPr>
          <w:p w14:paraId="51B94BF2">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度量单位</w:t>
            </w:r>
          </w:p>
        </w:tc>
        <w:tc>
          <w:tcPr>
            <w:tcW w:w="386" w:type="pct"/>
            <w:tcBorders>
              <w:top w:val="nil"/>
              <w:left w:val="nil"/>
              <w:bottom w:val="single" w:color="000000" w:sz="4" w:space="0"/>
              <w:right w:val="single" w:color="000000" w:sz="4" w:space="0"/>
            </w:tcBorders>
            <w:vAlign w:val="center"/>
          </w:tcPr>
          <w:p w14:paraId="4CA35EDA">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完成值</w:t>
            </w:r>
          </w:p>
        </w:tc>
        <w:tc>
          <w:tcPr>
            <w:tcW w:w="184" w:type="pct"/>
            <w:tcBorders>
              <w:top w:val="nil"/>
              <w:left w:val="nil"/>
              <w:bottom w:val="single" w:color="000000" w:sz="4" w:space="0"/>
              <w:right w:val="single" w:color="000000" w:sz="4" w:space="0"/>
            </w:tcBorders>
            <w:vAlign w:val="center"/>
          </w:tcPr>
          <w:p w14:paraId="327AA62A">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权重</w:t>
            </w:r>
          </w:p>
        </w:tc>
        <w:tc>
          <w:tcPr>
            <w:tcW w:w="159" w:type="pct"/>
            <w:tcBorders>
              <w:top w:val="nil"/>
              <w:left w:val="nil"/>
              <w:bottom w:val="single" w:color="000000" w:sz="4" w:space="0"/>
              <w:right w:val="single" w:color="000000" w:sz="4" w:space="0"/>
            </w:tcBorders>
            <w:vAlign w:val="center"/>
          </w:tcPr>
          <w:p w14:paraId="26457259">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得分</w:t>
            </w:r>
          </w:p>
        </w:tc>
        <w:tc>
          <w:tcPr>
            <w:tcW w:w="909" w:type="pct"/>
            <w:tcBorders>
              <w:top w:val="nil"/>
              <w:left w:val="nil"/>
              <w:bottom w:val="single" w:color="000000" w:sz="4" w:space="0"/>
              <w:right w:val="single" w:color="000000" w:sz="4" w:space="0"/>
            </w:tcBorders>
            <w:vAlign w:val="center"/>
          </w:tcPr>
          <w:p w14:paraId="5140990C">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未完成原因分析</w:t>
            </w:r>
          </w:p>
        </w:tc>
      </w:tr>
      <w:tr w14:paraId="53D878EB">
        <w:tblPrEx>
          <w:tblCellMar>
            <w:top w:w="0" w:type="dxa"/>
            <w:left w:w="108" w:type="dxa"/>
            <w:bottom w:w="0" w:type="dxa"/>
            <w:right w:w="108" w:type="dxa"/>
          </w:tblCellMar>
        </w:tblPrEx>
        <w:trPr>
          <w:trHeight w:val="340" w:hRule="atLeast"/>
        </w:trPr>
        <w:tc>
          <w:tcPr>
            <w:tcW w:w="242" w:type="pct"/>
            <w:vMerge w:val="continue"/>
            <w:tcBorders>
              <w:top w:val="nil"/>
              <w:left w:val="single" w:color="000000" w:sz="4" w:space="0"/>
              <w:bottom w:val="single" w:color="000000" w:sz="4" w:space="0"/>
              <w:right w:val="single" w:color="000000" w:sz="4" w:space="0"/>
            </w:tcBorders>
            <w:vAlign w:val="center"/>
          </w:tcPr>
          <w:p w14:paraId="4013E110">
            <w:pPr>
              <w:widowControl/>
              <w:jc w:val="left"/>
              <w:rPr>
                <w:rFonts w:hint="eastAsia" w:ascii="宋体" w:hAnsi="宋体" w:cs="宋体"/>
                <w:b w:val="0"/>
                <w:bCs w:val="0"/>
                <w:color w:val="000000"/>
                <w:kern w:val="0"/>
                <w:sz w:val="18"/>
                <w:szCs w:val="18"/>
              </w:rPr>
            </w:pPr>
          </w:p>
        </w:tc>
        <w:tc>
          <w:tcPr>
            <w:tcW w:w="727" w:type="pct"/>
            <w:tcBorders>
              <w:top w:val="nil"/>
              <w:left w:val="nil"/>
              <w:bottom w:val="single" w:color="000000" w:sz="4" w:space="0"/>
              <w:right w:val="single" w:color="000000" w:sz="4" w:space="0"/>
            </w:tcBorders>
            <w:vAlign w:val="center"/>
          </w:tcPr>
          <w:p w14:paraId="55ADEB6B">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　</w:t>
            </w:r>
          </w:p>
        </w:tc>
        <w:tc>
          <w:tcPr>
            <w:tcW w:w="628" w:type="pct"/>
            <w:tcBorders>
              <w:top w:val="nil"/>
              <w:left w:val="nil"/>
              <w:bottom w:val="single" w:color="000000" w:sz="4" w:space="0"/>
              <w:right w:val="single" w:color="000000" w:sz="4" w:space="0"/>
            </w:tcBorders>
            <w:vAlign w:val="center"/>
          </w:tcPr>
          <w:p w14:paraId="0C2D4217">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　</w:t>
            </w:r>
          </w:p>
        </w:tc>
        <w:tc>
          <w:tcPr>
            <w:tcW w:w="803" w:type="pct"/>
            <w:tcBorders>
              <w:top w:val="nil"/>
              <w:left w:val="nil"/>
              <w:bottom w:val="single" w:color="000000" w:sz="4" w:space="0"/>
              <w:right w:val="single" w:color="000000" w:sz="4" w:space="0"/>
            </w:tcBorders>
            <w:vAlign w:val="center"/>
          </w:tcPr>
          <w:p w14:paraId="3F4D1425">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　</w:t>
            </w:r>
          </w:p>
        </w:tc>
        <w:tc>
          <w:tcPr>
            <w:tcW w:w="182" w:type="pct"/>
            <w:tcBorders>
              <w:top w:val="nil"/>
              <w:left w:val="nil"/>
              <w:bottom w:val="single" w:color="000000" w:sz="4" w:space="0"/>
              <w:right w:val="single" w:color="000000" w:sz="4" w:space="0"/>
            </w:tcBorders>
            <w:vAlign w:val="center"/>
          </w:tcPr>
          <w:p w14:paraId="0B0A943B">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　</w:t>
            </w:r>
          </w:p>
        </w:tc>
        <w:tc>
          <w:tcPr>
            <w:tcW w:w="598" w:type="pct"/>
            <w:tcBorders>
              <w:top w:val="nil"/>
              <w:left w:val="nil"/>
              <w:bottom w:val="single" w:color="000000" w:sz="4" w:space="0"/>
              <w:right w:val="single" w:color="000000" w:sz="4" w:space="0"/>
            </w:tcBorders>
            <w:vAlign w:val="center"/>
          </w:tcPr>
          <w:p w14:paraId="2FE5452C">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　</w:t>
            </w:r>
          </w:p>
        </w:tc>
        <w:tc>
          <w:tcPr>
            <w:tcW w:w="182" w:type="pct"/>
            <w:tcBorders>
              <w:top w:val="nil"/>
              <w:left w:val="nil"/>
              <w:bottom w:val="single" w:color="000000" w:sz="4" w:space="0"/>
              <w:right w:val="single" w:color="000000" w:sz="4" w:space="0"/>
            </w:tcBorders>
            <w:vAlign w:val="center"/>
          </w:tcPr>
          <w:p w14:paraId="099B6322">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　</w:t>
            </w:r>
          </w:p>
        </w:tc>
        <w:tc>
          <w:tcPr>
            <w:tcW w:w="386" w:type="pct"/>
            <w:tcBorders>
              <w:top w:val="nil"/>
              <w:left w:val="nil"/>
              <w:bottom w:val="single" w:color="000000" w:sz="4" w:space="0"/>
              <w:right w:val="single" w:color="000000" w:sz="4" w:space="0"/>
            </w:tcBorders>
            <w:vAlign w:val="center"/>
          </w:tcPr>
          <w:p w14:paraId="2936C108">
            <w:pPr>
              <w:widowControl/>
              <w:jc w:val="center"/>
              <w:rPr>
                <w:rFonts w:hint="eastAsia" w:ascii="微软雅黑" w:hAnsi="微软雅黑" w:eastAsia="微软雅黑" w:cs="宋体"/>
                <w:b w:val="0"/>
                <w:bCs w:val="0"/>
                <w:i/>
                <w:iCs/>
                <w:color w:val="000000"/>
                <w:kern w:val="0"/>
                <w:sz w:val="16"/>
                <w:szCs w:val="16"/>
              </w:rPr>
            </w:pPr>
            <w:r>
              <w:rPr>
                <w:rFonts w:hint="eastAsia" w:ascii="微软雅黑" w:hAnsi="微软雅黑" w:eastAsia="微软雅黑" w:cs="宋体"/>
                <w:b w:val="0"/>
                <w:bCs w:val="0"/>
                <w:i/>
                <w:iCs/>
                <w:color w:val="000000"/>
                <w:kern w:val="0"/>
                <w:sz w:val="16"/>
                <w:szCs w:val="16"/>
              </w:rPr>
              <w:t>　</w:t>
            </w:r>
          </w:p>
        </w:tc>
        <w:tc>
          <w:tcPr>
            <w:tcW w:w="184" w:type="pct"/>
            <w:tcBorders>
              <w:top w:val="nil"/>
              <w:left w:val="nil"/>
              <w:bottom w:val="single" w:color="000000" w:sz="4" w:space="0"/>
              <w:right w:val="single" w:color="000000" w:sz="4" w:space="0"/>
            </w:tcBorders>
            <w:vAlign w:val="center"/>
          </w:tcPr>
          <w:p w14:paraId="349813CB">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　</w:t>
            </w:r>
          </w:p>
        </w:tc>
        <w:tc>
          <w:tcPr>
            <w:tcW w:w="159" w:type="pct"/>
            <w:tcBorders>
              <w:top w:val="nil"/>
              <w:left w:val="nil"/>
              <w:bottom w:val="single" w:color="000000" w:sz="4" w:space="0"/>
              <w:right w:val="single" w:color="000000" w:sz="4" w:space="0"/>
            </w:tcBorders>
            <w:vAlign w:val="center"/>
          </w:tcPr>
          <w:p w14:paraId="493C1BF3">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　</w:t>
            </w:r>
          </w:p>
        </w:tc>
        <w:tc>
          <w:tcPr>
            <w:tcW w:w="909" w:type="pct"/>
            <w:tcBorders>
              <w:top w:val="nil"/>
              <w:left w:val="nil"/>
              <w:bottom w:val="single" w:color="000000" w:sz="4" w:space="0"/>
              <w:right w:val="single" w:color="000000" w:sz="4" w:space="0"/>
            </w:tcBorders>
            <w:vAlign w:val="center"/>
          </w:tcPr>
          <w:p w14:paraId="220924E0">
            <w:pPr>
              <w:widowControl/>
              <w:jc w:val="center"/>
              <w:rPr>
                <w:rFonts w:hint="eastAsia" w:ascii="微软雅黑" w:hAnsi="微软雅黑" w:eastAsia="微软雅黑" w:cs="宋体"/>
                <w:b w:val="0"/>
                <w:bCs w:val="0"/>
                <w:i/>
                <w:iCs/>
                <w:color w:val="000000"/>
                <w:kern w:val="0"/>
                <w:sz w:val="16"/>
                <w:szCs w:val="16"/>
              </w:rPr>
            </w:pPr>
            <w:r>
              <w:rPr>
                <w:rFonts w:hint="eastAsia" w:ascii="微软雅黑" w:hAnsi="微软雅黑" w:eastAsia="微软雅黑" w:cs="宋体"/>
                <w:b w:val="0"/>
                <w:bCs w:val="0"/>
                <w:i/>
                <w:iCs/>
                <w:color w:val="000000"/>
                <w:kern w:val="0"/>
                <w:sz w:val="16"/>
                <w:szCs w:val="16"/>
              </w:rPr>
              <w:t>　</w:t>
            </w:r>
          </w:p>
        </w:tc>
      </w:tr>
      <w:tr w14:paraId="270A2ADC">
        <w:tblPrEx>
          <w:tblCellMar>
            <w:top w:w="0" w:type="dxa"/>
            <w:left w:w="108" w:type="dxa"/>
            <w:bottom w:w="0" w:type="dxa"/>
            <w:right w:w="108" w:type="dxa"/>
          </w:tblCellMar>
        </w:tblPrEx>
        <w:trPr>
          <w:trHeight w:val="287" w:hRule="atLeast"/>
        </w:trPr>
        <w:tc>
          <w:tcPr>
            <w:tcW w:w="3748" w:type="pct"/>
            <w:gridSpan w:val="8"/>
            <w:tcBorders>
              <w:top w:val="single" w:color="000000" w:sz="4" w:space="0"/>
              <w:left w:val="single" w:color="000000" w:sz="4" w:space="0"/>
              <w:bottom w:val="single" w:color="000000" w:sz="4" w:space="0"/>
              <w:right w:val="single" w:color="000000" w:sz="4" w:space="0"/>
            </w:tcBorders>
            <w:vAlign w:val="center"/>
          </w:tcPr>
          <w:p w14:paraId="32A3BD84">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合计</w:t>
            </w:r>
          </w:p>
        </w:tc>
        <w:tc>
          <w:tcPr>
            <w:tcW w:w="184" w:type="pct"/>
            <w:tcBorders>
              <w:top w:val="nil"/>
              <w:left w:val="nil"/>
              <w:bottom w:val="single" w:color="000000" w:sz="4" w:space="0"/>
              <w:right w:val="single" w:color="000000" w:sz="4" w:space="0"/>
            </w:tcBorders>
            <w:vAlign w:val="center"/>
          </w:tcPr>
          <w:p w14:paraId="4EAA4B3E">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100</w:t>
            </w:r>
          </w:p>
        </w:tc>
        <w:tc>
          <w:tcPr>
            <w:tcW w:w="159" w:type="pct"/>
            <w:tcBorders>
              <w:top w:val="nil"/>
              <w:left w:val="nil"/>
              <w:bottom w:val="single" w:color="000000" w:sz="4" w:space="0"/>
              <w:right w:val="single" w:color="000000" w:sz="4" w:space="0"/>
            </w:tcBorders>
            <w:vAlign w:val="center"/>
          </w:tcPr>
          <w:p w14:paraId="76155EA4">
            <w:pPr>
              <w:widowControl/>
              <w:jc w:val="left"/>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　</w:t>
            </w:r>
          </w:p>
        </w:tc>
        <w:tc>
          <w:tcPr>
            <w:tcW w:w="909" w:type="pct"/>
            <w:tcBorders>
              <w:top w:val="nil"/>
              <w:left w:val="nil"/>
              <w:bottom w:val="single" w:color="000000" w:sz="4" w:space="0"/>
              <w:right w:val="single" w:color="000000" w:sz="4" w:space="0"/>
            </w:tcBorders>
            <w:vAlign w:val="center"/>
          </w:tcPr>
          <w:p w14:paraId="2CDCA09B">
            <w:pPr>
              <w:widowControl/>
              <w:jc w:val="left"/>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　</w:t>
            </w:r>
          </w:p>
        </w:tc>
      </w:tr>
      <w:tr w14:paraId="3C791733">
        <w:tblPrEx>
          <w:tblCellMar>
            <w:top w:w="0" w:type="dxa"/>
            <w:left w:w="108" w:type="dxa"/>
            <w:bottom w:w="0" w:type="dxa"/>
            <w:right w:w="108" w:type="dxa"/>
          </w:tblCellMar>
        </w:tblPrEx>
        <w:trPr>
          <w:trHeight w:val="604" w:hRule="atLeast"/>
        </w:trPr>
        <w:tc>
          <w:tcPr>
            <w:tcW w:w="242" w:type="pct"/>
            <w:tcBorders>
              <w:top w:val="nil"/>
              <w:left w:val="single" w:color="000000" w:sz="4" w:space="0"/>
              <w:bottom w:val="single" w:color="000000" w:sz="4" w:space="0"/>
              <w:right w:val="single" w:color="000000" w:sz="4" w:space="0"/>
            </w:tcBorders>
            <w:vAlign w:val="center"/>
          </w:tcPr>
          <w:p w14:paraId="4C1AF783">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评价结论</w:t>
            </w:r>
          </w:p>
        </w:tc>
        <w:tc>
          <w:tcPr>
            <w:tcW w:w="4758" w:type="pct"/>
            <w:gridSpan w:val="10"/>
            <w:tcBorders>
              <w:top w:val="single" w:color="000000" w:sz="4" w:space="0"/>
              <w:left w:val="nil"/>
              <w:bottom w:val="single" w:color="000000" w:sz="4" w:space="0"/>
              <w:right w:val="single" w:color="000000" w:sz="4" w:space="0"/>
            </w:tcBorders>
            <w:vAlign w:val="center"/>
          </w:tcPr>
          <w:p w14:paraId="41964245">
            <w:pPr>
              <w:widowControl/>
              <w:jc w:val="left"/>
              <w:rPr>
                <w:rFonts w:hint="eastAsia" w:ascii="微软雅黑" w:hAnsi="微软雅黑" w:eastAsia="微软雅黑" w:cs="宋体"/>
                <w:b w:val="0"/>
                <w:bCs w:val="0"/>
                <w:i/>
                <w:iCs/>
                <w:color w:val="000000"/>
                <w:kern w:val="0"/>
                <w:sz w:val="16"/>
                <w:szCs w:val="16"/>
              </w:rPr>
            </w:pPr>
            <w:r>
              <w:rPr>
                <w:rFonts w:hint="eastAsia" w:ascii="微软雅黑" w:hAnsi="微软雅黑" w:eastAsia="微软雅黑" w:cs="宋体"/>
                <w:b w:val="0"/>
                <w:bCs w:val="0"/>
                <w:i/>
                <w:iCs/>
                <w:color w:val="000000"/>
                <w:kern w:val="0"/>
                <w:sz w:val="16"/>
                <w:szCs w:val="16"/>
              </w:rPr>
              <w:t>结合自评情况，说明项目自评总分，说明项目实施取得的成效或成果。（200字以内）</w:t>
            </w:r>
          </w:p>
        </w:tc>
      </w:tr>
      <w:tr w14:paraId="07E1ECCF">
        <w:tblPrEx>
          <w:tblCellMar>
            <w:top w:w="0" w:type="dxa"/>
            <w:left w:w="108" w:type="dxa"/>
            <w:bottom w:w="0" w:type="dxa"/>
            <w:right w:w="108" w:type="dxa"/>
          </w:tblCellMar>
        </w:tblPrEx>
        <w:trPr>
          <w:trHeight w:val="572" w:hRule="atLeast"/>
        </w:trPr>
        <w:tc>
          <w:tcPr>
            <w:tcW w:w="242" w:type="pct"/>
            <w:tcBorders>
              <w:top w:val="nil"/>
              <w:left w:val="single" w:color="000000" w:sz="4" w:space="0"/>
              <w:bottom w:val="single" w:color="000000" w:sz="4" w:space="0"/>
              <w:right w:val="single" w:color="000000" w:sz="4" w:space="0"/>
            </w:tcBorders>
            <w:vAlign w:val="center"/>
          </w:tcPr>
          <w:p w14:paraId="0C7BD9F8">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存在问题</w:t>
            </w:r>
          </w:p>
        </w:tc>
        <w:tc>
          <w:tcPr>
            <w:tcW w:w="4758" w:type="pct"/>
            <w:gridSpan w:val="10"/>
            <w:tcBorders>
              <w:top w:val="single" w:color="000000" w:sz="4" w:space="0"/>
              <w:left w:val="nil"/>
              <w:bottom w:val="single" w:color="000000" w:sz="4" w:space="0"/>
              <w:right w:val="single" w:color="000000" w:sz="4" w:space="0"/>
            </w:tcBorders>
            <w:vAlign w:val="center"/>
          </w:tcPr>
          <w:p w14:paraId="0665BBCA">
            <w:pPr>
              <w:widowControl/>
              <w:jc w:val="left"/>
              <w:rPr>
                <w:rFonts w:hint="eastAsia" w:ascii="微软雅黑" w:hAnsi="微软雅黑" w:eastAsia="微软雅黑" w:cs="宋体"/>
                <w:b w:val="0"/>
                <w:bCs w:val="0"/>
                <w:i/>
                <w:iCs/>
                <w:color w:val="000000"/>
                <w:kern w:val="0"/>
                <w:sz w:val="16"/>
                <w:szCs w:val="16"/>
              </w:rPr>
            </w:pPr>
            <w:r>
              <w:rPr>
                <w:rFonts w:hint="eastAsia" w:ascii="微软雅黑" w:hAnsi="微软雅黑" w:eastAsia="微软雅黑" w:cs="宋体"/>
                <w:b w:val="0"/>
                <w:bCs w:val="0"/>
                <w:i/>
                <w:iCs/>
                <w:color w:val="000000"/>
                <w:kern w:val="0"/>
                <w:sz w:val="16"/>
                <w:szCs w:val="16"/>
              </w:rPr>
              <w:t>结合自评情况，分析存在的问题及原因。（200字以内）</w:t>
            </w:r>
          </w:p>
        </w:tc>
      </w:tr>
      <w:tr w14:paraId="3EBB5048">
        <w:tblPrEx>
          <w:tblCellMar>
            <w:top w:w="0" w:type="dxa"/>
            <w:left w:w="108" w:type="dxa"/>
            <w:bottom w:w="0" w:type="dxa"/>
            <w:right w:w="108" w:type="dxa"/>
          </w:tblCellMar>
        </w:tblPrEx>
        <w:trPr>
          <w:trHeight w:val="634" w:hRule="atLeast"/>
        </w:trPr>
        <w:tc>
          <w:tcPr>
            <w:tcW w:w="242" w:type="pct"/>
            <w:tcBorders>
              <w:top w:val="nil"/>
              <w:left w:val="single" w:color="000000" w:sz="4" w:space="0"/>
              <w:bottom w:val="single" w:color="000000" w:sz="4" w:space="0"/>
              <w:right w:val="single" w:color="000000" w:sz="4" w:space="0"/>
            </w:tcBorders>
            <w:vAlign w:val="center"/>
          </w:tcPr>
          <w:p w14:paraId="01466C10">
            <w:pPr>
              <w:widowControl/>
              <w:jc w:val="center"/>
              <w:rPr>
                <w:rFonts w:hint="eastAsia" w:ascii="宋体" w:hAnsi="宋体" w:cs="宋体"/>
                <w:b w:val="0"/>
                <w:bCs w:val="0"/>
                <w:color w:val="000000"/>
                <w:kern w:val="0"/>
                <w:sz w:val="18"/>
                <w:szCs w:val="18"/>
              </w:rPr>
            </w:pPr>
            <w:r>
              <w:rPr>
                <w:rFonts w:hint="eastAsia" w:ascii="宋体" w:hAnsi="宋体" w:cs="宋体"/>
                <w:b w:val="0"/>
                <w:bCs w:val="0"/>
                <w:color w:val="000000"/>
                <w:kern w:val="0"/>
                <w:sz w:val="18"/>
                <w:szCs w:val="18"/>
              </w:rPr>
              <w:t>改进措施</w:t>
            </w:r>
          </w:p>
        </w:tc>
        <w:tc>
          <w:tcPr>
            <w:tcW w:w="4758" w:type="pct"/>
            <w:gridSpan w:val="10"/>
            <w:tcBorders>
              <w:top w:val="single" w:color="000000" w:sz="4" w:space="0"/>
              <w:left w:val="nil"/>
              <w:bottom w:val="single" w:color="000000" w:sz="4" w:space="0"/>
              <w:right w:val="single" w:color="000000" w:sz="4" w:space="0"/>
            </w:tcBorders>
            <w:vAlign w:val="center"/>
          </w:tcPr>
          <w:p w14:paraId="05AC5165">
            <w:pPr>
              <w:widowControl/>
              <w:jc w:val="left"/>
              <w:rPr>
                <w:rFonts w:hint="eastAsia" w:ascii="微软雅黑" w:hAnsi="微软雅黑" w:eastAsia="微软雅黑" w:cs="宋体"/>
                <w:b w:val="0"/>
                <w:bCs w:val="0"/>
                <w:i/>
                <w:iCs/>
                <w:color w:val="000000"/>
                <w:kern w:val="0"/>
                <w:sz w:val="16"/>
                <w:szCs w:val="16"/>
              </w:rPr>
            </w:pPr>
            <w:r>
              <w:rPr>
                <w:rFonts w:hint="eastAsia" w:ascii="微软雅黑" w:hAnsi="微软雅黑" w:eastAsia="微软雅黑" w:cs="宋体"/>
                <w:b w:val="0"/>
                <w:bCs w:val="0"/>
                <w:i/>
                <w:iCs/>
                <w:color w:val="000000"/>
                <w:kern w:val="0"/>
                <w:sz w:val="16"/>
                <w:szCs w:val="16"/>
              </w:rPr>
              <w:t>针对项目自评中发现的问题，提出下一步改进完善的意见及有关政策性建议。（200字以内）</w:t>
            </w:r>
          </w:p>
        </w:tc>
      </w:tr>
      <w:tr w14:paraId="163FF47C">
        <w:tblPrEx>
          <w:tblCellMar>
            <w:top w:w="0" w:type="dxa"/>
            <w:left w:w="108" w:type="dxa"/>
            <w:bottom w:w="0" w:type="dxa"/>
            <w:right w:w="108" w:type="dxa"/>
          </w:tblCellMar>
        </w:tblPrEx>
        <w:trPr>
          <w:trHeight w:val="287" w:hRule="atLeast"/>
        </w:trPr>
        <w:tc>
          <w:tcPr>
            <w:tcW w:w="2582" w:type="pct"/>
            <w:gridSpan w:val="5"/>
            <w:tcBorders>
              <w:top w:val="single" w:color="000000" w:sz="4" w:space="0"/>
              <w:left w:val="single" w:color="000000" w:sz="4" w:space="0"/>
              <w:bottom w:val="single" w:color="000000" w:sz="4" w:space="0"/>
              <w:right w:val="single" w:color="000000" w:sz="4" w:space="0"/>
            </w:tcBorders>
            <w:vAlign w:val="center"/>
          </w:tcPr>
          <w:p w14:paraId="3303AF29">
            <w:pPr>
              <w:widowControl/>
              <w:jc w:val="left"/>
              <w:rPr>
                <w:rFonts w:hint="eastAsia" w:ascii="黑体" w:hAnsi="黑体" w:eastAsia="黑体" w:cs="宋体"/>
                <w:b w:val="0"/>
                <w:bCs w:val="0"/>
                <w:color w:val="000000"/>
                <w:kern w:val="0"/>
                <w:sz w:val="18"/>
                <w:szCs w:val="18"/>
              </w:rPr>
            </w:pPr>
            <w:r>
              <w:rPr>
                <w:rFonts w:hint="eastAsia" w:ascii="黑体" w:hAnsi="黑体" w:eastAsia="黑体" w:cs="宋体"/>
                <w:b w:val="0"/>
                <w:bCs w:val="0"/>
                <w:color w:val="000000"/>
                <w:kern w:val="0"/>
                <w:sz w:val="18"/>
                <w:szCs w:val="18"/>
              </w:rPr>
              <w:t>项目负责人：</w:t>
            </w:r>
          </w:p>
        </w:tc>
        <w:tc>
          <w:tcPr>
            <w:tcW w:w="2418" w:type="pct"/>
            <w:gridSpan w:val="6"/>
            <w:tcBorders>
              <w:top w:val="single" w:color="000000" w:sz="4" w:space="0"/>
              <w:left w:val="nil"/>
              <w:bottom w:val="single" w:color="000000" w:sz="4" w:space="0"/>
              <w:right w:val="single" w:color="000000" w:sz="4" w:space="0"/>
            </w:tcBorders>
            <w:vAlign w:val="center"/>
          </w:tcPr>
          <w:p w14:paraId="2F6379AF">
            <w:pPr>
              <w:widowControl/>
              <w:jc w:val="left"/>
              <w:rPr>
                <w:rFonts w:hint="eastAsia" w:ascii="黑体" w:hAnsi="黑体" w:eastAsia="黑体" w:cs="宋体"/>
                <w:b w:val="0"/>
                <w:bCs w:val="0"/>
                <w:color w:val="000000"/>
                <w:kern w:val="0"/>
                <w:sz w:val="18"/>
                <w:szCs w:val="18"/>
              </w:rPr>
            </w:pPr>
            <w:r>
              <w:rPr>
                <w:rFonts w:hint="eastAsia" w:ascii="黑体" w:hAnsi="黑体" w:eastAsia="黑体" w:cs="宋体"/>
                <w:b w:val="0"/>
                <w:bCs w:val="0"/>
                <w:color w:val="000000"/>
                <w:kern w:val="0"/>
                <w:sz w:val="18"/>
                <w:szCs w:val="18"/>
              </w:rPr>
              <w:t>财务负责人：</w:t>
            </w:r>
          </w:p>
        </w:tc>
      </w:tr>
    </w:tbl>
    <w:p w14:paraId="2E92FE95">
      <w:pPr>
        <w:rPr>
          <w:b w:val="0"/>
          <w:bCs w:val="0"/>
          <w:lang w:bidi="ar"/>
        </w:rPr>
      </w:pPr>
    </w:p>
    <w:p w14:paraId="583D632F">
      <w:pPr>
        <w:pStyle w:val="8"/>
        <w:spacing w:line="560" w:lineRule="exact"/>
        <w:ind w:left="0" w:leftChars="0" w:firstLine="0" w:firstLineChars="0"/>
        <w:rPr>
          <w:rFonts w:ascii="Times New Roman"/>
          <w:b w:val="0"/>
          <w:bCs w:val="0"/>
          <w:sz w:val="32"/>
          <w:highlight w:val="yellow"/>
          <w:lang w:val="zh-CN"/>
        </w:rPr>
      </w:pPr>
    </w:p>
    <w:p w14:paraId="4612DFBC">
      <w:pPr>
        <w:pStyle w:val="6"/>
        <w:spacing w:before="93"/>
        <w:rPr>
          <w:rFonts w:ascii="Times New Roman" w:cs="宋体"/>
          <w:b w:val="0"/>
          <w:bCs w:val="0"/>
          <w:color w:val="FF0000"/>
          <w:sz w:val="32"/>
          <w:szCs w:val="32"/>
          <w:highlight w:val="yellow"/>
          <w:shd w:val="clear" w:color="auto" w:fill="FFFFFF"/>
          <w:lang w:val="zh-CN"/>
        </w:rPr>
      </w:pPr>
    </w:p>
    <w:p w14:paraId="5D1E0B15">
      <w:pPr>
        <w:rPr>
          <w:rFonts w:eastAsia="黑体" w:cs="黑体"/>
          <w:b w:val="0"/>
          <w:bCs w:val="0"/>
          <w:kern w:val="0"/>
          <w:sz w:val="32"/>
          <w:szCs w:val="32"/>
          <w:shd w:val="clear" w:color="auto" w:fill="FFFFFF"/>
          <w:lang w:val="zh-CN"/>
        </w:rPr>
      </w:pPr>
      <w:r>
        <w:rPr>
          <w:rFonts w:hint="eastAsia" w:eastAsia="黑体" w:cs="黑体"/>
          <w:b w:val="0"/>
          <w:bCs w:val="0"/>
          <w:kern w:val="0"/>
          <w:sz w:val="32"/>
          <w:szCs w:val="32"/>
          <w:shd w:val="clear" w:color="auto" w:fill="FFFFFF"/>
          <w:lang w:val="zh-CN"/>
        </w:rPr>
        <w:br w:type="page"/>
      </w:r>
    </w:p>
    <w:p w14:paraId="649C1206">
      <w:pPr>
        <w:widowControl/>
        <w:jc w:val="center"/>
        <w:outlineLvl w:val="0"/>
        <w:rPr>
          <w:rFonts w:eastAsia="仿宋"/>
          <w:b w:val="0"/>
          <w:bCs w:val="0"/>
        </w:rPr>
      </w:pPr>
      <w:bookmarkStart w:id="71" w:name="_Toc15396618"/>
      <w:bookmarkStart w:id="72" w:name="_Toc28470"/>
      <w:r>
        <w:rPr>
          <w:rFonts w:hint="eastAsia" w:eastAsia="黑体"/>
          <w:b w:val="0"/>
          <w:bCs w:val="0"/>
          <w:sz w:val="44"/>
          <w:szCs w:val="44"/>
        </w:rPr>
        <w:t>第</w:t>
      </w:r>
      <w:r>
        <w:rPr>
          <w:rStyle w:val="28"/>
          <w:rFonts w:hint="eastAsia" w:eastAsia="黑体"/>
          <w:b w:val="0"/>
          <w:bCs w:val="0"/>
        </w:rPr>
        <w:t>五部分 附表</w:t>
      </w:r>
      <w:bookmarkEnd w:id="70"/>
      <w:bookmarkEnd w:id="71"/>
      <w:bookmarkEnd w:id="72"/>
      <w:bookmarkStart w:id="73" w:name="_Toc15396619"/>
    </w:p>
    <w:p w14:paraId="65BCB8DD">
      <w:pPr>
        <w:spacing w:line="600" w:lineRule="exact"/>
        <w:ind w:left="630"/>
        <w:outlineLvl w:val="0"/>
        <w:rPr>
          <w:rStyle w:val="29"/>
          <w:rFonts w:ascii="Times New Roman" w:hAnsi="Times New Roman" w:eastAsia="黑体"/>
          <w:b w:val="0"/>
          <w:bCs w:val="0"/>
        </w:rPr>
      </w:pPr>
      <w:bookmarkStart w:id="74" w:name="_Toc16917"/>
      <w:r>
        <w:rPr>
          <w:rStyle w:val="29"/>
          <w:rFonts w:hint="eastAsia" w:ascii="Times New Roman" w:hAnsi="Times New Roman" w:eastAsia="黑体"/>
          <w:b w:val="0"/>
          <w:bCs w:val="0"/>
        </w:rPr>
        <w:t>一、收入支出决算总表</w:t>
      </w:r>
      <w:bookmarkEnd w:id="73"/>
      <w:bookmarkEnd w:id="74"/>
    </w:p>
    <w:p w14:paraId="140CE9FA">
      <w:pPr>
        <w:spacing w:line="600" w:lineRule="exact"/>
        <w:ind w:left="630"/>
        <w:outlineLvl w:val="0"/>
        <w:rPr>
          <w:rStyle w:val="29"/>
          <w:rFonts w:ascii="Times New Roman" w:hAnsi="Times New Roman" w:eastAsia="黑体"/>
          <w:b w:val="0"/>
          <w:bCs w:val="0"/>
        </w:rPr>
      </w:pPr>
      <w:bookmarkStart w:id="75" w:name="_Toc15396620"/>
      <w:bookmarkStart w:id="76" w:name="_Toc25063"/>
      <w:r>
        <w:rPr>
          <w:rStyle w:val="29"/>
          <w:rFonts w:hint="eastAsia" w:ascii="Times New Roman" w:hAnsi="Times New Roman" w:eastAsia="黑体"/>
          <w:b w:val="0"/>
          <w:bCs w:val="0"/>
        </w:rPr>
        <w:t>二、收入决算表</w:t>
      </w:r>
      <w:bookmarkEnd w:id="75"/>
      <w:bookmarkEnd w:id="76"/>
    </w:p>
    <w:p w14:paraId="4E78E0AE">
      <w:pPr>
        <w:spacing w:line="600" w:lineRule="exact"/>
        <w:ind w:left="630"/>
        <w:outlineLvl w:val="0"/>
        <w:rPr>
          <w:rStyle w:val="29"/>
          <w:rFonts w:ascii="Times New Roman" w:hAnsi="Times New Roman" w:eastAsia="黑体"/>
          <w:b w:val="0"/>
          <w:bCs w:val="0"/>
        </w:rPr>
      </w:pPr>
      <w:bookmarkStart w:id="77" w:name="_Toc15396621"/>
      <w:bookmarkStart w:id="78" w:name="_Toc16975"/>
      <w:r>
        <w:rPr>
          <w:rStyle w:val="29"/>
          <w:rFonts w:hint="eastAsia" w:ascii="Times New Roman" w:hAnsi="Times New Roman" w:eastAsia="黑体"/>
          <w:b w:val="0"/>
          <w:bCs w:val="0"/>
        </w:rPr>
        <w:t>三、支出决算表</w:t>
      </w:r>
      <w:bookmarkEnd w:id="77"/>
      <w:bookmarkEnd w:id="78"/>
    </w:p>
    <w:p w14:paraId="0E504A48">
      <w:pPr>
        <w:spacing w:line="600" w:lineRule="exact"/>
        <w:ind w:left="630"/>
        <w:outlineLvl w:val="0"/>
        <w:rPr>
          <w:rStyle w:val="29"/>
          <w:rFonts w:ascii="Times New Roman" w:hAnsi="Times New Roman" w:eastAsia="黑体"/>
          <w:b w:val="0"/>
          <w:bCs w:val="0"/>
        </w:rPr>
      </w:pPr>
      <w:bookmarkStart w:id="79" w:name="_Toc15396622"/>
      <w:bookmarkStart w:id="80" w:name="_Toc1517"/>
      <w:r>
        <w:rPr>
          <w:rStyle w:val="29"/>
          <w:rFonts w:hint="eastAsia" w:ascii="Times New Roman" w:hAnsi="Times New Roman" w:eastAsia="黑体"/>
          <w:b w:val="0"/>
          <w:bCs w:val="0"/>
        </w:rPr>
        <w:t>四、财政拨款收入支出决算总表</w:t>
      </w:r>
      <w:bookmarkEnd w:id="79"/>
      <w:bookmarkEnd w:id="80"/>
    </w:p>
    <w:p w14:paraId="393E622E">
      <w:pPr>
        <w:spacing w:line="600" w:lineRule="exact"/>
        <w:ind w:left="630"/>
        <w:outlineLvl w:val="0"/>
        <w:rPr>
          <w:rStyle w:val="29"/>
          <w:rFonts w:ascii="Times New Roman" w:hAnsi="Times New Roman" w:eastAsia="黑体"/>
          <w:b w:val="0"/>
          <w:bCs w:val="0"/>
        </w:rPr>
      </w:pPr>
      <w:bookmarkStart w:id="81" w:name="_Toc15396623"/>
      <w:bookmarkStart w:id="82" w:name="_Toc24387"/>
      <w:r>
        <w:rPr>
          <w:rStyle w:val="29"/>
          <w:rFonts w:hint="eastAsia" w:ascii="Times New Roman" w:hAnsi="Times New Roman" w:eastAsia="黑体"/>
          <w:b w:val="0"/>
          <w:bCs w:val="0"/>
        </w:rPr>
        <w:t>五、财政拨款支出决算明细表</w:t>
      </w:r>
      <w:bookmarkEnd w:id="81"/>
      <w:bookmarkEnd w:id="82"/>
      <w:bookmarkStart w:id="83" w:name="_Toc15396624"/>
    </w:p>
    <w:p w14:paraId="29495721">
      <w:pPr>
        <w:spacing w:line="600" w:lineRule="exact"/>
        <w:ind w:left="630"/>
        <w:outlineLvl w:val="0"/>
        <w:rPr>
          <w:rStyle w:val="29"/>
          <w:rFonts w:ascii="Times New Roman" w:hAnsi="Times New Roman" w:eastAsia="黑体"/>
          <w:b w:val="0"/>
          <w:bCs w:val="0"/>
        </w:rPr>
      </w:pPr>
      <w:bookmarkStart w:id="84" w:name="_Toc11934"/>
      <w:r>
        <w:rPr>
          <w:rStyle w:val="29"/>
          <w:rFonts w:hint="eastAsia" w:ascii="Times New Roman" w:hAnsi="Times New Roman" w:eastAsia="黑体"/>
          <w:b w:val="0"/>
          <w:bCs w:val="0"/>
        </w:rPr>
        <w:t>六、一般公共预算财政拨款支出决算表</w:t>
      </w:r>
      <w:bookmarkEnd w:id="83"/>
      <w:bookmarkEnd w:id="84"/>
    </w:p>
    <w:p w14:paraId="7DA04D59">
      <w:pPr>
        <w:spacing w:line="600" w:lineRule="exact"/>
        <w:ind w:left="630"/>
        <w:outlineLvl w:val="0"/>
        <w:rPr>
          <w:rStyle w:val="29"/>
          <w:rFonts w:ascii="Times New Roman" w:hAnsi="Times New Roman" w:eastAsia="黑体"/>
          <w:b w:val="0"/>
          <w:bCs w:val="0"/>
        </w:rPr>
      </w:pPr>
      <w:bookmarkStart w:id="85" w:name="_Toc15396625"/>
      <w:bookmarkStart w:id="86" w:name="_Toc5800"/>
      <w:r>
        <w:rPr>
          <w:rStyle w:val="29"/>
          <w:rFonts w:hint="eastAsia" w:ascii="Times New Roman" w:hAnsi="Times New Roman" w:eastAsia="黑体"/>
          <w:b w:val="0"/>
          <w:bCs w:val="0"/>
        </w:rPr>
        <w:t>七、一般公共预算财政拨款支出决算明细表</w:t>
      </w:r>
      <w:bookmarkEnd w:id="85"/>
      <w:bookmarkEnd w:id="86"/>
    </w:p>
    <w:p w14:paraId="09C450A9">
      <w:pPr>
        <w:spacing w:line="600" w:lineRule="exact"/>
        <w:ind w:left="630"/>
        <w:outlineLvl w:val="0"/>
        <w:rPr>
          <w:rStyle w:val="29"/>
          <w:rFonts w:ascii="Times New Roman" w:hAnsi="Times New Roman" w:eastAsia="黑体"/>
          <w:b w:val="0"/>
          <w:bCs w:val="0"/>
        </w:rPr>
      </w:pPr>
      <w:bookmarkStart w:id="87" w:name="_Toc15396626"/>
      <w:bookmarkStart w:id="88" w:name="_Toc25514"/>
      <w:r>
        <w:rPr>
          <w:rStyle w:val="29"/>
          <w:rFonts w:hint="eastAsia" w:ascii="Times New Roman" w:hAnsi="Times New Roman" w:eastAsia="黑体"/>
          <w:b w:val="0"/>
          <w:bCs w:val="0"/>
        </w:rPr>
        <w:t>八、一般公共预算财政拨款基本支出决算表</w:t>
      </w:r>
      <w:bookmarkEnd w:id="87"/>
      <w:bookmarkEnd w:id="88"/>
    </w:p>
    <w:p w14:paraId="4B572AA7">
      <w:pPr>
        <w:spacing w:line="600" w:lineRule="exact"/>
        <w:ind w:left="630"/>
        <w:outlineLvl w:val="0"/>
        <w:rPr>
          <w:rStyle w:val="29"/>
          <w:rFonts w:ascii="Times New Roman" w:hAnsi="Times New Roman" w:eastAsia="黑体"/>
          <w:b w:val="0"/>
          <w:bCs w:val="0"/>
        </w:rPr>
      </w:pPr>
      <w:bookmarkStart w:id="89" w:name="_Toc15396627"/>
      <w:bookmarkStart w:id="90" w:name="_Toc5879"/>
      <w:r>
        <w:rPr>
          <w:rStyle w:val="29"/>
          <w:rFonts w:hint="eastAsia" w:ascii="Times New Roman" w:hAnsi="Times New Roman" w:eastAsia="黑体"/>
          <w:b w:val="0"/>
          <w:bCs w:val="0"/>
        </w:rPr>
        <w:t>九、一般公共预算财政拨款项目支出决算表</w:t>
      </w:r>
      <w:bookmarkEnd w:id="89"/>
      <w:bookmarkEnd w:id="90"/>
    </w:p>
    <w:p w14:paraId="6A0C188A">
      <w:pPr>
        <w:spacing w:line="600" w:lineRule="exact"/>
        <w:ind w:left="630"/>
        <w:outlineLvl w:val="0"/>
        <w:rPr>
          <w:rStyle w:val="29"/>
          <w:rFonts w:ascii="Times New Roman" w:hAnsi="Times New Roman" w:eastAsia="黑体"/>
          <w:b w:val="0"/>
          <w:bCs w:val="0"/>
        </w:rPr>
      </w:pPr>
      <w:bookmarkStart w:id="91" w:name="_Toc15396628"/>
      <w:bookmarkStart w:id="92" w:name="_Toc28931"/>
      <w:r>
        <w:rPr>
          <w:rStyle w:val="29"/>
          <w:rFonts w:hint="eastAsia" w:ascii="Times New Roman" w:hAnsi="Times New Roman" w:eastAsia="黑体"/>
          <w:b w:val="0"/>
          <w:bCs w:val="0"/>
        </w:rPr>
        <w:t>十、</w:t>
      </w:r>
      <w:bookmarkEnd w:id="91"/>
      <w:r>
        <w:rPr>
          <w:rStyle w:val="29"/>
          <w:rFonts w:hint="eastAsia" w:ascii="Times New Roman" w:hAnsi="Times New Roman" w:eastAsia="黑体"/>
          <w:b w:val="0"/>
          <w:bCs w:val="0"/>
        </w:rPr>
        <w:t>政府性基金预算财政拨款收入支出决算表</w:t>
      </w:r>
      <w:bookmarkEnd w:id="92"/>
    </w:p>
    <w:p w14:paraId="6D165819">
      <w:pPr>
        <w:spacing w:line="600" w:lineRule="exact"/>
        <w:ind w:left="630"/>
        <w:outlineLvl w:val="0"/>
        <w:rPr>
          <w:rStyle w:val="29"/>
          <w:rFonts w:ascii="Times New Roman" w:hAnsi="Times New Roman" w:eastAsia="黑体"/>
          <w:b w:val="0"/>
          <w:bCs w:val="0"/>
        </w:rPr>
      </w:pPr>
      <w:bookmarkStart w:id="93" w:name="_Toc15396629"/>
      <w:bookmarkStart w:id="94" w:name="_Toc32308"/>
      <w:r>
        <w:rPr>
          <w:rStyle w:val="29"/>
          <w:rFonts w:hint="eastAsia" w:ascii="Times New Roman" w:hAnsi="Times New Roman" w:eastAsia="黑体"/>
          <w:b w:val="0"/>
          <w:bCs w:val="0"/>
        </w:rPr>
        <w:t>十一、</w:t>
      </w:r>
      <w:bookmarkEnd w:id="93"/>
      <w:r>
        <w:rPr>
          <w:rStyle w:val="29"/>
          <w:rFonts w:hint="eastAsia" w:ascii="Times New Roman" w:hAnsi="Times New Roman" w:eastAsia="黑体"/>
          <w:b w:val="0"/>
          <w:bCs w:val="0"/>
        </w:rPr>
        <w:t>国有资本经营预算财政拨款收入支出决算表</w:t>
      </w:r>
      <w:bookmarkEnd w:id="94"/>
    </w:p>
    <w:p w14:paraId="0D3E9B7D">
      <w:pPr>
        <w:spacing w:line="600" w:lineRule="exact"/>
        <w:ind w:left="630"/>
        <w:outlineLvl w:val="0"/>
        <w:rPr>
          <w:rStyle w:val="29"/>
          <w:rFonts w:ascii="Times New Roman" w:hAnsi="Times New Roman" w:eastAsia="黑体"/>
          <w:b w:val="0"/>
          <w:bCs w:val="0"/>
        </w:rPr>
      </w:pPr>
      <w:bookmarkStart w:id="95" w:name="_Toc15396630"/>
      <w:bookmarkStart w:id="96" w:name="_Toc24342"/>
      <w:r>
        <w:rPr>
          <w:rStyle w:val="29"/>
          <w:rFonts w:hint="eastAsia" w:ascii="Times New Roman" w:hAnsi="Times New Roman" w:eastAsia="黑体"/>
          <w:b w:val="0"/>
          <w:bCs w:val="0"/>
        </w:rPr>
        <w:t>十二、</w:t>
      </w:r>
      <w:bookmarkEnd w:id="95"/>
      <w:r>
        <w:rPr>
          <w:rStyle w:val="29"/>
          <w:rFonts w:hint="eastAsia" w:ascii="Times New Roman" w:hAnsi="Times New Roman" w:eastAsia="黑体"/>
          <w:b w:val="0"/>
          <w:bCs w:val="0"/>
        </w:rPr>
        <w:t>国有资本经营预算财政拨款支出决算表</w:t>
      </w:r>
      <w:bookmarkEnd w:id="96"/>
    </w:p>
    <w:p w14:paraId="35DFCD2C">
      <w:pPr>
        <w:spacing w:line="600" w:lineRule="exact"/>
        <w:ind w:left="630"/>
        <w:outlineLvl w:val="0"/>
        <w:rPr>
          <w:rStyle w:val="29"/>
          <w:rFonts w:ascii="Times New Roman" w:hAnsi="Times New Roman" w:eastAsia="黑体"/>
          <w:b w:val="0"/>
          <w:bCs w:val="0"/>
        </w:rPr>
      </w:pPr>
      <w:bookmarkStart w:id="97" w:name="_Toc15396631"/>
      <w:bookmarkStart w:id="98" w:name="_Toc21443"/>
      <w:r>
        <w:rPr>
          <w:rStyle w:val="29"/>
          <w:rFonts w:hint="eastAsia" w:ascii="Times New Roman" w:hAnsi="Times New Roman" w:eastAsia="黑体"/>
          <w:b w:val="0"/>
          <w:bCs w:val="0"/>
        </w:rPr>
        <w:t>十三、</w:t>
      </w:r>
      <w:bookmarkEnd w:id="97"/>
      <w:r>
        <w:rPr>
          <w:rStyle w:val="29"/>
          <w:rFonts w:hint="eastAsia" w:ascii="Times New Roman" w:hAnsi="Times New Roman" w:eastAsia="黑体"/>
          <w:b w:val="0"/>
          <w:bCs w:val="0"/>
        </w:rPr>
        <w:t>财政拨款“三公”经费支出决算表</w:t>
      </w:r>
      <w:bookmarkEnd w:id="98"/>
    </w:p>
    <w:p w14:paraId="65CEE4C1">
      <w:pPr>
        <w:rPr>
          <w:b w:val="0"/>
          <w:bCs w:val="0"/>
        </w:rPr>
      </w:pPr>
    </w:p>
    <w:sectPr>
      <w:footerReference r:id="rId10" w:type="first"/>
      <w:footerReference r:id="rId9"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Segoe Print"/>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2D9475">
    <w:pPr>
      <w:pStyle w:val="11"/>
      <w:jc w:val="center"/>
    </w:pPr>
  </w:p>
  <w:p w14:paraId="20A53B53">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97E1CD">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CC426D">
    <w:pPr>
      <w:pStyle w:val="1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7A715A">
    <w:pPr>
      <w:pStyle w:val="11"/>
      <w:jc w:val="center"/>
    </w:pPr>
    <w:r>
      <mc:AlternateContent>
        <mc:Choice Requires="wps">
          <w:drawing>
            <wp:anchor distT="0" distB="0" distL="114300" distR="114300" simplePos="0" relativeHeight="251659264" behindDoc="0" locked="0" layoutInCell="1" allowOverlap="1">
              <wp:simplePos x="0" y="0"/>
              <wp:positionH relativeFrom="margin">
                <wp:posOffset>2604770</wp:posOffset>
              </wp:positionH>
              <wp:positionV relativeFrom="paragraph">
                <wp:posOffset>-1270</wp:posOffset>
              </wp:positionV>
              <wp:extent cx="223520" cy="190500"/>
              <wp:effectExtent l="0" t="0" r="5080" b="0"/>
              <wp:wrapNone/>
              <wp:docPr id="1" name="文本框 1"/>
              <wp:cNvGraphicFramePr/>
              <a:graphic xmlns:a="http://schemas.openxmlformats.org/drawingml/2006/main">
                <a:graphicData uri="http://schemas.microsoft.com/office/word/2010/wordprocessingShape">
                  <wps:wsp>
                    <wps:cNvSpPr txBox="1"/>
                    <wps:spPr>
                      <a:xfrm>
                        <a:off x="0" y="0"/>
                        <a:ext cx="223837" cy="1905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B40D596">
                          <w:pPr>
                            <w:pStyle w:val="11"/>
                          </w:pPr>
                          <w:r>
                            <w:fldChar w:fldCharType="begin"/>
                          </w:r>
                          <w:r>
                            <w:instrText xml:space="preserve"> PAGE  \* MERGEFORMAT </w:instrText>
                          </w:r>
                          <w:r>
                            <w:fldChar w:fldCharType="separate"/>
                          </w:r>
                          <w:r>
                            <w:t>- 2 -</w:t>
                          </w:r>
                          <w: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205.1pt;margin-top:-0.1pt;height:15pt;width:17.6pt;mso-position-horizontal-relative:margin;z-index:251659264;mso-width-relative:page;mso-height-relative:page;" filled="f" stroked="f" coordsize="21600,21600" o:gfxdata="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M3HqpLXAAAACAEAAA8AAAAAAAAAAQAgAAAAIgAAAGRycy9kb3ducmV2LnhtbFBL&#10;AQIUABQAAAAIAIdO4kBMUPXCMAIAAFUEAAAOAAAAAAAAAAEAIAAAACYBAABkcnMvZTJvRG9jLnht&#10;bFBLBQYAAAAABgAGAFkBAADIBQAAAAA=&#10;">
              <v:fill on="f" focussize="0,0"/>
              <v:stroke on="f" weight="0.5pt"/>
              <v:imagedata o:title=""/>
              <o:lock v:ext="edit" aspectratio="f"/>
              <v:textbox inset="0mm,0mm,0mm,0mm">
                <w:txbxContent>
                  <w:p w14:paraId="3B40D596">
                    <w:pPr>
                      <w:pStyle w:val="11"/>
                    </w:pPr>
                    <w:r>
                      <w:fldChar w:fldCharType="begin"/>
                    </w:r>
                    <w:r>
                      <w:instrText xml:space="preserve"> PAGE  \* MERGEFORMAT </w:instrText>
                    </w:r>
                    <w:r>
                      <w:fldChar w:fldCharType="separate"/>
                    </w:r>
                    <w:r>
                      <w:t>- 2 -</w:t>
                    </w:r>
                    <w:r>
                      <w:fldChar w:fldCharType="end"/>
                    </w:r>
                  </w:p>
                </w:txbxContent>
              </v:textbox>
            </v:shape>
          </w:pict>
        </mc:Fallback>
      </mc:AlternateContent>
    </w:r>
  </w:p>
  <w:p w14:paraId="555B742B">
    <w:pPr>
      <w:pStyle w:val="11"/>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58AC2A">
    <w:pPr>
      <w:pStyle w:val="11"/>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15981D">
                          <w:pPr>
                            <w:pStyle w:val="11"/>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2615981D">
                    <w:pPr>
                      <w:pStyle w:val="11"/>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1162BF">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E8D737">
    <w:pPr>
      <w:pStyle w:val="1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FBC402">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A1252A8"/>
    <w:multiLevelType w:val="singleLevel"/>
    <w:tmpl w:val="CA1252A8"/>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361C"/>
    <w:rsid w:val="000222C6"/>
    <w:rsid w:val="0002549F"/>
    <w:rsid w:val="00026BAD"/>
    <w:rsid w:val="00040801"/>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D6AA0"/>
    <w:rsid w:val="000E6613"/>
    <w:rsid w:val="000E7119"/>
    <w:rsid w:val="00112815"/>
    <w:rsid w:val="00114893"/>
    <w:rsid w:val="00114E9B"/>
    <w:rsid w:val="00123BA6"/>
    <w:rsid w:val="00142216"/>
    <w:rsid w:val="00144D6A"/>
    <w:rsid w:val="0014729F"/>
    <w:rsid w:val="00157BAB"/>
    <w:rsid w:val="001654D1"/>
    <w:rsid w:val="00174518"/>
    <w:rsid w:val="0018106D"/>
    <w:rsid w:val="001877A7"/>
    <w:rsid w:val="00191536"/>
    <w:rsid w:val="00196687"/>
    <w:rsid w:val="001C0962"/>
    <w:rsid w:val="001D7476"/>
    <w:rsid w:val="001D7531"/>
    <w:rsid w:val="001E737D"/>
    <w:rsid w:val="001F0592"/>
    <w:rsid w:val="001F11B0"/>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B309D"/>
    <w:rsid w:val="002D6D05"/>
    <w:rsid w:val="002F1818"/>
    <w:rsid w:val="002F567B"/>
    <w:rsid w:val="003216A9"/>
    <w:rsid w:val="00335A74"/>
    <w:rsid w:val="0034412D"/>
    <w:rsid w:val="0035505C"/>
    <w:rsid w:val="003568F4"/>
    <w:rsid w:val="0036561B"/>
    <w:rsid w:val="0037013F"/>
    <w:rsid w:val="00380C92"/>
    <w:rsid w:val="003A484F"/>
    <w:rsid w:val="003A4883"/>
    <w:rsid w:val="003B0BE0"/>
    <w:rsid w:val="003B0C1B"/>
    <w:rsid w:val="003B688C"/>
    <w:rsid w:val="003C0291"/>
    <w:rsid w:val="003C31CA"/>
    <w:rsid w:val="003C39AE"/>
    <w:rsid w:val="003C6EF0"/>
    <w:rsid w:val="003C7B60"/>
    <w:rsid w:val="003D0C0F"/>
    <w:rsid w:val="003D1FB2"/>
    <w:rsid w:val="003D26C3"/>
    <w:rsid w:val="003D66DA"/>
    <w:rsid w:val="003E1310"/>
    <w:rsid w:val="003E6F55"/>
    <w:rsid w:val="003F5C70"/>
    <w:rsid w:val="00406254"/>
    <w:rsid w:val="004223DE"/>
    <w:rsid w:val="00422FDF"/>
    <w:rsid w:val="00434489"/>
    <w:rsid w:val="00437085"/>
    <w:rsid w:val="00443880"/>
    <w:rsid w:val="004464F4"/>
    <w:rsid w:val="00471401"/>
    <w:rsid w:val="00473F31"/>
    <w:rsid w:val="0048263A"/>
    <w:rsid w:val="00487E5D"/>
    <w:rsid w:val="004A1AB8"/>
    <w:rsid w:val="004A711F"/>
    <w:rsid w:val="004B199D"/>
    <w:rsid w:val="004B4690"/>
    <w:rsid w:val="004E0A2D"/>
    <w:rsid w:val="004E206B"/>
    <w:rsid w:val="004E6DF7"/>
    <w:rsid w:val="004F0FBD"/>
    <w:rsid w:val="004F1FF6"/>
    <w:rsid w:val="00505A47"/>
    <w:rsid w:val="00512FDA"/>
    <w:rsid w:val="005160C4"/>
    <w:rsid w:val="00520DA0"/>
    <w:rsid w:val="005664BB"/>
    <w:rsid w:val="00566FFA"/>
    <w:rsid w:val="0057481D"/>
    <w:rsid w:val="0058486E"/>
    <w:rsid w:val="00585337"/>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24AAC"/>
    <w:rsid w:val="0063056C"/>
    <w:rsid w:val="00630AEF"/>
    <w:rsid w:val="006325F8"/>
    <w:rsid w:val="00633463"/>
    <w:rsid w:val="00634C9A"/>
    <w:rsid w:val="006440E4"/>
    <w:rsid w:val="0066343B"/>
    <w:rsid w:val="00664777"/>
    <w:rsid w:val="006748A4"/>
    <w:rsid w:val="00677D9B"/>
    <w:rsid w:val="00681A31"/>
    <w:rsid w:val="00683E73"/>
    <w:rsid w:val="006A3141"/>
    <w:rsid w:val="006A5E34"/>
    <w:rsid w:val="006B2422"/>
    <w:rsid w:val="006B2B9A"/>
    <w:rsid w:val="006C1937"/>
    <w:rsid w:val="006F020C"/>
    <w:rsid w:val="007127B7"/>
    <w:rsid w:val="0071798E"/>
    <w:rsid w:val="007248FE"/>
    <w:rsid w:val="007416B6"/>
    <w:rsid w:val="00746F48"/>
    <w:rsid w:val="0075404D"/>
    <w:rsid w:val="0076182A"/>
    <w:rsid w:val="00767B7E"/>
    <w:rsid w:val="007770C3"/>
    <w:rsid w:val="00784D24"/>
    <w:rsid w:val="00785FBA"/>
    <w:rsid w:val="00786E4A"/>
    <w:rsid w:val="007875EB"/>
    <w:rsid w:val="0079426B"/>
    <w:rsid w:val="00796404"/>
    <w:rsid w:val="007D1682"/>
    <w:rsid w:val="007D312A"/>
    <w:rsid w:val="007D3F19"/>
    <w:rsid w:val="007E23B0"/>
    <w:rsid w:val="007E23E5"/>
    <w:rsid w:val="007E563B"/>
    <w:rsid w:val="007E75D0"/>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264D"/>
    <w:rsid w:val="00885AF4"/>
    <w:rsid w:val="008939CD"/>
    <w:rsid w:val="008B768C"/>
    <w:rsid w:val="008C1281"/>
    <w:rsid w:val="008C4DB1"/>
    <w:rsid w:val="008C4EAF"/>
    <w:rsid w:val="008C5176"/>
    <w:rsid w:val="008C7FD0"/>
    <w:rsid w:val="008E1DE7"/>
    <w:rsid w:val="008E38C0"/>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D6FD1"/>
    <w:rsid w:val="009F1185"/>
    <w:rsid w:val="009F18CD"/>
    <w:rsid w:val="009F2A13"/>
    <w:rsid w:val="009F7527"/>
    <w:rsid w:val="00A04EB0"/>
    <w:rsid w:val="00A07DEF"/>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87C9F"/>
    <w:rsid w:val="00A91760"/>
    <w:rsid w:val="00A93B00"/>
    <w:rsid w:val="00A93C21"/>
    <w:rsid w:val="00AA5B7C"/>
    <w:rsid w:val="00AB64C9"/>
    <w:rsid w:val="00AC3C6A"/>
    <w:rsid w:val="00AD5620"/>
    <w:rsid w:val="00AD656B"/>
    <w:rsid w:val="00AD7C1B"/>
    <w:rsid w:val="00AE16BA"/>
    <w:rsid w:val="00AE1EBE"/>
    <w:rsid w:val="00AF03C2"/>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61978"/>
    <w:rsid w:val="00B77EA6"/>
    <w:rsid w:val="00B81598"/>
    <w:rsid w:val="00B841F1"/>
    <w:rsid w:val="00B944D6"/>
    <w:rsid w:val="00BB4DF0"/>
    <w:rsid w:val="00BC289F"/>
    <w:rsid w:val="00BC2D50"/>
    <w:rsid w:val="00BC5361"/>
    <w:rsid w:val="00BC5460"/>
    <w:rsid w:val="00BC6B50"/>
    <w:rsid w:val="00BD0E25"/>
    <w:rsid w:val="00BE5C02"/>
    <w:rsid w:val="00BF5BD6"/>
    <w:rsid w:val="00C03E31"/>
    <w:rsid w:val="00C33E72"/>
    <w:rsid w:val="00C354B2"/>
    <w:rsid w:val="00C35554"/>
    <w:rsid w:val="00C42709"/>
    <w:rsid w:val="00C533CC"/>
    <w:rsid w:val="00C5751C"/>
    <w:rsid w:val="00C61BFC"/>
    <w:rsid w:val="00C62B85"/>
    <w:rsid w:val="00C65438"/>
    <w:rsid w:val="00C87FD8"/>
    <w:rsid w:val="00C91381"/>
    <w:rsid w:val="00C9187C"/>
    <w:rsid w:val="00C91CBB"/>
    <w:rsid w:val="00C94B95"/>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516AD"/>
    <w:rsid w:val="00D7035F"/>
    <w:rsid w:val="00D748DE"/>
    <w:rsid w:val="00D8706E"/>
    <w:rsid w:val="00D95419"/>
    <w:rsid w:val="00DA3172"/>
    <w:rsid w:val="00DA634F"/>
    <w:rsid w:val="00DA65AC"/>
    <w:rsid w:val="00DB1913"/>
    <w:rsid w:val="00DC410D"/>
    <w:rsid w:val="00DC5A81"/>
    <w:rsid w:val="00DC68CA"/>
    <w:rsid w:val="00DC7CBA"/>
    <w:rsid w:val="00DD73B7"/>
    <w:rsid w:val="00DF28BC"/>
    <w:rsid w:val="00DF34B9"/>
    <w:rsid w:val="00DF703B"/>
    <w:rsid w:val="00E01053"/>
    <w:rsid w:val="00E07ACF"/>
    <w:rsid w:val="00E304D4"/>
    <w:rsid w:val="00E331A1"/>
    <w:rsid w:val="00E33202"/>
    <w:rsid w:val="00E336A9"/>
    <w:rsid w:val="00E41F87"/>
    <w:rsid w:val="00E472B1"/>
    <w:rsid w:val="00E50624"/>
    <w:rsid w:val="00E54633"/>
    <w:rsid w:val="00E568DF"/>
    <w:rsid w:val="00E64269"/>
    <w:rsid w:val="00E82267"/>
    <w:rsid w:val="00E853CE"/>
    <w:rsid w:val="00E867B6"/>
    <w:rsid w:val="00E902F9"/>
    <w:rsid w:val="00EA010F"/>
    <w:rsid w:val="00EB7BEA"/>
    <w:rsid w:val="00EC4A59"/>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38A9"/>
    <w:rsid w:val="00F36D8F"/>
    <w:rsid w:val="00F417B1"/>
    <w:rsid w:val="00F45853"/>
    <w:rsid w:val="00F602DF"/>
    <w:rsid w:val="00F6257B"/>
    <w:rsid w:val="00F754A1"/>
    <w:rsid w:val="00F81FD9"/>
    <w:rsid w:val="00F841AA"/>
    <w:rsid w:val="00F84A94"/>
    <w:rsid w:val="00F87E96"/>
    <w:rsid w:val="00FA23E8"/>
    <w:rsid w:val="00FD3CC1"/>
    <w:rsid w:val="00FD3ED9"/>
    <w:rsid w:val="00FF1E02"/>
    <w:rsid w:val="00FF30B4"/>
    <w:rsid w:val="012A5EC2"/>
    <w:rsid w:val="015975B8"/>
    <w:rsid w:val="02FEBE30"/>
    <w:rsid w:val="04916F1E"/>
    <w:rsid w:val="061E35DE"/>
    <w:rsid w:val="066E0107"/>
    <w:rsid w:val="07996F6E"/>
    <w:rsid w:val="07DFD8BA"/>
    <w:rsid w:val="0939146E"/>
    <w:rsid w:val="09867E8F"/>
    <w:rsid w:val="0A2032A3"/>
    <w:rsid w:val="0CA8290A"/>
    <w:rsid w:val="0D1E7195"/>
    <w:rsid w:val="0D35B1ED"/>
    <w:rsid w:val="0E254B6B"/>
    <w:rsid w:val="0F98263C"/>
    <w:rsid w:val="101860EC"/>
    <w:rsid w:val="101F47CC"/>
    <w:rsid w:val="10C055FF"/>
    <w:rsid w:val="11694EBD"/>
    <w:rsid w:val="11772AA4"/>
    <w:rsid w:val="118107EC"/>
    <w:rsid w:val="12E24EE2"/>
    <w:rsid w:val="13D50BC4"/>
    <w:rsid w:val="14B17F78"/>
    <w:rsid w:val="15E33EE6"/>
    <w:rsid w:val="165E0673"/>
    <w:rsid w:val="16B831D5"/>
    <w:rsid w:val="16BB723D"/>
    <w:rsid w:val="17E50567"/>
    <w:rsid w:val="186504BB"/>
    <w:rsid w:val="19A445FC"/>
    <w:rsid w:val="1BE8440E"/>
    <w:rsid w:val="1D155CEE"/>
    <w:rsid w:val="1D1638FE"/>
    <w:rsid w:val="1E312DEB"/>
    <w:rsid w:val="1E740ACF"/>
    <w:rsid w:val="1F5A4C05"/>
    <w:rsid w:val="1FF35744"/>
    <w:rsid w:val="1FF6BC77"/>
    <w:rsid w:val="2186353C"/>
    <w:rsid w:val="23860B96"/>
    <w:rsid w:val="240371BF"/>
    <w:rsid w:val="244F3473"/>
    <w:rsid w:val="24C97D99"/>
    <w:rsid w:val="25A718F0"/>
    <w:rsid w:val="25BB59F6"/>
    <w:rsid w:val="260F557C"/>
    <w:rsid w:val="26970054"/>
    <w:rsid w:val="281408E2"/>
    <w:rsid w:val="29FD04D3"/>
    <w:rsid w:val="2BE97B86"/>
    <w:rsid w:val="2BFF7BC6"/>
    <w:rsid w:val="2C8A61B5"/>
    <w:rsid w:val="2DC773DC"/>
    <w:rsid w:val="2DF04E50"/>
    <w:rsid w:val="2E586DFA"/>
    <w:rsid w:val="2F040D46"/>
    <w:rsid w:val="2F6B035B"/>
    <w:rsid w:val="2FAE5751"/>
    <w:rsid w:val="2FB1A395"/>
    <w:rsid w:val="2FD9A7D8"/>
    <w:rsid w:val="2FDBF714"/>
    <w:rsid w:val="30AB6865"/>
    <w:rsid w:val="31750675"/>
    <w:rsid w:val="319F7F4E"/>
    <w:rsid w:val="32BD1EF1"/>
    <w:rsid w:val="3304709D"/>
    <w:rsid w:val="33A773CB"/>
    <w:rsid w:val="349D6851"/>
    <w:rsid w:val="36AA5135"/>
    <w:rsid w:val="36BE0DA7"/>
    <w:rsid w:val="376B6AA6"/>
    <w:rsid w:val="376D39B2"/>
    <w:rsid w:val="37E16F03"/>
    <w:rsid w:val="37F53A3B"/>
    <w:rsid w:val="389B6C89"/>
    <w:rsid w:val="38D469F0"/>
    <w:rsid w:val="39627CCD"/>
    <w:rsid w:val="397BAF1F"/>
    <w:rsid w:val="3A02255D"/>
    <w:rsid w:val="3AB79AF3"/>
    <w:rsid w:val="3AE834C0"/>
    <w:rsid w:val="3B7EF35A"/>
    <w:rsid w:val="3B9FDB6C"/>
    <w:rsid w:val="3BF5BC2F"/>
    <w:rsid w:val="3CEBA265"/>
    <w:rsid w:val="3D98207C"/>
    <w:rsid w:val="3DEE7CF3"/>
    <w:rsid w:val="3E577856"/>
    <w:rsid w:val="3E740A63"/>
    <w:rsid w:val="3E78745D"/>
    <w:rsid w:val="3EE17838"/>
    <w:rsid w:val="3F55381A"/>
    <w:rsid w:val="3F7F7599"/>
    <w:rsid w:val="3FF4CAE0"/>
    <w:rsid w:val="3FF7B227"/>
    <w:rsid w:val="44E268DA"/>
    <w:rsid w:val="450D13D7"/>
    <w:rsid w:val="45506656"/>
    <w:rsid w:val="471272CE"/>
    <w:rsid w:val="486A6C7A"/>
    <w:rsid w:val="4A627F82"/>
    <w:rsid w:val="4B0E749A"/>
    <w:rsid w:val="4B2477C4"/>
    <w:rsid w:val="4B4F25DA"/>
    <w:rsid w:val="4BE068DB"/>
    <w:rsid w:val="4D577224"/>
    <w:rsid w:val="4DBF1CEB"/>
    <w:rsid w:val="4DF0007C"/>
    <w:rsid w:val="4E1849AB"/>
    <w:rsid w:val="4EAB630A"/>
    <w:rsid w:val="4ECC7F56"/>
    <w:rsid w:val="4ECE2238"/>
    <w:rsid w:val="4F833267"/>
    <w:rsid w:val="4FE9BD67"/>
    <w:rsid w:val="4FFB052F"/>
    <w:rsid w:val="537E6D0A"/>
    <w:rsid w:val="53F74C96"/>
    <w:rsid w:val="543043D0"/>
    <w:rsid w:val="55170BA8"/>
    <w:rsid w:val="553218C9"/>
    <w:rsid w:val="567E1AA5"/>
    <w:rsid w:val="56E47B74"/>
    <w:rsid w:val="57175D52"/>
    <w:rsid w:val="57BD3DD4"/>
    <w:rsid w:val="5A7929D1"/>
    <w:rsid w:val="5AF92295"/>
    <w:rsid w:val="5B250254"/>
    <w:rsid w:val="5BDD79E6"/>
    <w:rsid w:val="5BF561CA"/>
    <w:rsid w:val="5BFF5DFC"/>
    <w:rsid w:val="5CD71FC4"/>
    <w:rsid w:val="5D1F11B5"/>
    <w:rsid w:val="5D695134"/>
    <w:rsid w:val="5DAE1B18"/>
    <w:rsid w:val="5DE7D9E5"/>
    <w:rsid w:val="5ECEC941"/>
    <w:rsid w:val="5FBF9FF3"/>
    <w:rsid w:val="5FCD4E2C"/>
    <w:rsid w:val="5FEF394A"/>
    <w:rsid w:val="5FF67715"/>
    <w:rsid w:val="61446B4C"/>
    <w:rsid w:val="615800BD"/>
    <w:rsid w:val="62BF3928"/>
    <w:rsid w:val="63B3701E"/>
    <w:rsid w:val="647F5392"/>
    <w:rsid w:val="65E66580"/>
    <w:rsid w:val="664B1D71"/>
    <w:rsid w:val="664B4E8E"/>
    <w:rsid w:val="67277B67"/>
    <w:rsid w:val="67AA3209"/>
    <w:rsid w:val="698D0931"/>
    <w:rsid w:val="6A30770B"/>
    <w:rsid w:val="6A7FE5F3"/>
    <w:rsid w:val="6B053271"/>
    <w:rsid w:val="6BDD78B3"/>
    <w:rsid w:val="6C4A05C8"/>
    <w:rsid w:val="6C8742B8"/>
    <w:rsid w:val="6D9E6B0A"/>
    <w:rsid w:val="6DBF5E93"/>
    <w:rsid w:val="6DFF077E"/>
    <w:rsid w:val="6E714EF0"/>
    <w:rsid w:val="6E7E3605"/>
    <w:rsid w:val="6E7FDCC7"/>
    <w:rsid w:val="6ED6A62E"/>
    <w:rsid w:val="6EE00B15"/>
    <w:rsid w:val="6F6FB3EB"/>
    <w:rsid w:val="6F8731EA"/>
    <w:rsid w:val="6FCE6052"/>
    <w:rsid w:val="6FD57C00"/>
    <w:rsid w:val="6FEFFFD8"/>
    <w:rsid w:val="6FF5CC65"/>
    <w:rsid w:val="6FFB47EC"/>
    <w:rsid w:val="6FFF034A"/>
    <w:rsid w:val="70484440"/>
    <w:rsid w:val="712A28F1"/>
    <w:rsid w:val="715C0E4B"/>
    <w:rsid w:val="71992E7C"/>
    <w:rsid w:val="72233669"/>
    <w:rsid w:val="72734D90"/>
    <w:rsid w:val="72FD4D8A"/>
    <w:rsid w:val="73160E6D"/>
    <w:rsid w:val="7332FE48"/>
    <w:rsid w:val="73AB61DA"/>
    <w:rsid w:val="73AD73D5"/>
    <w:rsid w:val="73B6EB34"/>
    <w:rsid w:val="73FA497D"/>
    <w:rsid w:val="744731E5"/>
    <w:rsid w:val="74BBD01D"/>
    <w:rsid w:val="74ED5379"/>
    <w:rsid w:val="75DEEEC2"/>
    <w:rsid w:val="75E32345"/>
    <w:rsid w:val="75E706DE"/>
    <w:rsid w:val="76E3355F"/>
    <w:rsid w:val="76FF5125"/>
    <w:rsid w:val="776F6FFA"/>
    <w:rsid w:val="778769C8"/>
    <w:rsid w:val="77A75DCA"/>
    <w:rsid w:val="77DC22F5"/>
    <w:rsid w:val="783E271A"/>
    <w:rsid w:val="78616DE9"/>
    <w:rsid w:val="78E875D7"/>
    <w:rsid w:val="79086DAD"/>
    <w:rsid w:val="79C87A4B"/>
    <w:rsid w:val="79D7FD79"/>
    <w:rsid w:val="79EE5BA4"/>
    <w:rsid w:val="7A894339"/>
    <w:rsid w:val="7AD284E8"/>
    <w:rsid w:val="7AEC3CD4"/>
    <w:rsid w:val="7AFF7572"/>
    <w:rsid w:val="7B6C7DFB"/>
    <w:rsid w:val="7BBFBED0"/>
    <w:rsid w:val="7BC3E394"/>
    <w:rsid w:val="7C1F3737"/>
    <w:rsid w:val="7CBFC87B"/>
    <w:rsid w:val="7CFE0F48"/>
    <w:rsid w:val="7D272ABC"/>
    <w:rsid w:val="7D7EC23E"/>
    <w:rsid w:val="7E8ADEBF"/>
    <w:rsid w:val="7EEF11D3"/>
    <w:rsid w:val="7EFE4840"/>
    <w:rsid w:val="7F0971A6"/>
    <w:rsid w:val="7F1D62E7"/>
    <w:rsid w:val="7F3F679B"/>
    <w:rsid w:val="7F4FC4EF"/>
    <w:rsid w:val="7F5E4D54"/>
    <w:rsid w:val="7F6E0135"/>
    <w:rsid w:val="7F79F205"/>
    <w:rsid w:val="7FA30C79"/>
    <w:rsid w:val="7FA79C44"/>
    <w:rsid w:val="7FAF8ABF"/>
    <w:rsid w:val="7FB7269E"/>
    <w:rsid w:val="7FC96657"/>
    <w:rsid w:val="7FDA9588"/>
    <w:rsid w:val="7FDF220F"/>
    <w:rsid w:val="7FEDC5F7"/>
    <w:rsid w:val="7FEDD9DE"/>
    <w:rsid w:val="7FF5890D"/>
    <w:rsid w:val="7FF93490"/>
    <w:rsid w:val="99FF2014"/>
    <w:rsid w:val="A6DD0D7F"/>
    <w:rsid w:val="ACFF4FBB"/>
    <w:rsid w:val="ADC6F725"/>
    <w:rsid w:val="B7CF06AB"/>
    <w:rsid w:val="B7CFA926"/>
    <w:rsid w:val="B7F8786B"/>
    <w:rsid w:val="BABB6AA1"/>
    <w:rsid w:val="BB2F4199"/>
    <w:rsid w:val="BCFFB442"/>
    <w:rsid w:val="BD079C78"/>
    <w:rsid w:val="BD733540"/>
    <w:rsid w:val="BF3735D5"/>
    <w:rsid w:val="BF7F09AC"/>
    <w:rsid w:val="BFD475C3"/>
    <w:rsid w:val="BFDE5EA6"/>
    <w:rsid w:val="CF6FC6F3"/>
    <w:rsid w:val="CFD3D3D7"/>
    <w:rsid w:val="CFDF1009"/>
    <w:rsid w:val="D7D7B16A"/>
    <w:rsid w:val="D8D6DB89"/>
    <w:rsid w:val="DB6F4CAB"/>
    <w:rsid w:val="DB777682"/>
    <w:rsid w:val="DD1FB521"/>
    <w:rsid w:val="DEFBFEAE"/>
    <w:rsid w:val="DF1F3B80"/>
    <w:rsid w:val="DF6F9789"/>
    <w:rsid w:val="DFE9BE81"/>
    <w:rsid w:val="DFFFA9E8"/>
    <w:rsid w:val="E5F4E9DC"/>
    <w:rsid w:val="E70FE695"/>
    <w:rsid w:val="EB2E368B"/>
    <w:rsid w:val="ECFED1BC"/>
    <w:rsid w:val="ED1D69BB"/>
    <w:rsid w:val="ED7FD312"/>
    <w:rsid w:val="EF2E1AC6"/>
    <w:rsid w:val="EF53993F"/>
    <w:rsid w:val="EF6FD633"/>
    <w:rsid w:val="EFBFB2F4"/>
    <w:rsid w:val="EFBFFA21"/>
    <w:rsid w:val="F2BEBCB8"/>
    <w:rsid w:val="F36FB518"/>
    <w:rsid w:val="F3DE1A04"/>
    <w:rsid w:val="F3F722E5"/>
    <w:rsid w:val="F4FBCD07"/>
    <w:rsid w:val="FA5F1E70"/>
    <w:rsid w:val="FA5FDB97"/>
    <w:rsid w:val="FB7F486A"/>
    <w:rsid w:val="FBFF5B2E"/>
    <w:rsid w:val="FD7FFE2B"/>
    <w:rsid w:val="FDEE196B"/>
    <w:rsid w:val="FDFE6575"/>
    <w:rsid w:val="FEDFDDC2"/>
    <w:rsid w:val="FEED32F6"/>
    <w:rsid w:val="FEF781DD"/>
    <w:rsid w:val="FF3F7E3F"/>
    <w:rsid w:val="FFBA12D7"/>
    <w:rsid w:val="FFCBD314"/>
    <w:rsid w:val="FFDFF91C"/>
    <w:rsid w:val="FFDFFAEE"/>
    <w:rsid w:val="FFEF6777"/>
    <w:rsid w:val="FFF9B57B"/>
    <w:rsid w:val="FFFD61D9"/>
    <w:rsid w:val="FFFD8F59"/>
    <w:rsid w:val="FFFF2BB1"/>
    <w:rsid w:val="FFFFB04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2"/>
    <w:unhideWhenUsed/>
    <w:qFormat/>
    <w:uiPriority w:val="9"/>
    <w:pPr>
      <w:keepNext/>
      <w:keepLines/>
      <w:spacing w:before="260" w:after="260" w:line="416" w:lineRule="auto"/>
      <w:outlineLvl w:val="2"/>
    </w:pPr>
    <w:rPr>
      <w:b/>
      <w:bCs/>
      <w:sz w:val="32"/>
      <w:szCs w:val="32"/>
    </w:rPr>
  </w:style>
  <w:style w:type="character" w:default="1" w:styleId="17">
    <w:name w:val="Default Paragraph Font"/>
    <w:semiHidden/>
    <w:unhideWhenUsed/>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customStyle="1" w:styleId="2">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paragraph" w:styleId="6">
    <w:name w:val="Body Text"/>
    <w:basedOn w:val="1"/>
    <w:link w:val="25"/>
    <w:qFormat/>
    <w:uiPriority w:val="99"/>
    <w:pPr>
      <w:spacing w:beforeLines="30"/>
    </w:pPr>
    <w:rPr>
      <w:rFonts w:ascii="仿宋_GB2312" w:eastAsia="仿宋_GB2312"/>
      <w:kern w:val="0"/>
      <w:sz w:val="30"/>
    </w:rPr>
  </w:style>
  <w:style w:type="paragraph" w:styleId="7">
    <w:name w:val="Body Text Indent"/>
    <w:basedOn w:val="1"/>
    <w:next w:val="8"/>
    <w:qFormat/>
    <w:uiPriority w:val="0"/>
    <w:pPr>
      <w:spacing w:after="120"/>
      <w:ind w:left="200" w:leftChars="200"/>
    </w:pPr>
    <w:rPr>
      <w:rFonts w:ascii="仿宋_GB2312"/>
      <w:szCs w:val="32"/>
    </w:rPr>
  </w:style>
  <w:style w:type="paragraph" w:styleId="8">
    <w:name w:val="Body Text First Indent 2"/>
    <w:basedOn w:val="7"/>
    <w:next w:val="1"/>
    <w:unhideWhenUsed/>
    <w:qFormat/>
    <w:uiPriority w:val="99"/>
    <w:pPr>
      <w:ind w:firstLine="420" w:firstLineChars="200"/>
    </w:pPr>
  </w:style>
  <w:style w:type="paragraph" w:styleId="9">
    <w:name w:val="toc 3"/>
    <w:basedOn w:val="1"/>
    <w:next w:val="1"/>
    <w:unhideWhenUsed/>
    <w:qFormat/>
    <w:uiPriority w:val="39"/>
    <w:pPr>
      <w:tabs>
        <w:tab w:val="right" w:leader="dot" w:pos="8296"/>
      </w:tabs>
      <w:ind w:left="840" w:leftChars="400"/>
    </w:pPr>
  </w:style>
  <w:style w:type="paragraph" w:styleId="10">
    <w:name w:val="Balloon Text"/>
    <w:basedOn w:val="1"/>
    <w:link w:val="31"/>
    <w:semiHidden/>
    <w:unhideWhenUsed/>
    <w:qFormat/>
    <w:uiPriority w:val="99"/>
    <w:rPr>
      <w:sz w:val="18"/>
      <w:szCs w:val="18"/>
    </w:rPr>
  </w:style>
  <w:style w:type="paragraph" w:styleId="11">
    <w:name w:val="footer"/>
    <w:basedOn w:val="1"/>
    <w:link w:val="23"/>
    <w:qFormat/>
    <w:uiPriority w:val="99"/>
    <w:pPr>
      <w:tabs>
        <w:tab w:val="center" w:pos="4153"/>
        <w:tab w:val="right" w:pos="8306"/>
      </w:tabs>
      <w:snapToGrid w:val="0"/>
      <w:jc w:val="left"/>
    </w:pPr>
    <w:rPr>
      <w:rFonts w:ascii="Calibri" w:hAnsi="Calibri"/>
      <w:kern w:val="0"/>
      <w:sz w:val="18"/>
      <w:szCs w:val="18"/>
    </w:rPr>
  </w:style>
  <w:style w:type="paragraph" w:styleId="12">
    <w:name w:val="header"/>
    <w:basedOn w:val="1"/>
    <w:link w:val="21"/>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3">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4">
    <w:name w:val="footnote text"/>
    <w:basedOn w:val="1"/>
    <w:next w:val="8"/>
    <w:semiHidden/>
    <w:qFormat/>
    <w:uiPriority w:val="0"/>
    <w:pPr>
      <w:snapToGrid w:val="0"/>
      <w:jc w:val="left"/>
    </w:pPr>
    <w:rPr>
      <w:sz w:val="18"/>
      <w:szCs w:val="18"/>
    </w:rPr>
  </w:style>
  <w:style w:type="paragraph" w:styleId="15">
    <w:name w:val="toc 2"/>
    <w:basedOn w:val="1"/>
    <w:next w:val="1"/>
    <w:unhideWhenUsed/>
    <w:qFormat/>
    <w:uiPriority w:val="39"/>
    <w:pPr>
      <w:tabs>
        <w:tab w:val="right" w:leader="dot" w:pos="8296"/>
      </w:tabs>
      <w:ind w:left="420" w:leftChars="200"/>
    </w:pPr>
  </w:style>
  <w:style w:type="character" w:styleId="18">
    <w:name w:val="Strong"/>
    <w:basedOn w:val="17"/>
    <w:qFormat/>
    <w:uiPriority w:val="99"/>
    <w:rPr>
      <w:b/>
    </w:rPr>
  </w:style>
  <w:style w:type="character" w:styleId="19">
    <w:name w:val="Hyperlink"/>
    <w:basedOn w:val="17"/>
    <w:unhideWhenUsed/>
    <w:qFormat/>
    <w:uiPriority w:val="99"/>
    <w:rPr>
      <w:color w:val="0000FF" w:themeColor="hyperlink"/>
      <w:u w:val="single"/>
      <w14:textFill>
        <w14:solidFill>
          <w14:schemeClr w14:val="hlink"/>
        </w14:solidFill>
      </w14:textFill>
    </w:rPr>
  </w:style>
  <w:style w:type="character" w:customStyle="1" w:styleId="20">
    <w:name w:val="Header Char"/>
    <w:basedOn w:val="17"/>
    <w:semiHidden/>
    <w:qFormat/>
    <w:uiPriority w:val="99"/>
    <w:rPr>
      <w:rFonts w:ascii="Times New Roman" w:hAnsi="Times New Roman"/>
      <w:sz w:val="18"/>
      <w:szCs w:val="18"/>
    </w:rPr>
  </w:style>
  <w:style w:type="character" w:customStyle="1" w:styleId="21">
    <w:name w:val="页眉 字符"/>
    <w:link w:val="12"/>
    <w:semiHidden/>
    <w:qFormat/>
    <w:locked/>
    <w:uiPriority w:val="99"/>
    <w:rPr>
      <w:sz w:val="18"/>
    </w:rPr>
  </w:style>
  <w:style w:type="character" w:customStyle="1" w:styleId="22">
    <w:name w:val="Footer Char"/>
    <w:basedOn w:val="17"/>
    <w:semiHidden/>
    <w:qFormat/>
    <w:uiPriority w:val="99"/>
    <w:rPr>
      <w:rFonts w:ascii="Times New Roman" w:hAnsi="Times New Roman"/>
      <w:sz w:val="18"/>
      <w:szCs w:val="18"/>
    </w:rPr>
  </w:style>
  <w:style w:type="character" w:customStyle="1" w:styleId="23">
    <w:name w:val="页脚 字符"/>
    <w:link w:val="11"/>
    <w:qFormat/>
    <w:locked/>
    <w:uiPriority w:val="99"/>
    <w:rPr>
      <w:sz w:val="18"/>
    </w:rPr>
  </w:style>
  <w:style w:type="character" w:customStyle="1" w:styleId="24">
    <w:name w:val="Body Text Char"/>
    <w:basedOn w:val="17"/>
    <w:semiHidden/>
    <w:qFormat/>
    <w:uiPriority w:val="99"/>
    <w:rPr>
      <w:rFonts w:ascii="Times New Roman" w:hAnsi="Times New Roman"/>
      <w:szCs w:val="24"/>
    </w:rPr>
  </w:style>
  <w:style w:type="character" w:customStyle="1" w:styleId="25">
    <w:name w:val="正文文本 字符"/>
    <w:link w:val="6"/>
    <w:qFormat/>
    <w:locked/>
    <w:uiPriority w:val="99"/>
    <w:rPr>
      <w:rFonts w:ascii="仿宋_GB2312" w:hAnsi="Times New Roman" w:eastAsia="仿宋_GB2312"/>
      <w:sz w:val="24"/>
    </w:rPr>
  </w:style>
  <w:style w:type="paragraph" w:customStyle="1" w:styleId="26">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7">
    <w:name w:val="List Paragraph"/>
    <w:basedOn w:val="1"/>
    <w:qFormat/>
    <w:uiPriority w:val="34"/>
    <w:pPr>
      <w:ind w:firstLine="420" w:firstLineChars="200"/>
    </w:pPr>
  </w:style>
  <w:style w:type="character" w:customStyle="1" w:styleId="28">
    <w:name w:val="标题 1 字符"/>
    <w:basedOn w:val="17"/>
    <w:link w:val="3"/>
    <w:qFormat/>
    <w:uiPriority w:val="9"/>
    <w:rPr>
      <w:rFonts w:ascii="Times New Roman" w:hAnsi="Times New Roman"/>
      <w:b/>
      <w:bCs/>
      <w:kern w:val="44"/>
      <w:sz w:val="44"/>
      <w:szCs w:val="44"/>
    </w:rPr>
  </w:style>
  <w:style w:type="character" w:customStyle="1" w:styleId="29">
    <w:name w:val="标题 2 字符"/>
    <w:basedOn w:val="17"/>
    <w:link w:val="4"/>
    <w:qFormat/>
    <w:uiPriority w:val="9"/>
    <w:rPr>
      <w:rFonts w:asciiTheme="majorHAnsi" w:hAnsiTheme="majorHAnsi" w:eastAsiaTheme="majorEastAsia" w:cstheme="majorBidi"/>
      <w:b/>
      <w:bCs/>
      <w:kern w:val="2"/>
      <w:sz w:val="32"/>
      <w:szCs w:val="32"/>
    </w:rPr>
  </w:style>
  <w:style w:type="paragraph" w:customStyle="1" w:styleId="30">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1">
    <w:name w:val="批注框文本 字符"/>
    <w:basedOn w:val="17"/>
    <w:link w:val="10"/>
    <w:semiHidden/>
    <w:qFormat/>
    <w:uiPriority w:val="99"/>
    <w:rPr>
      <w:rFonts w:ascii="Times New Roman" w:hAnsi="Times New Roman"/>
      <w:kern w:val="2"/>
      <w:sz w:val="18"/>
      <w:szCs w:val="18"/>
    </w:rPr>
  </w:style>
  <w:style w:type="character" w:customStyle="1" w:styleId="32">
    <w:name w:val="标题 3 字符"/>
    <w:basedOn w:val="17"/>
    <w:link w:val="5"/>
    <w:qFormat/>
    <w:uiPriority w:val="9"/>
    <w:rPr>
      <w:rFonts w:ascii="Times New Roman" w:hAnsi="Times New Roman"/>
      <w:b/>
      <w:bCs/>
      <w:kern w:val="2"/>
      <w:sz w:val="32"/>
      <w:szCs w:val="32"/>
    </w:rPr>
  </w:style>
  <w:style w:type="paragraph" w:customStyle="1" w:styleId="33">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4">
    <w:name w:val="四号正文"/>
    <w:basedOn w:val="1"/>
    <w:qFormat/>
    <w:uiPriority w:val="0"/>
    <w:pPr>
      <w:spacing w:line="360" w:lineRule="auto"/>
    </w:pPr>
    <w:rPr>
      <w:rFonts w:ascii="??" w:hAnsi="??"/>
      <w:color w:val="000000"/>
      <w:kern w:val="0"/>
      <w:sz w:val="28"/>
      <w:szCs w:val="21"/>
      <w:lang w:val="zh-CN"/>
    </w:rPr>
  </w:style>
  <w:style w:type="paragraph" w:customStyle="1" w:styleId="35">
    <w:name w:val="TOC 标题3"/>
    <w:basedOn w:val="3"/>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customXml" Target="../customXml/item2.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chart" Target="charts/chart7.xml"/><Relationship Id="rId17" Type="http://schemas.openxmlformats.org/officeDocument/2006/relationships/chart" Target="charts/chart6.xml"/><Relationship Id="rId16" Type="http://schemas.openxmlformats.org/officeDocument/2006/relationships/chart" Target="charts/chart5.xml"/><Relationship Id="rId15" Type="http://schemas.openxmlformats.org/officeDocument/2006/relationships/chart" Target="charts/chart4.xml"/><Relationship Id="rId14" Type="http://schemas.openxmlformats.org/officeDocument/2006/relationships/chart" Target="charts/chart3.xml"/><Relationship Id="rId13" Type="http://schemas.openxmlformats.org/officeDocument/2006/relationships/chart" Target="charts/chart2.xml"/><Relationship Id="rId12" Type="http://schemas.openxmlformats.org/officeDocument/2006/relationships/chart" Target="charts/chart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24037;&#20316;&#31807;1"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24037;&#20316;&#31807;1"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24037;&#20316;&#31807;1"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24037;&#20316;&#31807;1"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24037;&#20316;&#31807;1"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24037;&#20316;&#31807;1"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C:\Users\27987\Desktop\&#26032;&#24314;%20Microsoft%20Excel%20&#24037;&#20316;&#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zh-CN" altLang="en-US" sz="1400" b="0" i="0" u="none" strike="noStrike" kern="1200" spc="0" baseline="0">
                <a:solidFill>
                  <a:sysClr val="windowText" lastClr="000000">
                    <a:lumMod val="65000"/>
                    <a:lumOff val="35000"/>
                  </a:sysClr>
                </a:solidFill>
              </a:rPr>
              <a:t>图</a:t>
            </a:r>
            <a:r>
              <a:rPr lang="en-US" altLang="zh-CN" sz="1400" b="0" i="0" u="none" strike="noStrike" kern="1200" spc="0" baseline="0">
                <a:solidFill>
                  <a:sysClr val="windowText" lastClr="000000">
                    <a:lumMod val="65000"/>
                    <a:lumOff val="35000"/>
                  </a:sysClr>
                </a:solidFill>
              </a:rPr>
              <a:t>1</a:t>
            </a:r>
            <a:r>
              <a:rPr lang="zh-CN" altLang="en-US" sz="1400" b="0" i="0" u="none" strike="noStrike" kern="1200" spc="0" baseline="0">
                <a:solidFill>
                  <a:sysClr val="windowText" lastClr="000000">
                    <a:lumMod val="65000"/>
                    <a:lumOff val="35000"/>
                  </a:sysClr>
                </a:solidFill>
              </a:rPr>
              <a:t>：收、支决算总计变动情况图</a:t>
            </a:r>
            <a:endParaRPr lang="zh-CN" altLang="en-US" sz="1400" b="0" i="0" u="none" strike="noStrike" kern="1200" spc="0" baseline="0">
              <a:solidFill>
                <a:sysClr val="windowText" lastClr="000000">
                  <a:lumMod val="65000"/>
                  <a:lumOff val="35000"/>
                </a:sysClr>
              </a:solidFill>
            </a:endParaRPr>
          </a:p>
        </c:rich>
      </c:tx>
      <c:layout/>
      <c:overlay val="0"/>
      <c:spPr>
        <a:noFill/>
        <a:ln>
          <a:noFill/>
        </a:ln>
        <a:effectLst/>
      </c:sp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'2024年财务决算公开图一'!$A$1:$A$2</c:f>
              <c:strCache>
                <c:ptCount val="2"/>
                <c:pt idx="0">
                  <c:v>2023年</c:v>
                </c:pt>
                <c:pt idx="1">
                  <c:v>2024年</c:v>
                </c:pt>
              </c:strCache>
            </c:strRef>
          </c:cat>
          <c:val>
            <c:numRef>
              <c:f>'2024年财务决算公开图一'!$B$1:$B$2</c:f>
              <c:numCache>
                <c:formatCode>General</c:formatCode>
                <c:ptCount val="2"/>
                <c:pt idx="0">
                  <c:v>231.05</c:v>
                </c:pt>
                <c:pt idx="1">
                  <c:v>338.54</c:v>
                </c:pt>
              </c:numCache>
            </c:numRef>
          </c:val>
        </c:ser>
        <c:dLbls>
          <c:showLegendKey val="0"/>
          <c:showVal val="1"/>
          <c:showCatName val="0"/>
          <c:showSerName val="0"/>
          <c:showPercent val="0"/>
          <c:showBubbleSize val="0"/>
        </c:dLbls>
        <c:gapWidth val="219"/>
        <c:overlap val="-27"/>
        <c:axId val="1103769839"/>
        <c:axId val="1103760239"/>
      </c:barChart>
      <c:catAx>
        <c:axId val="1103769839"/>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103760239"/>
        <c:crosses val="autoZero"/>
        <c:auto val="1"/>
        <c:lblAlgn val="ctr"/>
        <c:lblOffset val="100"/>
        <c:noMultiLvlLbl val="0"/>
      </c:catAx>
      <c:valAx>
        <c:axId val="1103760239"/>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lang="zh-CN" sz="1000" b="0" i="0" u="none" strike="noStrike" kern="1200" baseline="0">
                    <a:solidFill>
                      <a:schemeClr val="tx1">
                        <a:lumMod val="65000"/>
                        <a:lumOff val="35000"/>
                      </a:schemeClr>
                    </a:solidFill>
                    <a:latin typeface="+mn-lt"/>
                    <a:ea typeface="+mn-ea"/>
                    <a:cs typeface="+mn-cs"/>
                  </a:defRPr>
                </a:pPr>
                <a:r>
                  <a:rPr lang="zh-CN" altLang="en-US"/>
                  <a:t>单位：（万元）</a:t>
                </a:r>
                <a:endParaRPr lang="zh-CN" altLang="en-US"/>
              </a:p>
            </c:rich>
          </c:tx>
          <c:layout/>
          <c:overlay val="0"/>
          <c:spPr>
            <a:noFill/>
            <a:ln>
              <a:noFill/>
            </a:ln>
            <a:effectLst/>
          </c:sp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103769839"/>
        <c:crosses val="autoZero"/>
        <c:crossBetween val="between"/>
      </c:valAx>
      <c:spPr>
        <a:noFill/>
        <a:ln>
          <a:noFill/>
        </a:ln>
        <a:effectLst/>
      </c:spPr>
    </c:plotArea>
    <c:plotVisOnly val="1"/>
    <c:dispBlanksAs val="gap"/>
    <c:showDLblsOverMax val="0"/>
    <c:extLst>
      <c:ext uri="{0b15fc19-7d7d-44ad-8c2d-2c3a37ce22c3}">
        <chartProps xmlns="https://web.wps.cn/et/2018/main" chartId="{045a7e2b-fa5a-42c7-aef5-5493fa7879c7}"/>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zh-CN" altLang="en-US" sz="1400" b="0" i="0" u="none" strike="noStrike" kern="1200" spc="0" baseline="0">
                <a:solidFill>
                  <a:sysClr val="windowText" lastClr="000000">
                    <a:lumMod val="65000"/>
                    <a:lumOff val="35000"/>
                  </a:sysClr>
                </a:solidFill>
              </a:rPr>
              <a:t>图</a:t>
            </a:r>
            <a:r>
              <a:rPr lang="en-US" altLang="zh-CN" sz="1400" b="0" i="0" u="none" strike="noStrike" kern="1200" spc="0" baseline="0">
                <a:solidFill>
                  <a:sysClr val="windowText" lastClr="000000">
                    <a:lumMod val="65000"/>
                    <a:lumOff val="35000"/>
                  </a:sysClr>
                </a:solidFill>
              </a:rPr>
              <a:t>2</a:t>
            </a:r>
            <a:r>
              <a:rPr lang="zh-CN" altLang="en-US" sz="1400" b="0" i="0" u="none" strike="noStrike" kern="1200" spc="0" baseline="0">
                <a:solidFill>
                  <a:sysClr val="windowText" lastClr="000000">
                    <a:lumMod val="65000"/>
                    <a:lumOff val="35000"/>
                  </a:sysClr>
                </a:solidFill>
              </a:rPr>
              <a:t>：收入决算结构图</a:t>
            </a:r>
            <a:endParaRPr lang="zh-CN" altLang="en-US" sz="1400" b="0" i="0" u="none" strike="noStrike" kern="1200" spc="0" baseline="0">
              <a:solidFill>
                <a:sysClr val="windowText" lastClr="000000">
                  <a:lumMod val="65000"/>
                  <a:lumOff val="35000"/>
                </a:sysClr>
              </a:solidFill>
            </a:endParaRPr>
          </a:p>
        </c:rich>
      </c:tx>
      <c:layout/>
      <c:overlay val="0"/>
      <c:spPr>
        <a:noFill/>
        <a:ln>
          <a:noFill/>
        </a:ln>
        <a:effectLst/>
      </c:spPr>
    </c:title>
    <c:autoTitleDeleted val="0"/>
    <c:plotArea>
      <c:layout/>
      <c:pieChart>
        <c:varyColors val="1"/>
        <c:ser>
          <c:idx val="0"/>
          <c:order val="0"/>
          <c:spPr/>
          <c:explosion val="0"/>
          <c:dPt>
            <c:idx val="0"/>
            <c:bubble3D val="0"/>
            <c:spPr>
              <a:solidFill>
                <a:schemeClr val="accent1"/>
              </a:solidFill>
              <a:ln w="19050">
                <a:solidFill>
                  <a:schemeClr val="lt1"/>
                </a:solidFill>
              </a:ln>
              <a:effectLst/>
            </c:spPr>
          </c:dPt>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'2024年财务决算公开图二'!$A$1</c:f>
              <c:strCache>
                <c:ptCount val="1"/>
                <c:pt idx="0">
                  <c:v>一般公共预算财政拨款收入338.54万元</c:v>
                </c:pt>
              </c:strCache>
            </c:strRef>
          </c:cat>
          <c:val>
            <c:numRef>
              <c:f>'2024年财务决算公开图二'!$B$1</c:f>
              <c:numCache>
                <c:formatCode>General</c:formatCode>
                <c:ptCount val="1"/>
                <c:pt idx="0">
                  <c:v>338.54</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5a05b3c5-f75f-4726-aeb5-70d81cca3971}"/>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zh-CN" altLang="zh-CN" sz="1400" b="0" i="0" u="none" strike="noStrike" baseline="0">
                <a:effectLst/>
              </a:rPr>
              <a:t>图</a:t>
            </a:r>
            <a:r>
              <a:rPr lang="en-US" altLang="zh-CN" sz="1400" b="0" i="0" u="none" strike="noStrike" baseline="0">
                <a:effectLst/>
              </a:rPr>
              <a:t>3</a:t>
            </a:r>
            <a:r>
              <a:rPr lang="zh-CN" altLang="zh-CN" sz="1400" b="0" i="0" u="none" strike="noStrike" baseline="0">
                <a:effectLst/>
              </a:rPr>
              <a:t>：支出决算结构图</a:t>
            </a:r>
            <a:endParaRPr lang="zh-CN" altLang="en-US"/>
          </a:p>
        </c:rich>
      </c:tx>
      <c:layout/>
      <c:overlay val="0"/>
      <c:spPr>
        <a:noFill/>
        <a:ln>
          <a:noFill/>
        </a:ln>
        <a:effectLst/>
      </c:spPr>
    </c:title>
    <c:autoTitleDeleted val="0"/>
    <c:plotArea>
      <c:layout/>
      <c:pieChart>
        <c:varyColors val="1"/>
        <c:ser>
          <c:idx val="0"/>
          <c:order val="0"/>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'2024年财务决算公开图三'!$A$1:$A$2</c:f>
              <c:strCache>
                <c:ptCount val="2"/>
                <c:pt idx="0">
                  <c:v>基本支出242.54万元</c:v>
                </c:pt>
                <c:pt idx="1">
                  <c:v>项目支出96万元</c:v>
                </c:pt>
              </c:strCache>
            </c:strRef>
          </c:cat>
          <c:val>
            <c:numRef>
              <c:f>'2024年财务决算公开图三'!$B$1:$B$2</c:f>
              <c:numCache>
                <c:formatCode>General</c:formatCode>
                <c:ptCount val="2"/>
                <c:pt idx="0">
                  <c:v>242.54</c:v>
                </c:pt>
                <c:pt idx="1">
                  <c:v>96</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8e6dc85a-0197-4c05-9c75-4e1addec5f0c}"/>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zh-CN" altLang="zh-CN" sz="1400" b="0" i="0" u="none" strike="noStrike" baseline="0">
                <a:effectLst/>
              </a:rPr>
              <a:t>图</a:t>
            </a:r>
            <a:r>
              <a:rPr lang="en-US" altLang="zh-CN" sz="1400" b="0" i="0" u="none" strike="noStrike" baseline="0">
                <a:effectLst/>
              </a:rPr>
              <a:t>4</a:t>
            </a:r>
            <a:r>
              <a:rPr lang="zh-CN" altLang="zh-CN" sz="1400" b="0" i="0" u="none" strike="noStrike" baseline="0">
                <a:effectLst/>
              </a:rPr>
              <a:t>：财政拨款收、支决算总计变动情况</a:t>
            </a:r>
            <a:endParaRPr lang="zh-CN" altLang="en-US" sz="1400" b="0" i="0" u="none" strike="noStrike" kern="1200" spc="0" baseline="0">
              <a:solidFill>
                <a:sysClr val="windowText" lastClr="000000">
                  <a:lumMod val="65000"/>
                  <a:lumOff val="35000"/>
                </a:sysClr>
              </a:solidFill>
            </a:endParaRPr>
          </a:p>
        </c:rich>
      </c:tx>
      <c:layout/>
      <c:overlay val="0"/>
      <c:spPr>
        <a:noFill/>
        <a:ln>
          <a:noFill/>
        </a:ln>
        <a:effectLst/>
      </c:sp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'2024年财务决算公开图一'!$A$1:$A$2</c:f>
              <c:strCache>
                <c:ptCount val="2"/>
                <c:pt idx="0">
                  <c:v>2023年</c:v>
                </c:pt>
                <c:pt idx="1">
                  <c:v>2024年</c:v>
                </c:pt>
              </c:strCache>
            </c:strRef>
          </c:cat>
          <c:val>
            <c:numRef>
              <c:f>'2024年财务决算公开图一'!$B$1:$B$2</c:f>
              <c:numCache>
                <c:formatCode>General</c:formatCode>
                <c:ptCount val="2"/>
                <c:pt idx="0">
                  <c:v>231.05</c:v>
                </c:pt>
                <c:pt idx="1">
                  <c:v>338.54</c:v>
                </c:pt>
              </c:numCache>
            </c:numRef>
          </c:val>
        </c:ser>
        <c:dLbls>
          <c:showLegendKey val="0"/>
          <c:showVal val="1"/>
          <c:showCatName val="0"/>
          <c:showSerName val="0"/>
          <c:showPercent val="0"/>
          <c:showBubbleSize val="0"/>
        </c:dLbls>
        <c:gapWidth val="219"/>
        <c:overlap val="-27"/>
        <c:axId val="1103769839"/>
        <c:axId val="1103760239"/>
      </c:barChart>
      <c:catAx>
        <c:axId val="1103769839"/>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103760239"/>
        <c:crosses val="autoZero"/>
        <c:auto val="1"/>
        <c:lblAlgn val="ctr"/>
        <c:lblOffset val="100"/>
        <c:noMultiLvlLbl val="0"/>
      </c:catAx>
      <c:valAx>
        <c:axId val="1103760239"/>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lang="zh-CN" sz="1000" b="0" i="0" u="none" strike="noStrike" kern="1200" baseline="0">
                    <a:solidFill>
                      <a:schemeClr val="tx1">
                        <a:lumMod val="65000"/>
                        <a:lumOff val="35000"/>
                      </a:schemeClr>
                    </a:solidFill>
                    <a:latin typeface="+mn-lt"/>
                    <a:ea typeface="+mn-ea"/>
                    <a:cs typeface="+mn-cs"/>
                  </a:defRPr>
                </a:pPr>
                <a:r>
                  <a:rPr lang="zh-CN" altLang="en-US"/>
                  <a:t>单位：（万元）</a:t>
                </a:r>
                <a:endParaRPr lang="zh-CN" altLang="en-US"/>
              </a:p>
            </c:rich>
          </c:tx>
          <c:layout/>
          <c:overlay val="0"/>
          <c:spPr>
            <a:noFill/>
            <a:ln>
              <a:noFill/>
            </a:ln>
            <a:effectLst/>
          </c:sp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103769839"/>
        <c:crosses val="autoZero"/>
        <c:crossBetween val="between"/>
      </c:valAx>
      <c:spPr>
        <a:noFill/>
        <a:ln>
          <a:noFill/>
        </a:ln>
        <a:effectLst/>
      </c:spPr>
    </c:plotArea>
    <c:plotVisOnly val="1"/>
    <c:dispBlanksAs val="gap"/>
    <c:showDLblsOverMax val="0"/>
    <c:extLst>
      <c:ext uri="{0b15fc19-7d7d-44ad-8c2d-2c3a37ce22c3}">
        <chartProps xmlns="https://web.wps.cn/et/2018/main" chartId="{4b09875b-debd-40d6-8a4f-d9b837303a33}"/>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ctr">
              <a:defRPr lang="zh-CN" sz="1400" b="0" i="0" u="none" strike="noStrike" kern="1200" spc="0" baseline="0">
                <a:solidFill>
                  <a:schemeClr val="tx1">
                    <a:lumMod val="65000"/>
                    <a:lumOff val="35000"/>
                  </a:schemeClr>
                </a:solidFill>
                <a:latin typeface="+mn-lt"/>
                <a:ea typeface="+mn-ea"/>
                <a:cs typeface="+mn-cs"/>
              </a:defRPr>
            </a:pPr>
            <a:r>
              <a:rPr lang="zh-CN" altLang="zh-CN" sz="1400" b="0" i="0" u="none" strike="noStrike" baseline="0">
                <a:effectLst/>
              </a:rPr>
              <a:t>图</a:t>
            </a:r>
            <a:r>
              <a:rPr lang="en-US" altLang="zh-CN" sz="1400" b="0" i="0" u="none" strike="noStrike" baseline="0">
                <a:effectLst/>
              </a:rPr>
              <a:t>4</a:t>
            </a:r>
            <a:r>
              <a:rPr lang="zh-CN" altLang="zh-CN" sz="1400" b="0" i="0" u="none" strike="noStrike" baseline="0">
                <a:effectLst/>
              </a:rPr>
              <a:t>：图</a:t>
            </a:r>
            <a:r>
              <a:rPr lang="en-US" altLang="zh-CN" sz="1400" b="0" i="0" u="none" strike="noStrike" baseline="0">
                <a:effectLst/>
              </a:rPr>
              <a:t>5</a:t>
            </a:r>
            <a:r>
              <a:rPr lang="zh-CN" altLang="zh-CN" sz="1400" b="0" i="0" u="none" strike="noStrike" baseline="0">
                <a:effectLst/>
              </a:rPr>
              <a:t>：一般公共预算财政拨款支出决算变动情况</a:t>
            </a:r>
            <a:endParaRPr lang="zh-CN" altLang="en-US" sz="1400" b="0" i="0" u="none" strike="noStrike" kern="1200" spc="0" baseline="0">
              <a:solidFill>
                <a:sysClr val="windowText" lastClr="000000">
                  <a:lumMod val="65000"/>
                  <a:lumOff val="35000"/>
                </a:sysClr>
              </a:solidFill>
            </a:endParaRPr>
          </a:p>
        </c:rich>
      </c:tx>
      <c:layout/>
      <c:overlay val="0"/>
      <c:spPr>
        <a:noFill/>
        <a:ln>
          <a:noFill/>
        </a:ln>
        <a:effectLst/>
      </c:sp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'2024年财务决算公开图一'!$A$1:$A$2</c:f>
              <c:strCache>
                <c:ptCount val="2"/>
                <c:pt idx="0">
                  <c:v>2023年</c:v>
                </c:pt>
                <c:pt idx="1">
                  <c:v>2024年</c:v>
                </c:pt>
              </c:strCache>
            </c:strRef>
          </c:cat>
          <c:val>
            <c:numRef>
              <c:f>'2024年财务决算公开图一'!$B$1:$B$2</c:f>
              <c:numCache>
                <c:formatCode>General</c:formatCode>
                <c:ptCount val="2"/>
                <c:pt idx="0">
                  <c:v>231.05</c:v>
                </c:pt>
                <c:pt idx="1">
                  <c:v>338.54</c:v>
                </c:pt>
              </c:numCache>
            </c:numRef>
          </c:val>
        </c:ser>
        <c:dLbls>
          <c:showLegendKey val="0"/>
          <c:showVal val="1"/>
          <c:showCatName val="0"/>
          <c:showSerName val="0"/>
          <c:showPercent val="0"/>
          <c:showBubbleSize val="0"/>
        </c:dLbls>
        <c:gapWidth val="219"/>
        <c:overlap val="-27"/>
        <c:axId val="1103769839"/>
        <c:axId val="1103760239"/>
      </c:barChart>
      <c:catAx>
        <c:axId val="1103769839"/>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103760239"/>
        <c:crosses val="autoZero"/>
        <c:auto val="1"/>
        <c:lblAlgn val="ctr"/>
        <c:lblOffset val="100"/>
        <c:noMultiLvlLbl val="0"/>
      </c:catAx>
      <c:valAx>
        <c:axId val="1103760239"/>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lang="zh-CN" sz="1000" b="0" i="0" u="none" strike="noStrike" kern="1200" baseline="0">
                    <a:solidFill>
                      <a:schemeClr val="tx1">
                        <a:lumMod val="65000"/>
                        <a:lumOff val="35000"/>
                      </a:schemeClr>
                    </a:solidFill>
                    <a:latin typeface="+mn-lt"/>
                    <a:ea typeface="+mn-ea"/>
                    <a:cs typeface="+mn-cs"/>
                  </a:defRPr>
                </a:pPr>
                <a:r>
                  <a:rPr lang="zh-CN" altLang="en-US"/>
                  <a:t>单位：（万元）</a:t>
                </a:r>
                <a:endParaRPr lang="zh-CN" altLang="en-US"/>
              </a:p>
            </c:rich>
          </c:tx>
          <c:layout/>
          <c:overlay val="0"/>
          <c:spPr>
            <a:noFill/>
            <a:ln>
              <a:noFill/>
            </a:ln>
            <a:effectLst/>
          </c:sp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103769839"/>
        <c:crosses val="autoZero"/>
        <c:crossBetween val="between"/>
      </c:valAx>
      <c:spPr>
        <a:noFill/>
        <a:ln>
          <a:noFill/>
        </a:ln>
        <a:effectLst/>
      </c:spPr>
    </c:plotArea>
    <c:plotVisOnly val="1"/>
    <c:dispBlanksAs val="gap"/>
    <c:showDLblsOverMax val="0"/>
    <c:extLst>
      <c:ext uri="{0b15fc19-7d7d-44ad-8c2d-2c3a37ce22c3}">
        <chartProps xmlns="https://web.wps.cn/et/2018/main" chartId="{57bbc729-62f2-4c80-9ff3-f692c0007430}"/>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zh-CN" altLang="zh-CN" sz="1400" b="0" i="0" u="none" strike="noStrike" baseline="0">
                <a:effectLst/>
              </a:rPr>
              <a:t>图</a:t>
            </a:r>
            <a:r>
              <a:rPr lang="en-US" altLang="zh-CN" sz="1400" b="0" i="0" u="none" strike="noStrike" baseline="0">
                <a:effectLst/>
              </a:rPr>
              <a:t>6</a:t>
            </a:r>
            <a:r>
              <a:rPr lang="zh-CN" altLang="zh-CN" sz="1400" b="0" i="0" u="none" strike="noStrike" baseline="0">
                <a:effectLst/>
              </a:rPr>
              <a:t>：一般公共预算财政拨款支出决算结构</a:t>
            </a:r>
            <a:endParaRPr lang="zh-CN" altLang="en-US"/>
          </a:p>
        </c:rich>
      </c:tx>
      <c:layout/>
      <c:overlay val="0"/>
      <c:spPr>
        <a:noFill/>
        <a:ln>
          <a:noFill/>
        </a:ln>
        <a:effectLst/>
      </c:spPr>
    </c:title>
    <c:autoTitleDeleted val="0"/>
    <c:plotArea>
      <c:layout/>
      <c:pieChart>
        <c:varyColors val="1"/>
        <c:ser>
          <c:idx val="0"/>
          <c:order val="0"/>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Lbls>
            <c:numFmt formatCode="0.00%" sourceLinked="0"/>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'2024年财务决算公开图四'!$A$1:$A$4</c:f>
              <c:strCache>
                <c:ptCount val="4"/>
                <c:pt idx="0">
                  <c:v>一般公共服务支出267.72万元</c:v>
                </c:pt>
                <c:pt idx="1">
                  <c:v>社会保障和就业支出50.69万元</c:v>
                </c:pt>
                <c:pt idx="2">
                  <c:v>卫生健康支出5.48万元</c:v>
                </c:pt>
                <c:pt idx="3">
                  <c:v>住房保障支出14.65万元</c:v>
                </c:pt>
              </c:strCache>
            </c:strRef>
          </c:cat>
          <c:val>
            <c:numRef>
              <c:f>'2024年财务决算公开图四'!$B$1:$B$4</c:f>
              <c:numCache>
                <c:formatCode>General</c:formatCode>
                <c:ptCount val="4"/>
                <c:pt idx="0">
                  <c:v>267.72</c:v>
                </c:pt>
                <c:pt idx="1">
                  <c:v>50.69</c:v>
                </c:pt>
                <c:pt idx="2">
                  <c:v>5.48</c:v>
                </c:pt>
                <c:pt idx="3">
                  <c:v>14.65</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cd9daa21-e54e-4940-804f-1b537c6956b9}"/>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3"/>
    </mc:Choice>
    <mc:Fallback>
      <c:style val="3"/>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zh-CN" altLang="zh-CN" sz="1400" b="0" i="0" u="none" strike="noStrike" baseline="0">
                <a:effectLst/>
              </a:rPr>
              <a:t>“三公”经费财政拨款支出结构</a:t>
            </a:r>
            <a:endParaRPr lang="zh-CN" altLang="en-US"/>
          </a:p>
        </c:rich>
      </c:tx>
      <c:layout/>
      <c:overlay val="0"/>
      <c:spPr>
        <a:noFill/>
        <a:ln>
          <a:noFill/>
        </a:ln>
        <a:effectLst/>
      </c:spPr>
    </c:title>
    <c:autoTitleDeleted val="0"/>
    <c:plotArea>
      <c:layout/>
      <c:pieChart>
        <c:varyColors val="1"/>
        <c:ser>
          <c:idx val="0"/>
          <c:order val="0"/>
          <c:spPr/>
          <c:explosion val="0"/>
          <c:dPt>
            <c:idx val="0"/>
            <c:bubble3D val="0"/>
            <c:spPr>
              <a:solidFill>
                <a:schemeClr val="accent1">
                  <a:tint val="65000"/>
                </a:schemeClr>
              </a:solidFill>
              <a:ln w="19050">
                <a:solidFill>
                  <a:schemeClr val="lt1"/>
                </a:solidFill>
              </a:ln>
              <a:effectLst/>
            </c:spPr>
          </c:dPt>
          <c:dPt>
            <c:idx val="1"/>
            <c:bubble3D val="0"/>
            <c:spPr>
              <a:solidFill>
                <a:schemeClr val="accent1"/>
              </a:solidFill>
              <a:ln w="19050">
                <a:solidFill>
                  <a:schemeClr val="lt1"/>
                </a:solidFill>
              </a:ln>
              <a:effectLst/>
            </c:spPr>
          </c:dPt>
          <c:dPt>
            <c:idx val="2"/>
            <c:bubble3D val="0"/>
            <c:spPr>
              <a:solidFill>
                <a:schemeClr val="accent1">
                  <a:shade val="65000"/>
                </a:schemeClr>
              </a:solidFill>
              <a:ln w="19050">
                <a:solidFill>
                  <a:schemeClr val="lt1"/>
                </a:solidFill>
              </a:ln>
              <a:effectLst/>
            </c:spPr>
          </c:dPt>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Sheet2!$A$2:$A$4</c:f>
              <c:strCache>
                <c:ptCount val="3"/>
                <c:pt idx="0">
                  <c:v>因公出国（境）费支出0万元</c:v>
                </c:pt>
                <c:pt idx="1">
                  <c:v>公务用车购置及运行维护费支出0万元</c:v>
                </c:pt>
                <c:pt idx="2">
                  <c:v>公务接待费支出0.14万元</c:v>
                </c:pt>
              </c:strCache>
            </c:strRef>
          </c:cat>
          <c:val>
            <c:numRef>
              <c:f>Sheet2!$B$2:$B$4</c:f>
              <c:numCache>
                <c:formatCode>General</c:formatCode>
                <c:ptCount val="3"/>
                <c:pt idx="0">
                  <c:v>0</c:v>
                </c:pt>
                <c:pt idx="1">
                  <c:v>0</c:v>
                </c:pt>
                <c:pt idx="2">
                  <c:v>0.14</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b38ebf7e-2761-425d-9530-ee1dc2fac6f0}"/>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withinLinearReversed" id="21">
  <a:schemeClr val="accent1"/>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6E9AA2D-C6D4-40F9-96E9-80C411226A83}">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20</Pages>
  <Words>4980</Words>
  <Characters>5451</Characters>
  <Lines>510</Lines>
  <Paragraphs>406</Paragraphs>
  <TotalTime>5</TotalTime>
  <ScaleCrop>false</ScaleCrop>
  <LinksUpToDate>false</LinksUpToDate>
  <CharactersWithSpaces>5588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2025-09-26T08:27:00Z</dcterms:created>
  <dc:creator>曹颖</dc:creator>
  <cp:lastModifiedBy>我就是我</cp:lastModifiedBy>
  <cp:lastPrinted>2025-08-06T17:34:00Z</cp:lastPrinted>
  <dcterms:modified xsi:type="dcterms:W3CDTF">2025-10-09T08:34:37Z</dcterms:modified>
  <dc:title>四川省***</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676D75033CDE461EA1020680C8064C1E_13</vt:lpwstr>
  </property>
  <property fmtid="{D5CDD505-2E9C-101B-9397-08002B2CF9AE}" pid="4" name="KSOTemplateDocerSaveRecord">
    <vt:lpwstr>eyJoZGlkIjoiN2FmZDhlMDI5YzA1NzdiMTE4ZWI1YjZjMTRkMjQ4MWMiLCJ1c2VySWQiOiI0NDUxMjEwOTIifQ==</vt:lpwstr>
  </property>
</Properties>
</file>