
<file path=[Content_Types].xml><?xml version="1.0" encoding="utf-8"?>
<Types xmlns="http://schemas.openxmlformats.org/package/2006/content-types">
  <Default Extension="xml" ContentType="application/xml"/>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0"/>
        <w:rPr>
          <w:rFonts w:ascii="方正小标宋简体" w:hAnsi="宋体" w:eastAsia="方正小标宋简体"/>
          <w:color w:val="000000"/>
          <w:sz w:val="72"/>
          <w:szCs w:val="72"/>
        </w:rPr>
      </w:pPr>
      <w:bookmarkStart w:id="0" w:name="_Toc15306267"/>
    </w:p>
    <w:p>
      <w:pPr>
        <w:spacing w:line="600" w:lineRule="exact"/>
        <w:jc w:val="center"/>
        <w:outlineLvl w:val="0"/>
        <w:rPr>
          <w:rFonts w:ascii="方正小标宋简体" w:hAnsi="宋体" w:eastAsia="方正小标宋简体"/>
          <w:color w:val="000000"/>
          <w:sz w:val="72"/>
          <w:szCs w:val="72"/>
        </w:rPr>
      </w:pPr>
    </w:p>
    <w:p>
      <w:pPr>
        <w:spacing w:line="600" w:lineRule="exact"/>
        <w:jc w:val="center"/>
        <w:outlineLvl w:val="0"/>
        <w:rPr>
          <w:rFonts w:ascii="方正小标宋简体" w:hAnsi="宋体" w:eastAsia="方正小标宋简体"/>
          <w:color w:val="000000"/>
          <w:sz w:val="72"/>
          <w:szCs w:val="72"/>
        </w:rPr>
      </w:pPr>
    </w:p>
    <w:p>
      <w:pPr>
        <w:spacing w:line="600" w:lineRule="exact"/>
        <w:jc w:val="center"/>
        <w:outlineLvl w:val="0"/>
        <w:rPr>
          <w:rFonts w:ascii="方正小标宋简体" w:hAnsi="宋体" w:eastAsia="方正小标宋简体"/>
          <w:color w:val="000000"/>
          <w:sz w:val="72"/>
          <w:szCs w:val="72"/>
        </w:rPr>
      </w:pPr>
    </w:p>
    <w:p>
      <w:pPr>
        <w:adjustRightInd w:val="0"/>
        <w:snapToGrid w:val="0"/>
        <w:spacing w:line="360" w:lineRule="auto"/>
        <w:jc w:val="center"/>
        <w:outlineLvl w:val="0"/>
        <w:rPr>
          <w:rFonts w:ascii="方正小标宋简体" w:hAnsi="宋体" w:eastAsia="方正小标宋简体"/>
          <w:color w:val="000000"/>
          <w:sz w:val="72"/>
          <w:szCs w:val="72"/>
        </w:rPr>
      </w:pPr>
      <w:bookmarkStart w:id="1" w:name="_Toc15396475"/>
      <w:bookmarkStart w:id="2" w:name="_Toc15377425"/>
      <w:bookmarkStart w:id="3" w:name="_Toc15378441"/>
      <w:bookmarkStart w:id="4" w:name="_Toc15396597"/>
      <w:bookmarkStart w:id="5" w:name="_Toc15377193"/>
      <w:r>
        <w:rPr>
          <w:rFonts w:ascii="黑体" w:hAnsi="黑体" w:eastAsia="黑体"/>
          <w:color w:val="000000"/>
          <w:sz w:val="72"/>
          <w:szCs w:val="72"/>
        </w:rPr>
        <w:t>2018</w:t>
      </w:r>
      <w:r>
        <w:rPr>
          <w:rFonts w:hint="eastAsia" w:ascii="方正小标宋简体" w:hAnsi="宋体" w:eastAsia="方正小标宋简体"/>
          <w:color w:val="000000"/>
          <w:sz w:val="72"/>
          <w:szCs w:val="72"/>
        </w:rPr>
        <w:t>年度</w:t>
      </w:r>
      <w:bookmarkEnd w:id="1"/>
      <w:bookmarkEnd w:id="2"/>
      <w:bookmarkEnd w:id="3"/>
      <w:bookmarkEnd w:id="4"/>
      <w:bookmarkEnd w:id="5"/>
    </w:p>
    <w:p>
      <w:pPr>
        <w:adjustRightInd w:val="0"/>
        <w:snapToGrid w:val="0"/>
        <w:spacing w:line="360" w:lineRule="auto"/>
        <w:jc w:val="center"/>
        <w:outlineLvl w:val="0"/>
        <w:rPr>
          <w:rFonts w:ascii="方正小标宋简体" w:hAnsi="宋体" w:eastAsia="方正小标宋简体"/>
          <w:color w:val="000000"/>
          <w:sz w:val="72"/>
          <w:szCs w:val="72"/>
        </w:rPr>
      </w:pPr>
      <w:bookmarkStart w:id="6" w:name="_Toc15378442"/>
      <w:bookmarkStart w:id="7" w:name="_Toc15377426"/>
      <w:bookmarkStart w:id="8" w:name="_Toc15396476"/>
      <w:bookmarkStart w:id="9" w:name="_Toc15377194"/>
      <w:bookmarkStart w:id="10" w:name="_Toc15396598"/>
      <w:r>
        <w:rPr>
          <w:rFonts w:hint="eastAsia" w:ascii="方正小标宋简体" w:hAnsi="宋体" w:eastAsia="方正小标宋简体"/>
          <w:color w:val="000000"/>
          <w:sz w:val="72"/>
          <w:szCs w:val="72"/>
        </w:rPr>
        <w:t>四川省乐山市</w:t>
      </w:r>
      <w:bookmarkEnd w:id="0"/>
      <w:bookmarkStart w:id="11" w:name="_Toc15306268"/>
      <w:r>
        <w:rPr>
          <w:rFonts w:hint="eastAsia" w:ascii="方正小标宋简体" w:hAnsi="宋体" w:eastAsia="方正小标宋简体"/>
          <w:color w:val="000000"/>
          <w:sz w:val="72"/>
          <w:szCs w:val="72"/>
        </w:rPr>
        <w:t>水务局</w:t>
      </w:r>
    </w:p>
    <w:p>
      <w:pPr>
        <w:adjustRightInd w:val="0"/>
        <w:snapToGrid w:val="0"/>
        <w:spacing w:line="360" w:lineRule="auto"/>
        <w:jc w:val="center"/>
        <w:outlineLvl w:val="0"/>
        <w:rPr>
          <w:rFonts w:ascii="方正小标宋简体" w:hAnsi="宋体" w:eastAsia="方正小标宋简体"/>
          <w:color w:val="000000"/>
          <w:sz w:val="72"/>
          <w:szCs w:val="72"/>
        </w:rPr>
      </w:pPr>
      <w:r>
        <w:rPr>
          <w:rFonts w:hint="eastAsia" w:ascii="方正小标宋简体" w:hAnsi="宋体" w:eastAsia="方正小标宋简体"/>
          <w:color w:val="000000"/>
          <w:sz w:val="72"/>
          <w:szCs w:val="72"/>
        </w:rPr>
        <w:t>部门决算</w:t>
      </w:r>
      <w:bookmarkEnd w:id="6"/>
      <w:bookmarkEnd w:id="7"/>
      <w:bookmarkEnd w:id="8"/>
      <w:bookmarkEnd w:id="9"/>
      <w:bookmarkEnd w:id="10"/>
      <w:bookmarkEnd w:id="11"/>
    </w:p>
    <w:p>
      <w:pPr>
        <w:widowControl/>
        <w:jc w:val="center"/>
        <w:rPr>
          <w:rFonts w:ascii="黑体" w:hAnsi="黑体" w:eastAsia="黑体"/>
          <w:color w:val="000000"/>
          <w:sz w:val="48"/>
          <w:szCs w:val="48"/>
        </w:rPr>
      </w:pPr>
      <w:r>
        <w:rPr>
          <w:rFonts w:ascii="方正小标宋简体" w:hAnsi="宋体" w:eastAsia="方正小标宋简体"/>
          <w:color w:val="000000"/>
          <w:sz w:val="36"/>
          <w:szCs w:val="36"/>
        </w:rPr>
        <w:br w:type="page"/>
      </w:r>
      <w:r>
        <w:rPr>
          <w:rFonts w:hint="eastAsia" w:ascii="黑体" w:hAnsi="黑体" w:eastAsia="黑体"/>
          <w:color w:val="000000"/>
          <w:sz w:val="48"/>
          <w:szCs w:val="48"/>
        </w:rPr>
        <w:t>目</w:t>
      </w:r>
      <w:r>
        <w:rPr>
          <w:rFonts w:ascii="黑体" w:hAnsi="黑体" w:eastAsia="黑体"/>
          <w:color w:val="000000"/>
          <w:sz w:val="48"/>
          <w:szCs w:val="48"/>
        </w:rPr>
        <w:t xml:space="preserve">   </w:t>
      </w:r>
      <w:r>
        <w:rPr>
          <w:rFonts w:hint="eastAsia" w:ascii="黑体" w:hAnsi="黑体" w:eastAsia="黑体"/>
          <w:color w:val="000000"/>
          <w:sz w:val="48"/>
          <w:szCs w:val="48"/>
        </w:rPr>
        <w:t>录</w:t>
      </w:r>
    </w:p>
    <w:p>
      <w:pPr>
        <w:widowControl/>
        <w:jc w:val="center"/>
        <w:rPr>
          <w:rFonts w:ascii="黑体" w:hAnsi="黑体" w:eastAsia="黑体"/>
          <w:sz w:val="28"/>
          <w:szCs w:val="28"/>
        </w:rPr>
      </w:pPr>
      <w:r>
        <w:rPr>
          <w:rFonts w:ascii="黑体" w:hAnsi="黑体" w:eastAsia="黑体"/>
          <w:color w:val="000000"/>
          <w:sz w:val="48"/>
          <w:szCs w:val="48"/>
        </w:rPr>
        <w:fldChar w:fldCharType="begin"/>
      </w:r>
      <w:r>
        <w:rPr>
          <w:rFonts w:ascii="黑体" w:hAnsi="黑体" w:eastAsia="黑体"/>
          <w:color w:val="000000"/>
          <w:sz w:val="48"/>
          <w:szCs w:val="48"/>
        </w:rPr>
        <w:instrText xml:space="preserve"> TOC \o "1-2" \h \z \u </w:instrText>
      </w:r>
      <w:r>
        <w:rPr>
          <w:rFonts w:ascii="黑体" w:hAnsi="黑体" w:eastAsia="黑体"/>
          <w:color w:val="000000"/>
          <w:sz w:val="48"/>
          <w:szCs w:val="48"/>
        </w:rPr>
        <w:fldChar w:fldCharType="separate"/>
      </w:r>
    </w:p>
    <w:p>
      <w:pPr>
        <w:pStyle w:val="10"/>
      </w:pPr>
      <w:r>
        <w:rPr>
          <w:rFonts w:hint="eastAsia"/>
        </w:rPr>
        <w:t>公开时间：</w:t>
      </w:r>
      <w:r>
        <w:t>2019</w:t>
      </w:r>
      <w:r>
        <w:rPr>
          <w:rFonts w:hint="eastAsia"/>
        </w:rPr>
        <w:t>年</w:t>
      </w:r>
      <w:r>
        <w:t xml:space="preserve"> 9</w:t>
      </w:r>
      <w:r>
        <w:rPr>
          <w:rFonts w:hint="eastAsia"/>
        </w:rPr>
        <w:t>月</w:t>
      </w:r>
      <w:r>
        <w:t xml:space="preserve"> 26 </w:t>
      </w:r>
      <w:r>
        <w:rPr>
          <w:rFonts w:hint="eastAsia"/>
        </w:rPr>
        <w:t>日</w:t>
      </w:r>
    </w:p>
    <w:p/>
    <w:p>
      <w:pPr>
        <w:pStyle w:val="10"/>
      </w:pPr>
      <w:r>
        <w:fldChar w:fldCharType="begin"/>
      </w:r>
      <w:r>
        <w:instrText xml:space="preserve"> HYPERLINK \l "_Toc15396599" </w:instrText>
      </w:r>
      <w:r>
        <w:fldChar w:fldCharType="separate"/>
      </w:r>
      <w:r>
        <w:rPr>
          <w:rStyle w:val="18"/>
          <w:rFonts w:hint="eastAsia"/>
        </w:rPr>
        <w:t>第一部分</w:t>
      </w:r>
      <w:r>
        <w:rPr>
          <w:rStyle w:val="18"/>
        </w:rPr>
        <w:t xml:space="preserve"> </w:t>
      </w:r>
      <w:r>
        <w:rPr>
          <w:rStyle w:val="18"/>
          <w:rFonts w:hint="eastAsia"/>
        </w:rPr>
        <w:t>部门概况</w:t>
      </w:r>
      <w:r>
        <w:tab/>
      </w:r>
      <w:r>
        <w:t>4</w:t>
      </w:r>
      <w:r>
        <w:fldChar w:fldCharType="end"/>
      </w:r>
    </w:p>
    <w:p>
      <w:pPr>
        <w:pStyle w:val="11"/>
        <w:ind w:left="31680"/>
        <w:rPr>
          <w:rFonts w:ascii="仿宋" w:hAnsi="仿宋" w:eastAsia="仿宋"/>
          <w:sz w:val="28"/>
          <w:szCs w:val="28"/>
        </w:rPr>
      </w:pPr>
      <w:r>
        <w:fldChar w:fldCharType="begin"/>
      </w:r>
      <w:r>
        <w:instrText xml:space="preserve"> HYPERLINK \l "_Toc15396600" </w:instrText>
      </w:r>
      <w:r>
        <w:fldChar w:fldCharType="separate"/>
      </w:r>
      <w:r>
        <w:rPr>
          <w:rStyle w:val="18"/>
          <w:rFonts w:hint="eastAsia" w:ascii="仿宋" w:hAnsi="仿宋" w:eastAsia="仿宋"/>
          <w:sz w:val="28"/>
          <w:szCs w:val="28"/>
        </w:rPr>
        <w:t>一、基本职能及主要工作</w:t>
      </w:r>
      <w:r>
        <w:rPr>
          <w:rFonts w:ascii="仿宋" w:hAnsi="仿宋" w:eastAsia="仿宋"/>
          <w:sz w:val="28"/>
          <w:szCs w:val="28"/>
        </w:rPr>
        <w:tab/>
      </w:r>
      <w:r>
        <w:rPr>
          <w:rFonts w:ascii="仿宋" w:hAnsi="仿宋" w:eastAsia="仿宋"/>
          <w:sz w:val="28"/>
          <w:szCs w:val="28"/>
        </w:rPr>
        <w:t>4</w:t>
      </w:r>
      <w:r>
        <w:rPr>
          <w:rFonts w:ascii="仿宋" w:hAnsi="仿宋" w:eastAsia="仿宋"/>
          <w:sz w:val="28"/>
          <w:szCs w:val="28"/>
        </w:rPr>
        <w:fldChar w:fldCharType="end"/>
      </w:r>
    </w:p>
    <w:p>
      <w:pPr>
        <w:pStyle w:val="11"/>
        <w:ind w:left="31680"/>
        <w:rPr>
          <w:rFonts w:ascii="仿宋" w:hAnsi="仿宋" w:eastAsia="仿宋"/>
          <w:sz w:val="28"/>
          <w:szCs w:val="28"/>
        </w:rPr>
      </w:pPr>
      <w:r>
        <w:fldChar w:fldCharType="begin"/>
      </w:r>
      <w:r>
        <w:instrText xml:space="preserve"> HYPERLINK \l "_Toc15396601" </w:instrText>
      </w:r>
      <w:r>
        <w:fldChar w:fldCharType="separate"/>
      </w:r>
      <w:r>
        <w:rPr>
          <w:rStyle w:val="18"/>
          <w:rFonts w:hint="eastAsia" w:ascii="仿宋" w:hAnsi="仿宋" w:eastAsia="仿宋"/>
          <w:sz w:val="28"/>
          <w:szCs w:val="28"/>
        </w:rPr>
        <w:t>二、机构设置</w:t>
      </w:r>
      <w:r>
        <w:rPr>
          <w:rFonts w:ascii="仿宋" w:hAnsi="仿宋" w:eastAsia="仿宋"/>
          <w:sz w:val="28"/>
          <w:szCs w:val="28"/>
        </w:rPr>
        <w:tab/>
      </w:r>
      <w:r>
        <w:rPr>
          <w:rFonts w:ascii="仿宋" w:hAnsi="仿宋" w:eastAsia="仿宋"/>
          <w:sz w:val="28"/>
          <w:szCs w:val="28"/>
        </w:rPr>
        <w:t>13</w:t>
      </w:r>
      <w:r>
        <w:rPr>
          <w:rFonts w:ascii="仿宋" w:hAnsi="仿宋" w:eastAsia="仿宋"/>
          <w:sz w:val="28"/>
          <w:szCs w:val="28"/>
        </w:rPr>
        <w:fldChar w:fldCharType="end"/>
      </w:r>
    </w:p>
    <w:p>
      <w:pPr>
        <w:pStyle w:val="10"/>
      </w:pPr>
      <w:r>
        <w:fldChar w:fldCharType="begin"/>
      </w:r>
      <w:r>
        <w:instrText xml:space="preserve"> HYPERLINK \l "_Toc15396602" </w:instrText>
      </w:r>
      <w:r>
        <w:fldChar w:fldCharType="separate"/>
      </w:r>
      <w:r>
        <w:rPr>
          <w:rStyle w:val="18"/>
          <w:rFonts w:hint="eastAsia"/>
        </w:rPr>
        <w:t>第二部分</w:t>
      </w:r>
      <w:r>
        <w:rPr>
          <w:rStyle w:val="18"/>
        </w:rPr>
        <w:t xml:space="preserve"> 2018</w:t>
      </w:r>
      <w:r>
        <w:rPr>
          <w:rStyle w:val="18"/>
          <w:rFonts w:hint="eastAsia"/>
        </w:rPr>
        <w:t>年度部门决算情况说明</w:t>
      </w:r>
      <w:r>
        <w:tab/>
      </w:r>
      <w:r>
        <w:t>15</w:t>
      </w:r>
      <w:r>
        <w:fldChar w:fldCharType="end"/>
      </w:r>
    </w:p>
    <w:p>
      <w:pPr>
        <w:pStyle w:val="11"/>
        <w:ind w:left="31680"/>
        <w:rPr>
          <w:rFonts w:ascii="仿宋" w:hAnsi="仿宋" w:eastAsia="仿宋"/>
          <w:sz w:val="28"/>
          <w:szCs w:val="28"/>
        </w:rPr>
      </w:pPr>
      <w:r>
        <w:fldChar w:fldCharType="begin"/>
      </w:r>
      <w:r>
        <w:instrText xml:space="preserve"> HYPERLINK \l "_Toc15396603" </w:instrText>
      </w:r>
      <w:r>
        <w:fldChar w:fldCharType="separate"/>
      </w:r>
      <w:r>
        <w:rPr>
          <w:rStyle w:val="18"/>
          <w:rFonts w:hint="eastAsia" w:ascii="仿宋" w:hAnsi="仿宋" w:eastAsia="仿宋"/>
          <w:bCs/>
          <w:sz w:val="28"/>
          <w:szCs w:val="28"/>
        </w:rPr>
        <w:t>一、</w:t>
      </w:r>
      <w:r>
        <w:rPr>
          <w:rStyle w:val="18"/>
          <w:rFonts w:hint="eastAsia" w:ascii="仿宋" w:hAnsi="仿宋" w:eastAsia="仿宋"/>
          <w:sz w:val="28"/>
          <w:szCs w:val="28"/>
        </w:rPr>
        <w:t>收</w:t>
      </w:r>
      <w:r>
        <w:rPr>
          <w:rStyle w:val="18"/>
          <w:rFonts w:hint="eastAsia" w:ascii="仿宋" w:hAnsi="仿宋" w:eastAsia="仿宋"/>
          <w:bCs/>
          <w:sz w:val="28"/>
          <w:szCs w:val="28"/>
        </w:rPr>
        <w:t>入支出决算总体情况说明</w:t>
      </w:r>
      <w:r>
        <w:rPr>
          <w:rFonts w:ascii="仿宋" w:hAnsi="仿宋" w:eastAsia="仿宋"/>
          <w:sz w:val="28"/>
          <w:szCs w:val="28"/>
        </w:rPr>
        <w:tab/>
      </w:r>
      <w:r>
        <w:rPr>
          <w:rFonts w:ascii="仿宋" w:hAnsi="仿宋" w:eastAsia="仿宋"/>
          <w:sz w:val="28"/>
          <w:szCs w:val="28"/>
        </w:rPr>
        <w:t>15</w:t>
      </w:r>
      <w:r>
        <w:rPr>
          <w:rFonts w:ascii="仿宋" w:hAnsi="仿宋" w:eastAsia="仿宋"/>
          <w:sz w:val="28"/>
          <w:szCs w:val="28"/>
        </w:rPr>
        <w:fldChar w:fldCharType="end"/>
      </w:r>
    </w:p>
    <w:p>
      <w:pPr>
        <w:pStyle w:val="11"/>
        <w:ind w:left="31680"/>
        <w:rPr>
          <w:rFonts w:ascii="仿宋" w:hAnsi="仿宋" w:eastAsia="仿宋"/>
          <w:sz w:val="28"/>
          <w:szCs w:val="28"/>
        </w:rPr>
      </w:pPr>
      <w:r>
        <w:fldChar w:fldCharType="begin"/>
      </w:r>
      <w:r>
        <w:instrText xml:space="preserve"> HYPERLINK \l "_Toc15396604" </w:instrText>
      </w:r>
      <w:r>
        <w:fldChar w:fldCharType="separate"/>
      </w:r>
      <w:r>
        <w:rPr>
          <w:rStyle w:val="18"/>
          <w:rFonts w:hint="eastAsia" w:ascii="仿宋" w:hAnsi="仿宋" w:eastAsia="仿宋"/>
          <w:bCs/>
          <w:sz w:val="28"/>
          <w:szCs w:val="28"/>
        </w:rPr>
        <w:t>二、</w:t>
      </w:r>
      <w:r>
        <w:rPr>
          <w:rStyle w:val="18"/>
          <w:rFonts w:hint="eastAsia" w:ascii="仿宋" w:hAnsi="仿宋" w:eastAsia="仿宋"/>
          <w:sz w:val="28"/>
          <w:szCs w:val="28"/>
        </w:rPr>
        <w:t>收</w:t>
      </w:r>
      <w:r>
        <w:rPr>
          <w:rStyle w:val="18"/>
          <w:rFonts w:hint="eastAsia" w:ascii="仿宋" w:hAnsi="仿宋" w:eastAsia="仿宋"/>
          <w:bCs/>
          <w:sz w:val="28"/>
          <w:szCs w:val="28"/>
        </w:rPr>
        <w:t>入决算情况说明</w:t>
      </w:r>
      <w:r>
        <w:rPr>
          <w:rFonts w:ascii="仿宋" w:hAnsi="仿宋" w:eastAsia="仿宋"/>
          <w:sz w:val="28"/>
          <w:szCs w:val="28"/>
        </w:rPr>
        <w:tab/>
      </w:r>
      <w:r>
        <w:rPr>
          <w:rFonts w:ascii="仿宋" w:hAnsi="仿宋" w:eastAsia="仿宋"/>
          <w:sz w:val="28"/>
          <w:szCs w:val="28"/>
        </w:rPr>
        <w:t>15</w:t>
      </w:r>
      <w:r>
        <w:rPr>
          <w:rFonts w:ascii="仿宋" w:hAnsi="仿宋" w:eastAsia="仿宋"/>
          <w:sz w:val="28"/>
          <w:szCs w:val="28"/>
        </w:rPr>
        <w:fldChar w:fldCharType="end"/>
      </w:r>
    </w:p>
    <w:p>
      <w:pPr>
        <w:pStyle w:val="11"/>
        <w:ind w:left="31680"/>
        <w:rPr>
          <w:rFonts w:ascii="仿宋" w:hAnsi="仿宋" w:eastAsia="仿宋"/>
          <w:sz w:val="28"/>
          <w:szCs w:val="28"/>
        </w:rPr>
      </w:pPr>
      <w:r>
        <w:fldChar w:fldCharType="begin"/>
      </w:r>
      <w:r>
        <w:instrText xml:space="preserve"> HYPERLINK \l "_Toc15396605" </w:instrText>
      </w:r>
      <w:r>
        <w:fldChar w:fldCharType="separate"/>
      </w:r>
      <w:r>
        <w:rPr>
          <w:rStyle w:val="18"/>
          <w:rFonts w:hint="eastAsia" w:ascii="仿宋" w:hAnsi="仿宋" w:eastAsia="仿宋"/>
          <w:bCs/>
          <w:sz w:val="28"/>
          <w:szCs w:val="28"/>
        </w:rPr>
        <w:t>三、</w:t>
      </w:r>
      <w:r>
        <w:rPr>
          <w:rStyle w:val="18"/>
          <w:rFonts w:hint="eastAsia" w:ascii="仿宋" w:hAnsi="仿宋" w:eastAsia="仿宋"/>
          <w:sz w:val="28"/>
          <w:szCs w:val="28"/>
        </w:rPr>
        <w:t>支</w:t>
      </w:r>
      <w:r>
        <w:rPr>
          <w:rStyle w:val="18"/>
          <w:rFonts w:hint="eastAsia" w:ascii="仿宋" w:hAnsi="仿宋" w:eastAsia="仿宋"/>
          <w:bCs/>
          <w:sz w:val="28"/>
          <w:szCs w:val="28"/>
        </w:rPr>
        <w:t>出决算情况说明</w:t>
      </w:r>
      <w:r>
        <w:rPr>
          <w:rFonts w:ascii="仿宋" w:hAnsi="仿宋" w:eastAsia="仿宋"/>
          <w:sz w:val="28"/>
          <w:szCs w:val="28"/>
        </w:rPr>
        <w:tab/>
      </w:r>
      <w:r>
        <w:rPr>
          <w:rFonts w:ascii="仿宋" w:hAnsi="仿宋" w:eastAsia="仿宋"/>
          <w:sz w:val="28"/>
          <w:szCs w:val="28"/>
        </w:rPr>
        <w:t>16</w:t>
      </w:r>
      <w:r>
        <w:rPr>
          <w:rFonts w:ascii="仿宋" w:hAnsi="仿宋" w:eastAsia="仿宋"/>
          <w:sz w:val="28"/>
          <w:szCs w:val="28"/>
        </w:rPr>
        <w:fldChar w:fldCharType="end"/>
      </w:r>
    </w:p>
    <w:p>
      <w:pPr>
        <w:pStyle w:val="11"/>
        <w:ind w:left="31680"/>
        <w:rPr>
          <w:rFonts w:ascii="仿宋" w:hAnsi="仿宋" w:eastAsia="仿宋"/>
          <w:sz w:val="28"/>
          <w:szCs w:val="28"/>
        </w:rPr>
      </w:pPr>
      <w:r>
        <w:fldChar w:fldCharType="begin"/>
      </w:r>
      <w:r>
        <w:instrText xml:space="preserve"> HYPERLINK \l "_Toc15396606" </w:instrText>
      </w:r>
      <w:r>
        <w:fldChar w:fldCharType="separate"/>
      </w:r>
      <w:r>
        <w:rPr>
          <w:rStyle w:val="18"/>
          <w:rFonts w:hint="eastAsia" w:ascii="仿宋" w:hAnsi="仿宋" w:eastAsia="仿宋"/>
          <w:sz w:val="28"/>
          <w:szCs w:val="28"/>
        </w:rPr>
        <w:t>四、财</w:t>
      </w:r>
      <w:r>
        <w:rPr>
          <w:rStyle w:val="18"/>
          <w:rFonts w:hint="eastAsia" w:ascii="仿宋" w:hAnsi="仿宋" w:eastAsia="仿宋"/>
          <w:bCs/>
          <w:sz w:val="28"/>
          <w:szCs w:val="28"/>
        </w:rPr>
        <w:t>政拨款收入支出决算总体情况说明</w:t>
      </w:r>
      <w:r>
        <w:rPr>
          <w:rFonts w:ascii="仿宋" w:hAnsi="仿宋" w:eastAsia="仿宋"/>
          <w:sz w:val="28"/>
          <w:szCs w:val="28"/>
        </w:rPr>
        <w:tab/>
      </w:r>
      <w:r>
        <w:rPr>
          <w:rFonts w:ascii="仿宋" w:hAnsi="仿宋" w:eastAsia="仿宋"/>
          <w:sz w:val="28"/>
          <w:szCs w:val="28"/>
        </w:rPr>
        <w:t>17</w:t>
      </w:r>
      <w:r>
        <w:rPr>
          <w:rFonts w:ascii="仿宋" w:hAnsi="仿宋" w:eastAsia="仿宋"/>
          <w:sz w:val="28"/>
          <w:szCs w:val="28"/>
        </w:rPr>
        <w:fldChar w:fldCharType="end"/>
      </w:r>
    </w:p>
    <w:p>
      <w:pPr>
        <w:pStyle w:val="11"/>
        <w:ind w:left="31680"/>
        <w:rPr>
          <w:rFonts w:ascii="仿宋" w:hAnsi="仿宋" w:eastAsia="仿宋"/>
          <w:sz w:val="28"/>
          <w:szCs w:val="28"/>
        </w:rPr>
      </w:pPr>
      <w:r>
        <w:fldChar w:fldCharType="begin"/>
      </w:r>
      <w:r>
        <w:instrText xml:space="preserve"> HYPERLINK \l "_Toc15396607" </w:instrText>
      </w:r>
      <w:r>
        <w:fldChar w:fldCharType="separate"/>
      </w:r>
      <w:r>
        <w:rPr>
          <w:rStyle w:val="18"/>
          <w:rFonts w:hint="eastAsia" w:ascii="仿宋" w:hAnsi="仿宋" w:eastAsia="仿宋"/>
          <w:sz w:val="28"/>
          <w:szCs w:val="28"/>
        </w:rPr>
        <w:t>五、一</w:t>
      </w:r>
      <w:r>
        <w:rPr>
          <w:rStyle w:val="18"/>
          <w:rFonts w:hint="eastAsia" w:ascii="仿宋" w:hAnsi="仿宋" w:eastAsia="仿宋"/>
          <w:bCs/>
          <w:sz w:val="28"/>
          <w:szCs w:val="28"/>
        </w:rPr>
        <w:t>般公共预算财政拨款支出决算情况说明</w:t>
      </w:r>
      <w:r>
        <w:rPr>
          <w:rFonts w:ascii="仿宋" w:hAnsi="仿宋" w:eastAsia="仿宋"/>
          <w:sz w:val="28"/>
          <w:szCs w:val="28"/>
        </w:rPr>
        <w:tab/>
      </w:r>
      <w:r>
        <w:rPr>
          <w:rFonts w:ascii="仿宋" w:hAnsi="仿宋" w:eastAsia="仿宋"/>
          <w:sz w:val="28"/>
          <w:szCs w:val="28"/>
        </w:rPr>
        <w:t>18</w:t>
      </w:r>
      <w:r>
        <w:rPr>
          <w:rFonts w:ascii="仿宋" w:hAnsi="仿宋" w:eastAsia="仿宋"/>
          <w:sz w:val="28"/>
          <w:szCs w:val="28"/>
        </w:rPr>
        <w:fldChar w:fldCharType="end"/>
      </w:r>
    </w:p>
    <w:p>
      <w:pPr>
        <w:pStyle w:val="11"/>
        <w:ind w:left="31680"/>
        <w:rPr>
          <w:rFonts w:ascii="仿宋" w:hAnsi="仿宋" w:eastAsia="仿宋"/>
          <w:sz w:val="28"/>
          <w:szCs w:val="28"/>
        </w:rPr>
      </w:pPr>
      <w:r>
        <w:fldChar w:fldCharType="begin"/>
      </w:r>
      <w:r>
        <w:instrText xml:space="preserve"> HYPERLINK \l "_Toc15396608" </w:instrText>
      </w:r>
      <w:r>
        <w:fldChar w:fldCharType="separate"/>
      </w:r>
      <w:r>
        <w:rPr>
          <w:rStyle w:val="18"/>
          <w:rFonts w:hint="eastAsia" w:ascii="仿宋" w:hAnsi="仿宋" w:eastAsia="仿宋"/>
          <w:sz w:val="28"/>
          <w:szCs w:val="28"/>
        </w:rPr>
        <w:t>六、一</w:t>
      </w:r>
      <w:r>
        <w:rPr>
          <w:rStyle w:val="18"/>
          <w:rFonts w:hint="eastAsia" w:ascii="仿宋" w:hAnsi="仿宋" w:eastAsia="仿宋"/>
          <w:bCs/>
          <w:sz w:val="28"/>
          <w:szCs w:val="28"/>
        </w:rPr>
        <w:t>般公共预算财政拨款基本支出决算情况说明</w:t>
      </w:r>
      <w:r>
        <w:rPr>
          <w:rFonts w:ascii="仿宋" w:hAnsi="仿宋" w:eastAsia="仿宋"/>
          <w:sz w:val="28"/>
          <w:szCs w:val="28"/>
        </w:rPr>
        <w:tab/>
      </w:r>
      <w:r>
        <w:rPr>
          <w:rFonts w:ascii="仿宋" w:hAnsi="仿宋" w:eastAsia="仿宋"/>
          <w:sz w:val="28"/>
          <w:szCs w:val="28"/>
        </w:rPr>
        <w:t>22</w:t>
      </w:r>
      <w:r>
        <w:rPr>
          <w:rFonts w:ascii="仿宋" w:hAnsi="仿宋" w:eastAsia="仿宋"/>
          <w:sz w:val="28"/>
          <w:szCs w:val="28"/>
        </w:rPr>
        <w:fldChar w:fldCharType="end"/>
      </w:r>
    </w:p>
    <w:p>
      <w:pPr>
        <w:pStyle w:val="11"/>
        <w:bidi w:val="0"/>
        <w:rPr>
          <w:rFonts w:ascii="仿宋" w:hAnsi="仿宋" w:eastAsia="仿宋"/>
          <w:sz w:val="28"/>
          <w:szCs w:val="28"/>
        </w:rPr>
      </w:pPr>
      <w:r>
        <w:fldChar w:fldCharType="begin"/>
      </w:r>
      <w:r>
        <w:instrText xml:space="preserve"> HYPERLINK \l "_Toc15396609" </w:instrText>
      </w:r>
      <w:r>
        <w:fldChar w:fldCharType="separate"/>
      </w:r>
      <w:r>
        <w:rPr>
          <w:rStyle w:val="18"/>
          <w:rFonts w:hint="eastAsia" w:ascii="仿宋" w:hAnsi="仿宋" w:eastAsia="仿宋"/>
          <w:sz w:val="28"/>
          <w:szCs w:val="28"/>
        </w:rPr>
        <w:t>七、“</w:t>
      </w:r>
      <w:r>
        <w:rPr>
          <w:rStyle w:val="18"/>
          <w:rFonts w:hint="eastAsia" w:ascii="仿宋" w:hAnsi="仿宋" w:eastAsia="仿宋"/>
          <w:bCs/>
          <w:sz w:val="28"/>
          <w:szCs w:val="28"/>
        </w:rPr>
        <w:t>三公”经费财政拨款支出决算情况说明</w:t>
      </w:r>
      <w:r>
        <w:rPr>
          <w:rFonts w:ascii="仿宋" w:hAnsi="仿宋" w:eastAsia="仿宋"/>
          <w:sz w:val="28"/>
          <w:szCs w:val="28"/>
        </w:rPr>
        <w:tab/>
      </w:r>
      <w:r>
        <w:rPr>
          <w:rFonts w:ascii="仿宋" w:hAnsi="仿宋" w:eastAsia="仿宋"/>
          <w:sz w:val="28"/>
          <w:szCs w:val="28"/>
        </w:rPr>
        <w:t>22</w:t>
      </w:r>
      <w:r>
        <w:rPr>
          <w:rFonts w:ascii="仿宋" w:hAnsi="仿宋" w:eastAsia="仿宋"/>
          <w:sz w:val="28"/>
          <w:szCs w:val="28"/>
        </w:rPr>
        <w:fldChar w:fldCharType="end"/>
      </w:r>
    </w:p>
    <w:p>
      <w:pPr>
        <w:pStyle w:val="11"/>
        <w:ind w:left="31680"/>
        <w:rPr>
          <w:rFonts w:ascii="仿宋" w:hAnsi="仿宋" w:eastAsia="仿宋"/>
          <w:sz w:val="28"/>
          <w:szCs w:val="28"/>
        </w:rPr>
      </w:pPr>
      <w:r>
        <w:fldChar w:fldCharType="begin"/>
      </w:r>
      <w:r>
        <w:instrText xml:space="preserve"> HYPERLINK \l "_Toc15396610" </w:instrText>
      </w:r>
      <w:r>
        <w:fldChar w:fldCharType="separate"/>
      </w:r>
      <w:r>
        <w:rPr>
          <w:rStyle w:val="18"/>
          <w:rFonts w:hint="eastAsia" w:ascii="仿宋" w:hAnsi="仿宋" w:eastAsia="仿宋"/>
          <w:sz w:val="28"/>
          <w:szCs w:val="28"/>
        </w:rPr>
        <w:t>八、</w:t>
      </w:r>
      <w:r>
        <w:rPr>
          <w:rStyle w:val="18"/>
          <w:rFonts w:hint="eastAsia" w:ascii="仿宋" w:hAnsi="仿宋" w:eastAsia="仿宋"/>
          <w:bCs/>
          <w:sz w:val="28"/>
          <w:szCs w:val="28"/>
        </w:rPr>
        <w:t>政府性基金预算支出决算情况说明</w:t>
      </w:r>
      <w:r>
        <w:rPr>
          <w:rFonts w:ascii="仿宋" w:hAnsi="仿宋" w:eastAsia="仿宋"/>
          <w:sz w:val="28"/>
          <w:szCs w:val="28"/>
        </w:rPr>
        <w:tab/>
      </w:r>
      <w:r>
        <w:rPr>
          <w:rFonts w:ascii="仿宋" w:hAnsi="仿宋" w:eastAsia="仿宋"/>
          <w:sz w:val="28"/>
          <w:szCs w:val="28"/>
        </w:rPr>
        <w:t>24</w:t>
      </w:r>
      <w:r>
        <w:rPr>
          <w:rFonts w:ascii="仿宋" w:hAnsi="仿宋" w:eastAsia="仿宋"/>
          <w:sz w:val="28"/>
          <w:szCs w:val="28"/>
        </w:rPr>
        <w:fldChar w:fldCharType="end"/>
      </w:r>
    </w:p>
    <w:p>
      <w:pPr>
        <w:pStyle w:val="11"/>
        <w:ind w:left="31680"/>
      </w:pPr>
      <w:r>
        <w:fldChar w:fldCharType="begin"/>
      </w:r>
      <w:r>
        <w:instrText xml:space="preserve"> HYPERLINK \l "_Toc15396611" </w:instrText>
      </w:r>
      <w:r>
        <w:fldChar w:fldCharType="separate"/>
      </w:r>
      <w:r>
        <w:rPr>
          <w:rStyle w:val="18"/>
          <w:rFonts w:hint="eastAsia" w:ascii="仿宋" w:hAnsi="仿宋" w:eastAsia="仿宋"/>
          <w:bCs/>
          <w:sz w:val="28"/>
          <w:szCs w:val="28"/>
        </w:rPr>
        <w:t>九、</w:t>
      </w:r>
      <w:r>
        <w:rPr>
          <w:rStyle w:val="18"/>
          <w:rFonts w:ascii="仿宋" w:hAnsi="仿宋" w:eastAsia="仿宋"/>
          <w:sz w:val="28"/>
          <w:szCs w:val="28"/>
        </w:rPr>
        <w:t xml:space="preserve"> </w:t>
      </w:r>
      <w:r>
        <w:rPr>
          <w:rStyle w:val="18"/>
          <w:rFonts w:hint="eastAsia" w:ascii="仿宋" w:hAnsi="仿宋" w:eastAsia="仿宋"/>
          <w:sz w:val="28"/>
          <w:szCs w:val="28"/>
        </w:rPr>
        <w:t>国</w:t>
      </w:r>
      <w:r>
        <w:rPr>
          <w:rStyle w:val="18"/>
          <w:rFonts w:hint="eastAsia" w:ascii="仿宋" w:hAnsi="仿宋" w:eastAsia="仿宋"/>
          <w:bCs/>
          <w:sz w:val="28"/>
          <w:szCs w:val="28"/>
        </w:rPr>
        <w:t>有资本经营预算支出决算情况说明</w:t>
      </w:r>
      <w:r>
        <w:rPr>
          <w:rFonts w:ascii="仿宋" w:hAnsi="仿宋" w:eastAsia="仿宋"/>
          <w:sz w:val="28"/>
          <w:szCs w:val="28"/>
        </w:rPr>
        <w:tab/>
      </w:r>
      <w:r>
        <w:rPr>
          <w:rFonts w:ascii="仿宋" w:hAnsi="仿宋" w:eastAsia="仿宋"/>
          <w:sz w:val="28"/>
          <w:szCs w:val="28"/>
        </w:rPr>
        <w:t>24</w:t>
      </w:r>
      <w:r>
        <w:rPr>
          <w:rFonts w:ascii="仿宋" w:hAnsi="仿宋" w:eastAsia="仿宋"/>
          <w:sz w:val="28"/>
          <w:szCs w:val="28"/>
        </w:rPr>
        <w:fldChar w:fldCharType="end"/>
      </w:r>
    </w:p>
    <w:p>
      <w:pPr>
        <w:pStyle w:val="11"/>
        <w:ind w:left="31680"/>
      </w:pPr>
      <w:r>
        <w:fldChar w:fldCharType="begin"/>
      </w:r>
      <w:r>
        <w:instrText xml:space="preserve"> HYPERLINK \l "_Toc15396611" </w:instrText>
      </w:r>
      <w:r>
        <w:fldChar w:fldCharType="separate"/>
      </w:r>
      <w:r>
        <w:rPr>
          <w:rStyle w:val="18"/>
          <w:rFonts w:hint="eastAsia" w:ascii="仿宋" w:hAnsi="仿宋" w:eastAsia="仿宋"/>
          <w:bCs/>
          <w:sz w:val="28"/>
          <w:szCs w:val="28"/>
        </w:rPr>
        <w:t>十、</w:t>
      </w:r>
      <w:r>
        <w:rPr>
          <w:rStyle w:val="18"/>
          <w:rFonts w:ascii="仿宋" w:hAnsi="仿宋" w:eastAsia="仿宋"/>
          <w:sz w:val="28"/>
          <w:szCs w:val="28"/>
        </w:rPr>
        <w:t xml:space="preserve"> </w:t>
      </w:r>
      <w:r>
        <w:rPr>
          <w:rStyle w:val="18"/>
          <w:rFonts w:hint="eastAsia" w:ascii="仿宋" w:hAnsi="仿宋" w:eastAsia="仿宋"/>
          <w:sz w:val="28"/>
          <w:szCs w:val="28"/>
        </w:rPr>
        <w:t>绩效情况说明</w:t>
      </w:r>
      <w:r>
        <w:rPr>
          <w:rFonts w:ascii="仿宋" w:hAnsi="仿宋" w:eastAsia="仿宋"/>
          <w:sz w:val="28"/>
          <w:szCs w:val="28"/>
        </w:rPr>
        <w:tab/>
      </w:r>
      <w:r>
        <w:rPr>
          <w:rFonts w:ascii="仿宋" w:hAnsi="仿宋" w:eastAsia="仿宋"/>
          <w:sz w:val="28"/>
          <w:szCs w:val="28"/>
        </w:rPr>
        <w:t>25</w:t>
      </w:r>
      <w:r>
        <w:rPr>
          <w:rFonts w:ascii="仿宋" w:hAnsi="仿宋" w:eastAsia="仿宋"/>
          <w:sz w:val="28"/>
          <w:szCs w:val="28"/>
        </w:rPr>
        <w:fldChar w:fldCharType="end"/>
      </w:r>
    </w:p>
    <w:p>
      <w:pPr>
        <w:pStyle w:val="11"/>
        <w:ind w:left="31680"/>
        <w:rPr>
          <w:rFonts w:ascii="仿宋" w:hAnsi="仿宋" w:eastAsia="仿宋"/>
          <w:sz w:val="28"/>
          <w:szCs w:val="28"/>
        </w:rPr>
      </w:pPr>
      <w:r>
        <w:fldChar w:fldCharType="begin"/>
      </w:r>
      <w:r>
        <w:instrText xml:space="preserve"> HYPERLINK \l "_Toc15396612" </w:instrText>
      </w:r>
      <w:r>
        <w:fldChar w:fldCharType="separate"/>
      </w:r>
      <w:r>
        <w:rPr>
          <w:rStyle w:val="18"/>
          <w:rFonts w:hint="eastAsia" w:ascii="仿宋" w:hAnsi="仿宋" w:eastAsia="仿宋"/>
          <w:sz w:val="28"/>
          <w:szCs w:val="28"/>
        </w:rPr>
        <w:t>十</w:t>
      </w:r>
      <w:r>
        <w:rPr>
          <w:rStyle w:val="18"/>
          <w:rFonts w:hint="eastAsia" w:ascii="仿宋" w:hAnsi="仿宋" w:eastAsia="仿宋"/>
          <w:bCs/>
          <w:sz w:val="28"/>
          <w:szCs w:val="28"/>
        </w:rPr>
        <w:t>一、其他重要事项的情况说明</w:t>
      </w:r>
      <w:r>
        <w:rPr>
          <w:rFonts w:ascii="仿宋" w:hAnsi="仿宋" w:eastAsia="仿宋"/>
          <w:sz w:val="28"/>
          <w:szCs w:val="28"/>
        </w:rPr>
        <w:tab/>
      </w:r>
      <w:r>
        <w:rPr>
          <w:rFonts w:ascii="仿宋" w:hAnsi="仿宋" w:eastAsia="仿宋"/>
          <w:sz w:val="28"/>
          <w:szCs w:val="28"/>
        </w:rPr>
        <w:t>29</w:t>
      </w:r>
      <w:r>
        <w:rPr>
          <w:rFonts w:ascii="仿宋" w:hAnsi="仿宋" w:eastAsia="仿宋"/>
          <w:sz w:val="28"/>
          <w:szCs w:val="28"/>
        </w:rPr>
        <w:fldChar w:fldCharType="end"/>
      </w:r>
    </w:p>
    <w:p>
      <w:pPr>
        <w:pStyle w:val="10"/>
      </w:pPr>
      <w:r>
        <w:fldChar w:fldCharType="begin"/>
      </w:r>
      <w:r>
        <w:instrText xml:space="preserve"> HYPERLINK \l "_Toc15396613" </w:instrText>
      </w:r>
      <w:r>
        <w:fldChar w:fldCharType="separate"/>
      </w:r>
      <w:r>
        <w:rPr>
          <w:rStyle w:val="18"/>
          <w:rFonts w:hint="eastAsia"/>
          <w:bCs/>
          <w:kern w:val="44"/>
        </w:rPr>
        <w:t>第三部分</w:t>
      </w:r>
      <w:r>
        <w:rPr>
          <w:rStyle w:val="18"/>
        </w:rPr>
        <w:t xml:space="preserve"> </w:t>
      </w:r>
      <w:r>
        <w:rPr>
          <w:rStyle w:val="18"/>
          <w:rFonts w:hint="eastAsia"/>
        </w:rPr>
        <w:t>名</w:t>
      </w:r>
      <w:r>
        <w:rPr>
          <w:rStyle w:val="18"/>
          <w:rFonts w:hint="eastAsia"/>
          <w:bCs/>
          <w:kern w:val="44"/>
        </w:rPr>
        <w:t>词解释</w:t>
      </w:r>
      <w:r>
        <w:tab/>
      </w:r>
      <w:r>
        <w:t>31</w:t>
      </w:r>
      <w:r>
        <w:fldChar w:fldCharType="end"/>
      </w:r>
    </w:p>
    <w:p>
      <w:pPr>
        <w:pStyle w:val="10"/>
      </w:pPr>
      <w:r>
        <w:fldChar w:fldCharType="begin"/>
      </w:r>
      <w:r>
        <w:instrText xml:space="preserve"> HYPERLINK \l "_Toc15396614" </w:instrText>
      </w:r>
      <w:r>
        <w:fldChar w:fldCharType="separate"/>
      </w:r>
      <w:r>
        <w:rPr>
          <w:rStyle w:val="18"/>
          <w:rFonts w:hint="eastAsia"/>
        </w:rPr>
        <w:t>第</w:t>
      </w:r>
      <w:r>
        <w:rPr>
          <w:rStyle w:val="18"/>
          <w:rFonts w:hint="eastAsia"/>
          <w:bCs/>
          <w:kern w:val="44"/>
        </w:rPr>
        <w:t>四部分</w:t>
      </w:r>
      <w:r>
        <w:rPr>
          <w:rStyle w:val="18"/>
          <w:bCs/>
          <w:kern w:val="44"/>
        </w:rPr>
        <w:t xml:space="preserve"> </w:t>
      </w:r>
      <w:r>
        <w:rPr>
          <w:rStyle w:val="18"/>
          <w:rFonts w:hint="eastAsia"/>
          <w:bCs/>
          <w:kern w:val="44"/>
        </w:rPr>
        <w:t>附件</w:t>
      </w:r>
      <w:r>
        <w:tab/>
      </w:r>
      <w:r>
        <w:t>37</w:t>
      </w:r>
      <w:r>
        <w:fldChar w:fldCharType="end"/>
      </w:r>
    </w:p>
    <w:p>
      <w:pPr>
        <w:pStyle w:val="11"/>
        <w:ind w:left="31680"/>
        <w:rPr>
          <w:rFonts w:ascii="仿宋" w:hAnsi="仿宋" w:eastAsia="仿宋"/>
          <w:sz w:val="28"/>
          <w:szCs w:val="28"/>
        </w:rPr>
      </w:pPr>
      <w:r>
        <w:fldChar w:fldCharType="begin"/>
      </w:r>
      <w:r>
        <w:instrText xml:space="preserve"> HYPERLINK \l "_Toc15396615" </w:instrText>
      </w:r>
      <w:r>
        <w:fldChar w:fldCharType="separate"/>
      </w:r>
      <w:r>
        <w:rPr>
          <w:rStyle w:val="18"/>
          <w:rFonts w:hint="eastAsia" w:ascii="仿宋" w:hAnsi="仿宋" w:eastAsia="仿宋"/>
          <w:kern w:val="44"/>
          <w:sz w:val="28"/>
          <w:szCs w:val="28"/>
        </w:rPr>
        <w:t>附件</w:t>
      </w:r>
      <w:r>
        <w:rPr>
          <w:rStyle w:val="18"/>
          <w:rFonts w:ascii="仿宋" w:hAnsi="仿宋" w:eastAsia="仿宋"/>
          <w:kern w:val="44"/>
          <w:sz w:val="28"/>
          <w:szCs w:val="28"/>
        </w:rPr>
        <w:t>1</w:t>
      </w:r>
      <w:r>
        <w:rPr>
          <w:rFonts w:ascii="仿宋" w:hAnsi="仿宋" w:eastAsia="仿宋"/>
          <w:sz w:val="28"/>
          <w:szCs w:val="28"/>
        </w:rPr>
        <w:tab/>
      </w:r>
      <w:r>
        <w:rPr>
          <w:rFonts w:ascii="仿宋" w:hAnsi="仿宋" w:eastAsia="仿宋"/>
          <w:sz w:val="28"/>
          <w:szCs w:val="28"/>
        </w:rPr>
        <w:t>37</w:t>
      </w:r>
      <w:r>
        <w:rPr>
          <w:rFonts w:ascii="仿宋" w:hAnsi="仿宋" w:eastAsia="仿宋"/>
          <w:sz w:val="28"/>
          <w:szCs w:val="28"/>
        </w:rPr>
        <w:fldChar w:fldCharType="end"/>
      </w:r>
    </w:p>
    <w:p>
      <w:pPr>
        <w:pStyle w:val="10"/>
        <w:jc w:val="left"/>
        <w:rPr>
          <w:rFonts w:hint="default" w:eastAsia="仿宋"/>
          <w:lang w:val="en-US" w:eastAsia="zh-CN"/>
        </w:rPr>
      </w:pPr>
      <w:r>
        <w:rPr>
          <w:rFonts w:hint="eastAsia"/>
          <w:lang w:val="en-US" w:eastAsia="zh-CN"/>
        </w:rPr>
        <w:t xml:space="preserve">  附件 2</w:t>
      </w:r>
      <w:r>
        <w:rPr>
          <w:rFonts w:ascii="仿宋" w:hAnsi="仿宋" w:eastAsia="仿宋"/>
          <w:sz w:val="28"/>
          <w:szCs w:val="28"/>
        </w:rPr>
        <w:tab/>
      </w:r>
      <w:r>
        <w:rPr>
          <w:rFonts w:hint="eastAsia"/>
          <w:sz w:val="28"/>
          <w:szCs w:val="28"/>
          <w:lang w:val="en-US" w:eastAsia="zh-CN"/>
        </w:rPr>
        <w:t>45</w:t>
      </w:r>
    </w:p>
    <w:p>
      <w:pPr>
        <w:pStyle w:val="10"/>
        <w:rPr>
          <w:rFonts w:hint="eastAsia" w:eastAsia="仿宋"/>
          <w:lang w:val="en-US" w:eastAsia="zh-CN"/>
        </w:rPr>
      </w:pPr>
      <w:r>
        <w:fldChar w:fldCharType="begin"/>
      </w:r>
      <w:r>
        <w:instrText xml:space="preserve"> HYPERLINK \l "_Toc15396618" </w:instrText>
      </w:r>
      <w:r>
        <w:fldChar w:fldCharType="separate"/>
      </w:r>
      <w:r>
        <w:rPr>
          <w:rStyle w:val="18"/>
          <w:rFonts w:hint="eastAsia"/>
        </w:rPr>
        <w:t>第</w:t>
      </w:r>
      <w:r>
        <w:rPr>
          <w:rStyle w:val="18"/>
          <w:rFonts w:hint="eastAsia"/>
          <w:bCs/>
          <w:kern w:val="44"/>
        </w:rPr>
        <w:t>五部分</w:t>
      </w:r>
      <w:r>
        <w:rPr>
          <w:rStyle w:val="18"/>
          <w:bCs/>
          <w:kern w:val="44"/>
        </w:rPr>
        <w:t xml:space="preserve"> </w:t>
      </w:r>
      <w:r>
        <w:rPr>
          <w:rStyle w:val="18"/>
          <w:rFonts w:hint="eastAsia"/>
          <w:bCs/>
          <w:kern w:val="44"/>
        </w:rPr>
        <w:t>附表</w:t>
      </w:r>
      <w:r>
        <w:tab/>
      </w:r>
      <w:r>
        <w:rPr>
          <w:rFonts w:hint="eastAsia"/>
          <w:lang w:val="en-US" w:eastAsia="zh-CN"/>
        </w:rPr>
        <w:t>5</w:t>
      </w:r>
      <w:r>
        <w:fldChar w:fldCharType="end"/>
      </w:r>
      <w:r>
        <w:rPr>
          <w:rFonts w:hint="eastAsia"/>
          <w:lang w:val="en-US" w:eastAsia="zh-CN"/>
        </w:rPr>
        <w:t>0</w:t>
      </w:r>
    </w:p>
    <w:p>
      <w:pPr>
        <w:pStyle w:val="11"/>
        <w:ind w:left="31680"/>
        <w:rPr>
          <w:rFonts w:hint="eastAsia" w:ascii="仿宋" w:hAnsi="仿宋" w:eastAsia="仿宋"/>
          <w:sz w:val="28"/>
          <w:szCs w:val="28"/>
          <w:lang w:val="en-US" w:eastAsia="zh-CN"/>
        </w:rPr>
      </w:pPr>
      <w:r>
        <w:rPr>
          <w:rFonts w:hint="eastAsia" w:ascii="仿宋" w:hAnsi="仿宋" w:eastAsia="仿宋"/>
          <w:sz w:val="28"/>
          <w:szCs w:val="28"/>
        </w:rPr>
        <w:t>一、</w:t>
      </w:r>
      <w:r>
        <w:fldChar w:fldCharType="begin"/>
      </w:r>
      <w:r>
        <w:instrText xml:space="preserve"> HYPERLINK \l "_Toc15396619" </w:instrText>
      </w:r>
      <w:r>
        <w:fldChar w:fldCharType="separate"/>
      </w:r>
      <w:r>
        <w:rPr>
          <w:rStyle w:val="18"/>
          <w:rFonts w:hint="eastAsia" w:ascii="仿宋" w:hAnsi="仿宋" w:eastAsia="仿宋"/>
          <w:sz w:val="28"/>
          <w:szCs w:val="28"/>
        </w:rPr>
        <w:t>收入支出决算总表</w:t>
      </w:r>
      <w:r>
        <w:rPr>
          <w:rFonts w:ascii="仿宋" w:hAnsi="仿宋" w:eastAsia="仿宋"/>
          <w:sz w:val="28"/>
          <w:szCs w:val="28"/>
        </w:rPr>
        <w:tab/>
      </w:r>
      <w:r>
        <w:rPr>
          <w:rFonts w:hint="eastAsia" w:ascii="仿宋" w:hAnsi="仿宋" w:eastAsia="仿宋"/>
          <w:sz w:val="28"/>
          <w:szCs w:val="28"/>
          <w:lang w:val="en-US" w:eastAsia="zh-CN"/>
        </w:rPr>
        <w:t>5</w:t>
      </w:r>
      <w:r>
        <w:rPr>
          <w:rFonts w:ascii="仿宋" w:hAnsi="仿宋" w:eastAsia="仿宋"/>
          <w:sz w:val="28"/>
          <w:szCs w:val="28"/>
        </w:rPr>
        <w:fldChar w:fldCharType="end"/>
      </w:r>
      <w:r>
        <w:rPr>
          <w:rFonts w:hint="eastAsia" w:ascii="仿宋" w:hAnsi="仿宋" w:eastAsia="仿宋"/>
          <w:sz w:val="28"/>
          <w:szCs w:val="28"/>
          <w:lang w:val="en-US" w:eastAsia="zh-CN"/>
        </w:rPr>
        <w:t>0</w:t>
      </w:r>
    </w:p>
    <w:p>
      <w:pPr>
        <w:pStyle w:val="11"/>
        <w:ind w:left="31680"/>
        <w:rPr>
          <w:rFonts w:hint="eastAsia" w:ascii="仿宋" w:hAnsi="仿宋" w:eastAsia="仿宋"/>
          <w:sz w:val="28"/>
          <w:szCs w:val="28"/>
          <w:lang w:val="en-US" w:eastAsia="zh-CN"/>
        </w:rPr>
      </w:pPr>
      <w:r>
        <w:rPr>
          <w:rFonts w:hint="eastAsia" w:ascii="仿宋" w:hAnsi="仿宋" w:eastAsia="仿宋"/>
          <w:sz w:val="28"/>
          <w:szCs w:val="28"/>
        </w:rPr>
        <w:t>二、</w:t>
      </w:r>
      <w:r>
        <w:fldChar w:fldCharType="begin"/>
      </w:r>
      <w:r>
        <w:instrText xml:space="preserve"> HYPERLINK \l "_Toc15396620" </w:instrText>
      </w:r>
      <w:r>
        <w:fldChar w:fldCharType="separate"/>
      </w:r>
      <w:r>
        <w:rPr>
          <w:rStyle w:val="18"/>
          <w:rFonts w:hint="eastAsia" w:ascii="仿宋" w:hAnsi="仿宋" w:eastAsia="仿宋"/>
          <w:sz w:val="28"/>
          <w:szCs w:val="28"/>
        </w:rPr>
        <w:t>收入总表</w:t>
      </w:r>
      <w:r>
        <w:rPr>
          <w:rFonts w:ascii="仿宋" w:hAnsi="仿宋" w:eastAsia="仿宋"/>
          <w:sz w:val="28"/>
          <w:szCs w:val="28"/>
        </w:rPr>
        <w:tab/>
      </w:r>
      <w:r>
        <w:rPr>
          <w:rFonts w:hint="eastAsia" w:ascii="仿宋" w:hAnsi="仿宋" w:eastAsia="仿宋"/>
          <w:sz w:val="28"/>
          <w:szCs w:val="28"/>
          <w:lang w:val="en-US" w:eastAsia="zh-CN"/>
        </w:rPr>
        <w:t>5</w:t>
      </w:r>
      <w:r>
        <w:rPr>
          <w:rFonts w:ascii="仿宋" w:hAnsi="仿宋" w:eastAsia="仿宋"/>
          <w:sz w:val="28"/>
          <w:szCs w:val="28"/>
        </w:rPr>
        <w:fldChar w:fldCharType="end"/>
      </w:r>
      <w:r>
        <w:rPr>
          <w:rFonts w:hint="eastAsia" w:ascii="仿宋" w:hAnsi="仿宋" w:eastAsia="仿宋"/>
          <w:sz w:val="28"/>
          <w:szCs w:val="28"/>
          <w:lang w:val="en-US" w:eastAsia="zh-CN"/>
        </w:rPr>
        <w:t>0</w:t>
      </w:r>
    </w:p>
    <w:p>
      <w:pPr>
        <w:pStyle w:val="11"/>
        <w:ind w:left="31680"/>
        <w:rPr>
          <w:rFonts w:hint="eastAsia" w:ascii="仿宋" w:hAnsi="仿宋" w:eastAsia="仿宋"/>
          <w:sz w:val="28"/>
          <w:szCs w:val="28"/>
          <w:lang w:val="en-US" w:eastAsia="zh-CN"/>
        </w:rPr>
      </w:pPr>
      <w:r>
        <w:rPr>
          <w:rFonts w:hint="eastAsia" w:ascii="仿宋" w:hAnsi="仿宋" w:eastAsia="仿宋"/>
          <w:sz w:val="28"/>
          <w:szCs w:val="28"/>
        </w:rPr>
        <w:t>三、</w:t>
      </w:r>
      <w:r>
        <w:fldChar w:fldCharType="begin"/>
      </w:r>
      <w:r>
        <w:instrText xml:space="preserve"> HYPERLINK \l "_Toc15396621" </w:instrText>
      </w:r>
      <w:r>
        <w:fldChar w:fldCharType="separate"/>
      </w:r>
      <w:r>
        <w:rPr>
          <w:rStyle w:val="18"/>
          <w:rFonts w:hint="eastAsia" w:ascii="仿宋" w:hAnsi="仿宋" w:eastAsia="仿宋"/>
          <w:sz w:val="28"/>
          <w:szCs w:val="28"/>
        </w:rPr>
        <w:t>支出总表</w:t>
      </w:r>
      <w:r>
        <w:rPr>
          <w:rFonts w:ascii="仿宋" w:hAnsi="仿宋" w:eastAsia="仿宋"/>
          <w:sz w:val="28"/>
          <w:szCs w:val="28"/>
        </w:rPr>
        <w:tab/>
      </w:r>
      <w:r>
        <w:rPr>
          <w:rFonts w:hint="eastAsia" w:ascii="仿宋" w:hAnsi="仿宋" w:eastAsia="仿宋"/>
          <w:sz w:val="28"/>
          <w:szCs w:val="28"/>
          <w:lang w:val="en-US" w:eastAsia="zh-CN"/>
        </w:rPr>
        <w:t>5</w:t>
      </w:r>
      <w:r>
        <w:rPr>
          <w:rFonts w:ascii="仿宋" w:hAnsi="仿宋" w:eastAsia="仿宋"/>
          <w:sz w:val="28"/>
          <w:szCs w:val="28"/>
        </w:rPr>
        <w:fldChar w:fldCharType="end"/>
      </w:r>
      <w:r>
        <w:rPr>
          <w:rFonts w:hint="eastAsia" w:ascii="仿宋" w:hAnsi="仿宋" w:eastAsia="仿宋"/>
          <w:sz w:val="28"/>
          <w:szCs w:val="28"/>
          <w:lang w:val="en-US" w:eastAsia="zh-CN"/>
        </w:rPr>
        <w:t>0</w:t>
      </w:r>
    </w:p>
    <w:p>
      <w:pPr>
        <w:pStyle w:val="11"/>
        <w:ind w:left="31680"/>
        <w:rPr>
          <w:rFonts w:hint="eastAsia" w:ascii="仿宋" w:hAnsi="仿宋" w:eastAsia="仿宋"/>
          <w:sz w:val="28"/>
          <w:szCs w:val="28"/>
          <w:lang w:val="en-US" w:eastAsia="zh-CN"/>
        </w:rPr>
      </w:pPr>
      <w:r>
        <w:rPr>
          <w:rFonts w:hint="eastAsia" w:ascii="仿宋" w:hAnsi="仿宋" w:eastAsia="仿宋"/>
          <w:sz w:val="28"/>
          <w:szCs w:val="28"/>
        </w:rPr>
        <w:t>四、</w:t>
      </w:r>
      <w:r>
        <w:fldChar w:fldCharType="begin"/>
      </w:r>
      <w:r>
        <w:instrText xml:space="preserve"> HYPERLINK \l "_Toc15396622" </w:instrText>
      </w:r>
      <w:r>
        <w:fldChar w:fldCharType="separate"/>
      </w:r>
      <w:r>
        <w:rPr>
          <w:rStyle w:val="18"/>
          <w:rFonts w:hint="eastAsia" w:ascii="仿宋" w:hAnsi="仿宋" w:eastAsia="仿宋"/>
          <w:sz w:val="28"/>
          <w:szCs w:val="28"/>
        </w:rPr>
        <w:t>财政拨款收入支出决算总表</w:t>
      </w:r>
      <w:r>
        <w:rPr>
          <w:rFonts w:ascii="仿宋" w:hAnsi="仿宋" w:eastAsia="仿宋"/>
          <w:sz w:val="28"/>
          <w:szCs w:val="28"/>
        </w:rPr>
        <w:tab/>
      </w:r>
      <w:r>
        <w:rPr>
          <w:rFonts w:hint="eastAsia" w:ascii="仿宋" w:hAnsi="仿宋" w:eastAsia="仿宋"/>
          <w:sz w:val="28"/>
          <w:szCs w:val="28"/>
          <w:lang w:val="en-US" w:eastAsia="zh-CN"/>
        </w:rPr>
        <w:t>5</w:t>
      </w:r>
      <w:r>
        <w:rPr>
          <w:rFonts w:ascii="仿宋" w:hAnsi="仿宋" w:eastAsia="仿宋"/>
          <w:sz w:val="28"/>
          <w:szCs w:val="28"/>
        </w:rPr>
        <w:fldChar w:fldCharType="end"/>
      </w:r>
      <w:r>
        <w:rPr>
          <w:rFonts w:hint="eastAsia" w:ascii="仿宋" w:hAnsi="仿宋" w:eastAsia="仿宋"/>
          <w:sz w:val="28"/>
          <w:szCs w:val="28"/>
          <w:lang w:val="en-US" w:eastAsia="zh-CN"/>
        </w:rPr>
        <w:t>0</w:t>
      </w:r>
    </w:p>
    <w:p>
      <w:pPr>
        <w:pStyle w:val="11"/>
        <w:ind w:left="31680"/>
        <w:rPr>
          <w:rFonts w:hint="eastAsia" w:ascii="仿宋" w:hAnsi="仿宋" w:eastAsia="仿宋"/>
          <w:sz w:val="28"/>
          <w:szCs w:val="28"/>
          <w:lang w:val="en-US" w:eastAsia="zh-CN"/>
        </w:rPr>
      </w:pPr>
      <w:r>
        <w:rPr>
          <w:rFonts w:hint="eastAsia" w:ascii="仿宋" w:hAnsi="仿宋" w:eastAsia="仿宋"/>
          <w:sz w:val="28"/>
          <w:szCs w:val="28"/>
        </w:rPr>
        <w:t>五、</w:t>
      </w:r>
      <w:r>
        <w:fldChar w:fldCharType="begin"/>
      </w:r>
      <w:r>
        <w:instrText xml:space="preserve"> HYPERLINK \l "_Toc15396623" </w:instrText>
      </w:r>
      <w:r>
        <w:fldChar w:fldCharType="separate"/>
      </w:r>
      <w:r>
        <w:rPr>
          <w:rFonts w:hint="eastAsia" w:ascii="仿宋" w:hAnsi="仿宋" w:eastAsia="仿宋"/>
          <w:sz w:val="28"/>
          <w:szCs w:val="28"/>
        </w:rPr>
        <w:t>财政拨款支出决算明细表（政府经济分类科目）</w:t>
      </w:r>
      <w:r>
        <w:rPr>
          <w:rFonts w:ascii="仿宋" w:hAnsi="仿宋" w:eastAsia="仿宋"/>
          <w:sz w:val="28"/>
          <w:szCs w:val="28"/>
        </w:rPr>
        <w:tab/>
      </w:r>
      <w:r>
        <w:rPr>
          <w:rFonts w:hint="eastAsia" w:ascii="仿宋" w:hAnsi="仿宋" w:eastAsia="仿宋"/>
          <w:sz w:val="28"/>
          <w:szCs w:val="28"/>
          <w:lang w:val="en-US" w:eastAsia="zh-CN"/>
        </w:rPr>
        <w:t>5</w:t>
      </w:r>
      <w:r>
        <w:rPr>
          <w:rFonts w:ascii="仿宋" w:hAnsi="仿宋" w:eastAsia="仿宋"/>
          <w:sz w:val="28"/>
          <w:szCs w:val="28"/>
        </w:rPr>
        <w:fldChar w:fldCharType="end"/>
      </w:r>
      <w:r>
        <w:rPr>
          <w:rFonts w:hint="eastAsia" w:ascii="仿宋" w:hAnsi="仿宋" w:eastAsia="仿宋"/>
          <w:sz w:val="28"/>
          <w:szCs w:val="28"/>
          <w:lang w:val="en-US" w:eastAsia="zh-CN"/>
        </w:rPr>
        <w:t>0</w:t>
      </w:r>
    </w:p>
    <w:p>
      <w:pPr>
        <w:pStyle w:val="11"/>
        <w:ind w:left="31680"/>
        <w:rPr>
          <w:rFonts w:hint="eastAsia" w:ascii="仿宋" w:hAnsi="仿宋" w:eastAsia="仿宋"/>
          <w:sz w:val="28"/>
          <w:szCs w:val="28"/>
          <w:lang w:val="en-US" w:eastAsia="zh-CN"/>
        </w:rPr>
      </w:pPr>
      <w:r>
        <w:rPr>
          <w:rFonts w:hint="eastAsia" w:ascii="仿宋" w:hAnsi="仿宋" w:eastAsia="仿宋"/>
          <w:sz w:val="28"/>
          <w:szCs w:val="28"/>
        </w:rPr>
        <w:t>六、</w:t>
      </w:r>
      <w:r>
        <w:fldChar w:fldCharType="begin"/>
      </w:r>
      <w:r>
        <w:instrText xml:space="preserve"> HYPERLINK \l "_Toc15396624" </w:instrText>
      </w:r>
      <w:r>
        <w:fldChar w:fldCharType="separate"/>
      </w:r>
      <w:r>
        <w:rPr>
          <w:rStyle w:val="18"/>
          <w:rFonts w:hint="eastAsia" w:ascii="仿宋" w:hAnsi="仿宋" w:eastAsia="仿宋"/>
          <w:sz w:val="28"/>
          <w:szCs w:val="28"/>
        </w:rPr>
        <w:t>一般公共预算财政拨款支出决算表</w:t>
      </w:r>
      <w:r>
        <w:rPr>
          <w:rFonts w:ascii="仿宋" w:hAnsi="仿宋" w:eastAsia="仿宋"/>
          <w:sz w:val="28"/>
          <w:szCs w:val="28"/>
        </w:rPr>
        <w:tab/>
      </w:r>
      <w:r>
        <w:rPr>
          <w:rFonts w:hint="eastAsia" w:ascii="仿宋" w:hAnsi="仿宋" w:eastAsia="仿宋"/>
          <w:sz w:val="28"/>
          <w:szCs w:val="28"/>
          <w:lang w:val="en-US" w:eastAsia="zh-CN"/>
        </w:rPr>
        <w:t>5</w:t>
      </w:r>
      <w:r>
        <w:rPr>
          <w:rFonts w:ascii="仿宋" w:hAnsi="仿宋" w:eastAsia="仿宋"/>
          <w:sz w:val="28"/>
          <w:szCs w:val="28"/>
        </w:rPr>
        <w:fldChar w:fldCharType="end"/>
      </w:r>
      <w:r>
        <w:rPr>
          <w:rFonts w:hint="eastAsia" w:ascii="仿宋" w:hAnsi="仿宋" w:eastAsia="仿宋"/>
          <w:sz w:val="28"/>
          <w:szCs w:val="28"/>
          <w:lang w:val="en-US" w:eastAsia="zh-CN"/>
        </w:rPr>
        <w:t>0</w:t>
      </w:r>
    </w:p>
    <w:p>
      <w:pPr>
        <w:pStyle w:val="11"/>
        <w:ind w:left="31680"/>
        <w:rPr>
          <w:rFonts w:hint="eastAsia" w:ascii="仿宋" w:hAnsi="仿宋" w:eastAsia="仿宋"/>
          <w:sz w:val="28"/>
          <w:szCs w:val="28"/>
          <w:lang w:val="en-US" w:eastAsia="zh-CN"/>
        </w:rPr>
      </w:pPr>
      <w:r>
        <w:rPr>
          <w:rFonts w:hint="eastAsia" w:ascii="仿宋" w:hAnsi="仿宋" w:eastAsia="仿宋"/>
          <w:sz w:val="28"/>
          <w:szCs w:val="28"/>
        </w:rPr>
        <w:t>七、</w:t>
      </w:r>
      <w:r>
        <w:fldChar w:fldCharType="begin"/>
      </w:r>
      <w:r>
        <w:instrText xml:space="preserve"> HYPERLINK \l "_Toc15396625" </w:instrText>
      </w:r>
      <w:r>
        <w:fldChar w:fldCharType="separate"/>
      </w:r>
      <w:r>
        <w:rPr>
          <w:rStyle w:val="18"/>
          <w:rFonts w:hint="eastAsia" w:ascii="仿宋" w:hAnsi="仿宋" w:eastAsia="仿宋"/>
          <w:sz w:val="28"/>
          <w:szCs w:val="28"/>
        </w:rPr>
        <w:t>一般公共预算财政拨款支出决算明细表</w:t>
      </w:r>
      <w:r>
        <w:rPr>
          <w:rFonts w:ascii="仿宋" w:hAnsi="仿宋" w:eastAsia="仿宋"/>
          <w:sz w:val="28"/>
          <w:szCs w:val="28"/>
        </w:rPr>
        <w:tab/>
      </w:r>
      <w:r>
        <w:rPr>
          <w:rFonts w:hint="eastAsia" w:ascii="仿宋" w:hAnsi="仿宋" w:eastAsia="仿宋"/>
          <w:sz w:val="28"/>
          <w:szCs w:val="28"/>
          <w:lang w:val="en-US" w:eastAsia="zh-CN"/>
        </w:rPr>
        <w:t>5</w:t>
      </w:r>
      <w:r>
        <w:rPr>
          <w:rFonts w:ascii="仿宋" w:hAnsi="仿宋" w:eastAsia="仿宋"/>
          <w:sz w:val="28"/>
          <w:szCs w:val="28"/>
        </w:rPr>
        <w:fldChar w:fldCharType="end"/>
      </w:r>
      <w:r>
        <w:rPr>
          <w:rFonts w:hint="eastAsia" w:ascii="仿宋" w:hAnsi="仿宋" w:eastAsia="仿宋"/>
          <w:sz w:val="28"/>
          <w:szCs w:val="28"/>
          <w:lang w:val="en-US" w:eastAsia="zh-CN"/>
        </w:rPr>
        <w:t>0</w:t>
      </w:r>
    </w:p>
    <w:p>
      <w:pPr>
        <w:pStyle w:val="11"/>
        <w:ind w:left="31680"/>
        <w:rPr>
          <w:rFonts w:hint="eastAsia" w:ascii="仿宋" w:hAnsi="仿宋" w:eastAsia="仿宋"/>
          <w:sz w:val="28"/>
          <w:szCs w:val="28"/>
          <w:lang w:val="en-US" w:eastAsia="zh-CN"/>
        </w:rPr>
      </w:pPr>
      <w:r>
        <w:rPr>
          <w:rFonts w:hint="eastAsia" w:ascii="仿宋" w:hAnsi="仿宋" w:eastAsia="仿宋"/>
          <w:sz w:val="28"/>
          <w:szCs w:val="28"/>
        </w:rPr>
        <w:t>八、</w:t>
      </w:r>
      <w:r>
        <w:fldChar w:fldCharType="begin"/>
      </w:r>
      <w:r>
        <w:instrText xml:space="preserve"> HYPERLINK \l "_Toc15396626" </w:instrText>
      </w:r>
      <w:r>
        <w:fldChar w:fldCharType="separate"/>
      </w:r>
      <w:r>
        <w:rPr>
          <w:rStyle w:val="18"/>
          <w:rFonts w:hint="eastAsia" w:ascii="仿宋" w:hAnsi="仿宋" w:eastAsia="仿宋"/>
          <w:sz w:val="28"/>
          <w:szCs w:val="28"/>
        </w:rPr>
        <w:t>一般公共预算财政拨款基本支出决算表</w:t>
      </w:r>
      <w:r>
        <w:rPr>
          <w:rFonts w:ascii="仿宋" w:hAnsi="仿宋" w:eastAsia="仿宋"/>
          <w:sz w:val="28"/>
          <w:szCs w:val="28"/>
        </w:rPr>
        <w:tab/>
      </w:r>
      <w:r>
        <w:rPr>
          <w:rFonts w:hint="eastAsia" w:ascii="仿宋" w:hAnsi="仿宋" w:eastAsia="仿宋"/>
          <w:sz w:val="28"/>
          <w:szCs w:val="28"/>
          <w:lang w:val="en-US" w:eastAsia="zh-CN"/>
        </w:rPr>
        <w:t>5</w:t>
      </w:r>
      <w:r>
        <w:rPr>
          <w:rFonts w:ascii="仿宋" w:hAnsi="仿宋" w:eastAsia="仿宋"/>
          <w:sz w:val="28"/>
          <w:szCs w:val="28"/>
        </w:rPr>
        <w:fldChar w:fldCharType="end"/>
      </w:r>
      <w:r>
        <w:rPr>
          <w:rFonts w:hint="eastAsia" w:ascii="仿宋" w:hAnsi="仿宋" w:eastAsia="仿宋"/>
          <w:sz w:val="28"/>
          <w:szCs w:val="28"/>
          <w:lang w:val="en-US" w:eastAsia="zh-CN"/>
        </w:rPr>
        <w:t>0</w:t>
      </w:r>
    </w:p>
    <w:p>
      <w:pPr>
        <w:pStyle w:val="11"/>
        <w:ind w:left="31680"/>
        <w:rPr>
          <w:rFonts w:hint="eastAsia" w:ascii="仿宋" w:hAnsi="仿宋" w:eastAsia="仿宋"/>
          <w:sz w:val="28"/>
          <w:szCs w:val="28"/>
          <w:lang w:val="en-US" w:eastAsia="zh-CN"/>
        </w:rPr>
      </w:pPr>
      <w:r>
        <w:rPr>
          <w:rFonts w:hint="eastAsia" w:ascii="仿宋" w:hAnsi="仿宋" w:eastAsia="仿宋"/>
          <w:sz w:val="28"/>
          <w:szCs w:val="28"/>
        </w:rPr>
        <w:t>九、</w:t>
      </w:r>
      <w:r>
        <w:fldChar w:fldCharType="begin"/>
      </w:r>
      <w:r>
        <w:instrText xml:space="preserve"> HYPERLINK \l "_Toc15396627" </w:instrText>
      </w:r>
      <w:r>
        <w:fldChar w:fldCharType="separate"/>
      </w:r>
      <w:r>
        <w:rPr>
          <w:rStyle w:val="18"/>
          <w:rFonts w:hint="eastAsia" w:ascii="仿宋" w:hAnsi="仿宋" w:eastAsia="仿宋"/>
          <w:sz w:val="28"/>
          <w:szCs w:val="28"/>
        </w:rPr>
        <w:t>一般公共预算财政拨款项目支出决算表</w:t>
      </w:r>
      <w:r>
        <w:rPr>
          <w:rFonts w:ascii="仿宋" w:hAnsi="仿宋" w:eastAsia="仿宋"/>
          <w:sz w:val="28"/>
          <w:szCs w:val="28"/>
        </w:rPr>
        <w:tab/>
      </w:r>
      <w:r>
        <w:rPr>
          <w:rFonts w:hint="eastAsia" w:ascii="仿宋" w:hAnsi="仿宋" w:eastAsia="仿宋"/>
          <w:sz w:val="28"/>
          <w:szCs w:val="28"/>
          <w:lang w:val="en-US" w:eastAsia="zh-CN"/>
        </w:rPr>
        <w:t>5</w:t>
      </w:r>
      <w:r>
        <w:rPr>
          <w:rFonts w:ascii="仿宋" w:hAnsi="仿宋" w:eastAsia="仿宋"/>
          <w:sz w:val="28"/>
          <w:szCs w:val="28"/>
        </w:rPr>
        <w:fldChar w:fldCharType="end"/>
      </w:r>
      <w:r>
        <w:rPr>
          <w:rFonts w:hint="eastAsia" w:ascii="仿宋" w:hAnsi="仿宋" w:eastAsia="仿宋"/>
          <w:sz w:val="28"/>
          <w:szCs w:val="28"/>
          <w:lang w:val="en-US" w:eastAsia="zh-CN"/>
        </w:rPr>
        <w:t>0</w:t>
      </w:r>
    </w:p>
    <w:p>
      <w:pPr>
        <w:pStyle w:val="11"/>
        <w:ind w:left="31680"/>
        <w:rPr>
          <w:rFonts w:hint="eastAsia" w:ascii="仿宋" w:hAnsi="仿宋" w:eastAsia="仿宋"/>
          <w:sz w:val="28"/>
          <w:szCs w:val="28"/>
          <w:lang w:val="en-US" w:eastAsia="zh-CN"/>
        </w:rPr>
      </w:pPr>
      <w:r>
        <w:rPr>
          <w:rFonts w:hint="eastAsia" w:ascii="仿宋" w:hAnsi="仿宋" w:eastAsia="仿宋"/>
          <w:sz w:val="28"/>
          <w:szCs w:val="28"/>
        </w:rPr>
        <w:t>十、</w:t>
      </w:r>
      <w:r>
        <w:fldChar w:fldCharType="begin"/>
      </w:r>
      <w:r>
        <w:instrText xml:space="preserve"> HYPERLINK \l "_Toc15396628" </w:instrText>
      </w:r>
      <w:r>
        <w:fldChar w:fldCharType="separate"/>
      </w:r>
      <w:r>
        <w:rPr>
          <w:rStyle w:val="18"/>
          <w:rFonts w:hint="eastAsia" w:ascii="仿宋" w:hAnsi="仿宋" w:eastAsia="仿宋"/>
          <w:sz w:val="28"/>
          <w:szCs w:val="28"/>
        </w:rPr>
        <w:t>一般公共预算财政拨款“三公”经费支出决算表</w:t>
      </w:r>
      <w:r>
        <w:rPr>
          <w:rFonts w:ascii="仿宋" w:hAnsi="仿宋" w:eastAsia="仿宋"/>
          <w:sz w:val="28"/>
          <w:szCs w:val="28"/>
        </w:rPr>
        <w:tab/>
      </w:r>
      <w:r>
        <w:rPr>
          <w:rFonts w:hint="eastAsia" w:ascii="仿宋" w:hAnsi="仿宋" w:eastAsia="仿宋"/>
          <w:sz w:val="28"/>
          <w:szCs w:val="28"/>
          <w:lang w:val="en-US" w:eastAsia="zh-CN"/>
        </w:rPr>
        <w:t>5</w:t>
      </w:r>
      <w:r>
        <w:rPr>
          <w:rFonts w:ascii="仿宋" w:hAnsi="仿宋" w:eastAsia="仿宋"/>
          <w:sz w:val="28"/>
          <w:szCs w:val="28"/>
        </w:rPr>
        <w:fldChar w:fldCharType="end"/>
      </w:r>
      <w:r>
        <w:rPr>
          <w:rFonts w:hint="eastAsia" w:ascii="仿宋" w:hAnsi="仿宋" w:eastAsia="仿宋"/>
          <w:sz w:val="28"/>
          <w:szCs w:val="28"/>
          <w:lang w:val="en-US" w:eastAsia="zh-CN"/>
        </w:rPr>
        <w:t>0</w:t>
      </w:r>
    </w:p>
    <w:p>
      <w:pPr>
        <w:pStyle w:val="11"/>
        <w:ind w:left="31680"/>
        <w:rPr>
          <w:rFonts w:hint="eastAsia" w:ascii="仿宋" w:hAnsi="仿宋" w:eastAsia="仿宋"/>
          <w:sz w:val="28"/>
          <w:szCs w:val="28"/>
          <w:lang w:val="en-US" w:eastAsia="zh-CN"/>
        </w:rPr>
      </w:pPr>
      <w:r>
        <w:rPr>
          <w:rFonts w:hint="eastAsia" w:ascii="仿宋" w:hAnsi="仿宋" w:eastAsia="仿宋"/>
          <w:sz w:val="28"/>
          <w:szCs w:val="28"/>
        </w:rPr>
        <w:t>十一、</w:t>
      </w:r>
      <w:r>
        <w:fldChar w:fldCharType="begin"/>
      </w:r>
      <w:r>
        <w:instrText xml:space="preserve"> HYPERLINK \l "_Toc15396629" </w:instrText>
      </w:r>
      <w:r>
        <w:fldChar w:fldCharType="separate"/>
      </w:r>
      <w:r>
        <w:rPr>
          <w:rStyle w:val="18"/>
          <w:rFonts w:hint="eastAsia" w:ascii="仿宋" w:hAnsi="仿宋" w:eastAsia="仿宋"/>
          <w:sz w:val="28"/>
          <w:szCs w:val="28"/>
        </w:rPr>
        <w:t>政府性基金预算财政拨款收入支出决算表</w:t>
      </w:r>
      <w:r>
        <w:rPr>
          <w:rFonts w:ascii="仿宋" w:hAnsi="仿宋" w:eastAsia="仿宋"/>
          <w:sz w:val="28"/>
          <w:szCs w:val="28"/>
        </w:rPr>
        <w:tab/>
      </w:r>
      <w:r>
        <w:rPr>
          <w:rFonts w:hint="eastAsia" w:ascii="仿宋" w:hAnsi="仿宋" w:eastAsia="仿宋"/>
          <w:sz w:val="28"/>
          <w:szCs w:val="28"/>
          <w:lang w:val="en-US" w:eastAsia="zh-CN"/>
        </w:rPr>
        <w:t>5</w:t>
      </w:r>
      <w:r>
        <w:rPr>
          <w:rFonts w:ascii="仿宋" w:hAnsi="仿宋" w:eastAsia="仿宋"/>
          <w:sz w:val="28"/>
          <w:szCs w:val="28"/>
        </w:rPr>
        <w:fldChar w:fldCharType="end"/>
      </w:r>
      <w:r>
        <w:rPr>
          <w:rFonts w:hint="eastAsia" w:ascii="仿宋" w:hAnsi="仿宋" w:eastAsia="仿宋"/>
          <w:sz w:val="28"/>
          <w:szCs w:val="28"/>
          <w:lang w:val="en-US" w:eastAsia="zh-CN"/>
        </w:rPr>
        <w:t>0</w:t>
      </w:r>
    </w:p>
    <w:p>
      <w:pPr>
        <w:pStyle w:val="11"/>
        <w:ind w:left="31680"/>
        <w:rPr>
          <w:rFonts w:hint="eastAsia" w:ascii="仿宋" w:hAnsi="仿宋" w:eastAsia="仿宋"/>
          <w:sz w:val="28"/>
          <w:szCs w:val="28"/>
          <w:lang w:val="en-US" w:eastAsia="zh-CN"/>
        </w:rPr>
      </w:pPr>
      <w:r>
        <w:rPr>
          <w:rFonts w:hint="eastAsia" w:ascii="仿宋" w:hAnsi="仿宋" w:eastAsia="仿宋"/>
          <w:sz w:val="28"/>
          <w:szCs w:val="28"/>
        </w:rPr>
        <w:t>十二、</w:t>
      </w:r>
      <w:r>
        <w:fldChar w:fldCharType="begin"/>
      </w:r>
      <w:r>
        <w:instrText xml:space="preserve"> HYPERLINK \l "_Toc15396630" </w:instrText>
      </w:r>
      <w:r>
        <w:fldChar w:fldCharType="separate"/>
      </w:r>
      <w:r>
        <w:rPr>
          <w:rStyle w:val="18"/>
          <w:rFonts w:hint="eastAsia" w:ascii="仿宋" w:hAnsi="仿宋" w:eastAsia="仿宋"/>
          <w:sz w:val="28"/>
          <w:szCs w:val="28"/>
        </w:rPr>
        <w:t>政府性基金预算财政拨款“三公”经费支出决算表</w:t>
      </w:r>
      <w:r>
        <w:rPr>
          <w:rFonts w:ascii="仿宋" w:hAnsi="仿宋" w:eastAsia="仿宋"/>
          <w:sz w:val="28"/>
          <w:szCs w:val="28"/>
        </w:rPr>
        <w:tab/>
      </w:r>
      <w:r>
        <w:rPr>
          <w:rFonts w:hint="eastAsia" w:ascii="仿宋" w:hAnsi="仿宋" w:eastAsia="仿宋"/>
          <w:sz w:val="28"/>
          <w:szCs w:val="28"/>
          <w:lang w:val="en-US" w:eastAsia="zh-CN"/>
        </w:rPr>
        <w:t>5</w:t>
      </w:r>
      <w:r>
        <w:rPr>
          <w:rFonts w:ascii="仿宋" w:hAnsi="仿宋" w:eastAsia="仿宋"/>
          <w:sz w:val="28"/>
          <w:szCs w:val="28"/>
        </w:rPr>
        <w:fldChar w:fldCharType="end"/>
      </w:r>
      <w:r>
        <w:rPr>
          <w:rFonts w:hint="eastAsia" w:ascii="仿宋" w:hAnsi="仿宋" w:eastAsia="仿宋"/>
          <w:sz w:val="28"/>
          <w:szCs w:val="28"/>
          <w:lang w:val="en-US" w:eastAsia="zh-CN"/>
        </w:rPr>
        <w:t>0</w:t>
      </w:r>
    </w:p>
    <w:p>
      <w:pPr>
        <w:pStyle w:val="11"/>
        <w:ind w:left="31680"/>
        <w:rPr>
          <w:rFonts w:hint="eastAsia" w:ascii="仿宋" w:hAnsi="仿宋" w:eastAsia="仿宋"/>
          <w:sz w:val="24"/>
          <w:lang w:val="en-US" w:eastAsia="zh-CN"/>
        </w:rPr>
      </w:pPr>
      <w:r>
        <w:rPr>
          <w:rFonts w:hint="eastAsia" w:ascii="仿宋" w:hAnsi="仿宋" w:eastAsia="仿宋"/>
          <w:sz w:val="28"/>
          <w:szCs w:val="28"/>
        </w:rPr>
        <w:t>十三、</w:t>
      </w:r>
      <w:r>
        <w:fldChar w:fldCharType="begin"/>
      </w:r>
      <w:r>
        <w:instrText xml:space="preserve"> HYPERLINK \l "_Toc15396631" </w:instrText>
      </w:r>
      <w:r>
        <w:fldChar w:fldCharType="separate"/>
      </w:r>
      <w:r>
        <w:rPr>
          <w:rStyle w:val="18"/>
          <w:rFonts w:hint="eastAsia" w:ascii="仿宋" w:hAnsi="仿宋" w:eastAsia="仿宋"/>
          <w:sz w:val="28"/>
          <w:szCs w:val="28"/>
        </w:rPr>
        <w:t>国有资本经营预算支出决算表</w:t>
      </w:r>
      <w:r>
        <w:rPr>
          <w:rFonts w:ascii="仿宋" w:hAnsi="仿宋" w:eastAsia="仿宋"/>
          <w:sz w:val="28"/>
          <w:szCs w:val="28"/>
        </w:rPr>
        <w:tab/>
      </w:r>
      <w:r>
        <w:rPr>
          <w:rFonts w:hint="eastAsia" w:ascii="仿宋" w:hAnsi="仿宋" w:eastAsia="仿宋"/>
          <w:sz w:val="28"/>
          <w:szCs w:val="28"/>
          <w:lang w:val="en-US" w:eastAsia="zh-CN"/>
        </w:rPr>
        <w:t>5</w:t>
      </w:r>
      <w:r>
        <w:rPr>
          <w:rFonts w:ascii="仿宋" w:hAnsi="仿宋" w:eastAsia="仿宋"/>
          <w:sz w:val="28"/>
          <w:szCs w:val="28"/>
        </w:rPr>
        <w:fldChar w:fldCharType="end"/>
      </w:r>
      <w:r>
        <w:rPr>
          <w:rFonts w:hint="eastAsia" w:ascii="仿宋" w:hAnsi="仿宋" w:eastAsia="仿宋"/>
          <w:sz w:val="28"/>
          <w:szCs w:val="28"/>
          <w:lang w:val="en-US" w:eastAsia="zh-CN"/>
        </w:rPr>
        <w:t>0</w:t>
      </w:r>
    </w:p>
    <w:p>
      <w:pPr>
        <w:widowControl/>
        <w:jc w:val="left"/>
        <w:rPr>
          <w:rFonts w:ascii="仿宋" w:hAnsi="仿宋" w:eastAsia="仿宋"/>
          <w:color w:val="000000"/>
          <w:sz w:val="24"/>
        </w:rPr>
      </w:pPr>
      <w:r>
        <w:rPr>
          <w:rFonts w:ascii="黑体" w:hAnsi="黑体" w:eastAsia="黑体"/>
          <w:color w:val="000000"/>
          <w:sz w:val="48"/>
          <w:szCs w:val="48"/>
        </w:rPr>
        <w:fldChar w:fldCharType="end"/>
      </w:r>
    </w:p>
    <w:p>
      <w:pPr>
        <w:widowControl/>
        <w:jc w:val="left"/>
        <w:rPr>
          <w:rFonts w:ascii="黑体" w:hAnsi="黑体" w:eastAsia="黑体"/>
          <w:bCs/>
          <w:kern w:val="44"/>
          <w:sz w:val="44"/>
          <w:szCs w:val="44"/>
        </w:rPr>
      </w:pPr>
      <w:bookmarkStart w:id="12" w:name="_Toc15377196"/>
      <w:bookmarkStart w:id="13" w:name="_Toc15396599"/>
      <w:r>
        <w:rPr>
          <w:rFonts w:ascii="黑体" w:hAnsi="黑体" w:eastAsia="黑体"/>
          <w:b/>
        </w:rPr>
        <w:br w:type="page"/>
      </w:r>
    </w:p>
    <w:p>
      <w:pPr>
        <w:pStyle w:val="2"/>
        <w:jc w:val="center"/>
        <w:rPr>
          <w:rFonts w:ascii="黑体" w:hAnsi="黑体" w:eastAsia="黑体"/>
          <w:bCs w:val="0"/>
        </w:rPr>
      </w:pPr>
      <w:r>
        <w:rPr>
          <w:rFonts w:hint="eastAsia"/>
        </w:rPr>
        <w:t>第一部分</w:t>
      </w:r>
      <w:r>
        <w:t xml:space="preserve"> </w:t>
      </w:r>
      <w:r>
        <w:rPr>
          <w:rStyle w:val="19"/>
          <w:rFonts w:hint="eastAsia" w:ascii="黑体" w:hAnsi="黑体" w:eastAsia="黑体"/>
          <w:b w:val="0"/>
          <w:bCs w:val="0"/>
        </w:rPr>
        <w:t>部门概况</w:t>
      </w:r>
      <w:bookmarkEnd w:id="12"/>
      <w:bookmarkEnd w:id="13"/>
    </w:p>
    <w:p>
      <w:pPr>
        <w:pStyle w:val="3"/>
        <w:rPr>
          <w:rStyle w:val="20"/>
          <w:rFonts w:ascii="仿宋" w:hAnsi="仿宋" w:eastAsia="仿宋"/>
          <w:b w:val="0"/>
          <w:bCs w:val="0"/>
        </w:rPr>
      </w:pPr>
      <w:bookmarkStart w:id="14" w:name="_Toc15396600"/>
      <w:bookmarkStart w:id="15" w:name="_Toc15377197"/>
      <w:r>
        <w:rPr>
          <w:rFonts w:hint="eastAsia" w:ascii="黑体" w:hAnsi="黑体" w:eastAsia="黑体"/>
          <w:b w:val="0"/>
          <w:color w:val="000000"/>
        </w:rPr>
        <w:t>一、基</w:t>
      </w:r>
      <w:r>
        <w:rPr>
          <w:rStyle w:val="20"/>
          <w:rFonts w:hint="eastAsia" w:ascii="黑体" w:hAnsi="黑体" w:eastAsia="黑体"/>
          <w:b w:val="0"/>
          <w:bCs w:val="0"/>
        </w:rPr>
        <w:t>本职能及主要工作</w:t>
      </w:r>
      <w:bookmarkEnd w:id="14"/>
      <w:bookmarkEnd w:id="15"/>
    </w:p>
    <w:p>
      <w:pPr>
        <w:pStyle w:val="5"/>
        <w:adjustRightInd w:val="0"/>
        <w:snapToGrid w:val="0"/>
        <w:spacing w:before="93" w:line="600" w:lineRule="exact"/>
        <w:ind w:firstLine="640" w:firstLineChars="200"/>
        <w:outlineLvl w:val="2"/>
        <w:rPr>
          <w:rFonts w:ascii="仿宋" w:hAnsi="仿宋" w:eastAsia="仿宋"/>
          <w:bCs/>
          <w:color w:val="000000"/>
          <w:sz w:val="32"/>
          <w:szCs w:val="32"/>
        </w:rPr>
      </w:pPr>
      <w:bookmarkStart w:id="16" w:name="_Toc15377198"/>
      <w:bookmarkStart w:id="17" w:name="_Toc15378445"/>
      <w:r>
        <w:rPr>
          <w:rFonts w:hint="eastAsia" w:ascii="仿宋" w:hAnsi="仿宋" w:eastAsia="仿宋"/>
          <w:bCs/>
          <w:color w:val="000000"/>
          <w:sz w:val="32"/>
          <w:szCs w:val="32"/>
        </w:rPr>
        <w:t>（一）主要职能。</w:t>
      </w:r>
      <w:bookmarkEnd w:id="16"/>
      <w:bookmarkEnd w:id="17"/>
    </w:p>
    <w:p>
      <w:pPr>
        <w:pStyle w:val="12"/>
        <w:spacing w:before="93" w:beforeAutospacing="0" w:after="0" w:afterAutospacing="0" w:line="600" w:lineRule="exact"/>
        <w:ind w:firstLine="640" w:firstLineChars="200"/>
        <w:jc w:val="both"/>
        <w:rPr>
          <w:rFonts w:ascii="仿宋_GB2312" w:eastAsia="仿宋_GB2312"/>
          <w:color w:val="000000"/>
          <w:sz w:val="32"/>
          <w:szCs w:val="32"/>
        </w:rPr>
      </w:pPr>
      <w:r>
        <w:rPr>
          <w:rFonts w:ascii="仿宋_GB2312" w:eastAsia="仿宋_GB2312"/>
          <w:color w:val="000000"/>
          <w:sz w:val="32"/>
          <w:szCs w:val="32"/>
        </w:rPr>
        <w:t>1.</w:t>
      </w:r>
      <w:r>
        <w:rPr>
          <w:rFonts w:hint="eastAsia" w:ascii="仿宋_GB2312" w:eastAsia="仿宋_GB2312"/>
          <w:color w:val="000000"/>
          <w:sz w:val="32"/>
          <w:szCs w:val="32"/>
        </w:rPr>
        <w:t>贯彻执行国家、省有关水务行政管理工作的方针、政策和法律、法规；拟订全市水务管理规范性文件并监督实施。</w:t>
      </w:r>
    </w:p>
    <w:p>
      <w:pPr>
        <w:pStyle w:val="12"/>
        <w:spacing w:before="0" w:beforeAutospacing="0" w:after="0" w:afterAutospacing="0" w:line="600" w:lineRule="exact"/>
        <w:ind w:firstLine="640" w:firstLineChars="200"/>
        <w:jc w:val="both"/>
        <w:rPr>
          <w:rFonts w:ascii="仿宋_GB2312" w:eastAsia="仿宋_GB2312"/>
          <w:color w:val="000000"/>
          <w:sz w:val="32"/>
          <w:szCs w:val="32"/>
        </w:rPr>
      </w:pPr>
      <w:r>
        <w:rPr>
          <w:rFonts w:ascii="仿宋_GB2312" w:eastAsia="仿宋_GB2312"/>
          <w:color w:val="000000"/>
          <w:sz w:val="32"/>
          <w:szCs w:val="32"/>
        </w:rPr>
        <w:t>2.</w:t>
      </w:r>
      <w:r>
        <w:rPr>
          <w:rFonts w:hint="eastAsia" w:ascii="仿宋_GB2312" w:eastAsia="仿宋_GB2312"/>
          <w:color w:val="000000"/>
          <w:sz w:val="32"/>
          <w:szCs w:val="32"/>
        </w:rPr>
        <w:t>编制全市城乡水务发展规划；组织拟订全市水资源总体规划、流域规划和专业规划，制定全市和跨县（市、区）中长期供水计划和年度供水计划、水量分配方案和旱情紧急情况下用水调度预案并监督实施。</w:t>
      </w:r>
    </w:p>
    <w:p>
      <w:pPr>
        <w:pStyle w:val="12"/>
        <w:spacing w:before="0" w:beforeAutospacing="0" w:after="0" w:afterAutospacing="0" w:line="600" w:lineRule="exact"/>
        <w:ind w:firstLine="640" w:firstLineChars="200"/>
        <w:jc w:val="both"/>
        <w:rPr>
          <w:rFonts w:ascii="仿宋_GB2312" w:eastAsia="仿宋_GB2312"/>
          <w:color w:val="000000"/>
          <w:sz w:val="32"/>
          <w:szCs w:val="32"/>
        </w:rPr>
      </w:pPr>
      <w:r>
        <w:rPr>
          <w:rFonts w:ascii="仿宋_GB2312" w:eastAsia="仿宋_GB2312"/>
          <w:color w:val="000000"/>
          <w:sz w:val="32"/>
          <w:szCs w:val="32"/>
        </w:rPr>
        <w:t>3.</w:t>
      </w:r>
      <w:r>
        <w:rPr>
          <w:rFonts w:hint="eastAsia" w:ascii="仿宋_GB2312" w:eastAsia="仿宋_GB2312"/>
          <w:color w:val="000000"/>
          <w:sz w:val="32"/>
          <w:szCs w:val="32"/>
        </w:rPr>
        <w:t>组织有关全市国民经济发展总体规划、城市规划及重大建设项目的水资源利用和论证工作；组织实施取水许可、水资源有偿使用制度；发布全市水资源公报，承担实施最严格水资源管理制度相关工作。</w:t>
      </w:r>
    </w:p>
    <w:p>
      <w:pPr>
        <w:pStyle w:val="12"/>
        <w:spacing w:before="0" w:beforeAutospacing="0" w:after="0" w:afterAutospacing="0" w:line="600" w:lineRule="exact"/>
        <w:ind w:firstLine="640" w:firstLineChars="200"/>
        <w:jc w:val="both"/>
        <w:rPr>
          <w:rFonts w:ascii="仿宋_GB2312" w:eastAsia="仿宋_GB2312"/>
          <w:color w:val="000000"/>
          <w:sz w:val="32"/>
          <w:szCs w:val="32"/>
        </w:rPr>
      </w:pPr>
      <w:r>
        <w:rPr>
          <w:rFonts w:ascii="仿宋_GB2312" w:eastAsia="仿宋_GB2312"/>
          <w:color w:val="000000"/>
          <w:sz w:val="32"/>
          <w:szCs w:val="32"/>
        </w:rPr>
        <w:t>4.</w:t>
      </w:r>
      <w:r>
        <w:rPr>
          <w:rFonts w:hint="eastAsia" w:ascii="仿宋_GB2312" w:eastAsia="仿宋_GB2312"/>
          <w:color w:val="000000"/>
          <w:sz w:val="32"/>
          <w:szCs w:val="32"/>
        </w:rPr>
        <w:t>负责生活、生产经营和生态环境用水的统筹兼顾和保障，实施水资源的统一监督管理，组织编制全市跨县（市、区）流域的水量分配、水资源调度方案；水资源调度管理工作；编制全市节约用水、计划用水规划，组织相关部门开展节约用水工作。</w:t>
      </w:r>
    </w:p>
    <w:p>
      <w:pPr>
        <w:pStyle w:val="12"/>
        <w:spacing w:before="0" w:beforeAutospacing="0" w:after="0" w:afterAutospacing="0" w:line="600" w:lineRule="exact"/>
        <w:ind w:firstLine="640" w:firstLineChars="200"/>
        <w:jc w:val="both"/>
        <w:rPr>
          <w:rFonts w:ascii="仿宋_GB2312" w:eastAsia="仿宋_GB2312"/>
          <w:color w:val="000000"/>
          <w:sz w:val="32"/>
          <w:szCs w:val="32"/>
        </w:rPr>
      </w:pPr>
      <w:r>
        <w:rPr>
          <w:rFonts w:ascii="仿宋_GB2312" w:eastAsia="仿宋_GB2312"/>
          <w:color w:val="000000"/>
          <w:sz w:val="32"/>
          <w:szCs w:val="32"/>
        </w:rPr>
        <w:t>5.</w:t>
      </w:r>
      <w:r>
        <w:rPr>
          <w:rFonts w:hint="eastAsia" w:ascii="仿宋_GB2312" w:eastAsia="仿宋_GB2312"/>
          <w:color w:val="000000"/>
          <w:sz w:val="32"/>
          <w:szCs w:val="32"/>
        </w:rPr>
        <w:t>组织编制乐山中心城区供水规划；指导各县（市）区供水规划，指导全市供水行业服务标准的实施，监督城镇（乡）供水运营工作；组织指导城市非居民用水超计划或超定额加价收费管理工作；指导全市城镇（乡）供水设施的新建、改建和扩建工作；指导城镇（乡）供水行业安全生产；指导全市应急供水管理工作。</w:t>
      </w:r>
    </w:p>
    <w:p>
      <w:pPr>
        <w:ind w:firstLine="640" w:firstLineChars="200"/>
        <w:rPr>
          <w:sz w:val="28"/>
          <w:szCs w:val="28"/>
        </w:rPr>
      </w:pPr>
      <w:r>
        <w:rPr>
          <w:rFonts w:ascii="仿宋_GB2312" w:eastAsia="仿宋_GB2312"/>
          <w:color w:val="000000"/>
          <w:sz w:val="32"/>
          <w:szCs w:val="32"/>
        </w:rPr>
        <w:t>6.</w:t>
      </w:r>
      <w:r>
        <w:t xml:space="preserve"> </w:t>
      </w:r>
      <w:r>
        <w:rPr>
          <w:rFonts w:hint="eastAsia" w:ascii="仿宋_GB2312" w:eastAsia="仿宋_GB2312"/>
          <w:color w:val="000000"/>
          <w:sz w:val="32"/>
          <w:szCs w:val="32"/>
        </w:rPr>
        <w:t>负责部门预（决）算和政府综合财务报告编制、预算执行工作；承担市级水利行政事业单位国有资产监督管理工作；牵头负责水利项目资金监督检查和绩效管理工作；指导编制全市水务行业建设项目资金计划；受委托监管市级水务行业国有资产。</w:t>
      </w:r>
    </w:p>
    <w:p>
      <w:pPr>
        <w:pStyle w:val="12"/>
        <w:spacing w:before="0" w:beforeAutospacing="0" w:after="0" w:afterAutospacing="0" w:line="600" w:lineRule="exact"/>
        <w:ind w:firstLine="640" w:firstLineChars="200"/>
        <w:jc w:val="both"/>
        <w:rPr>
          <w:rFonts w:ascii="仿宋_GB2312" w:eastAsia="仿宋_GB2312"/>
          <w:color w:val="000000"/>
          <w:sz w:val="32"/>
          <w:szCs w:val="32"/>
        </w:rPr>
      </w:pPr>
      <w:r>
        <w:rPr>
          <w:rFonts w:ascii="仿宋_GB2312" w:eastAsia="仿宋_GB2312"/>
          <w:color w:val="000000"/>
          <w:sz w:val="32"/>
          <w:szCs w:val="32"/>
        </w:rPr>
        <w:t>7.</w:t>
      </w:r>
      <w:r>
        <w:rPr>
          <w:rFonts w:hint="eastAsia" w:ascii="仿宋_GB2312" w:eastAsia="仿宋_GB2312"/>
          <w:color w:val="000000"/>
          <w:sz w:val="32"/>
          <w:szCs w:val="32"/>
        </w:rPr>
        <w:t>指导全市水利基本建设并实施行业监督管理；负责小型水利工程建设审批，初审、转报大中型水利建设项目的可行性研究报告和初步设计；组织实施具有控制性或跨县（市、区）的重要水利工程建设与运行管理；依法负责水利行业安全生产工作，组织指导水库大坝、水电站大坝等水利工程的安全监管；组织实施水利工程建设质量与安全的监督，指导水利建设市场的监督管理。</w:t>
      </w:r>
    </w:p>
    <w:p>
      <w:pPr>
        <w:pStyle w:val="12"/>
        <w:spacing w:before="0" w:beforeAutospacing="0" w:after="0" w:afterAutospacing="0" w:line="600" w:lineRule="exact"/>
        <w:ind w:firstLine="640" w:firstLineChars="200"/>
        <w:jc w:val="both"/>
        <w:rPr>
          <w:rFonts w:ascii="仿宋_GB2312" w:eastAsia="仿宋_GB2312"/>
          <w:color w:val="000000"/>
          <w:sz w:val="32"/>
          <w:szCs w:val="32"/>
        </w:rPr>
      </w:pPr>
      <w:r>
        <w:rPr>
          <w:rFonts w:ascii="仿宋_GB2312" w:eastAsia="仿宋_GB2312"/>
          <w:color w:val="000000"/>
          <w:sz w:val="32"/>
          <w:szCs w:val="32"/>
        </w:rPr>
        <w:t>8.</w:t>
      </w:r>
      <w:r>
        <w:rPr>
          <w:rFonts w:hint="eastAsia" w:ascii="仿宋_GB2312" w:eastAsia="仿宋_GB2312"/>
          <w:color w:val="000000"/>
          <w:sz w:val="32"/>
          <w:szCs w:val="32"/>
        </w:rPr>
        <w:t>指导农村水利工作。指导全市大中型农村水利工程建设管理，指导节水灌溉有关工作以及水库移民工作；</w:t>
      </w:r>
      <w:r>
        <w:rPr>
          <w:rFonts w:hint="eastAsia" w:ascii="仿宋_GB2312" w:eastAsia="仿宋_GB2312"/>
          <w:sz w:val="32"/>
          <w:szCs w:val="32"/>
        </w:rPr>
        <w:t>协调牧区水利工作，指导农村水利改革创新和社会化服务体系建</w:t>
      </w:r>
      <w:r>
        <w:rPr>
          <w:rFonts w:hint="eastAsia" w:ascii="仿宋_GB2312" w:eastAsia="仿宋_GB2312"/>
          <w:color w:val="000000"/>
          <w:sz w:val="32"/>
          <w:szCs w:val="32"/>
        </w:rPr>
        <w:t>设。负责乐山市区域内不涉及风景名胜区、自然保护区管理的水利风景区规划、申报、建设、管理等工作。</w:t>
      </w:r>
    </w:p>
    <w:p>
      <w:pPr>
        <w:pStyle w:val="12"/>
        <w:spacing w:before="0" w:beforeAutospacing="0" w:after="0" w:afterAutospacing="0" w:line="600" w:lineRule="exact"/>
        <w:ind w:firstLine="640" w:firstLineChars="200"/>
        <w:jc w:val="both"/>
        <w:rPr>
          <w:rFonts w:ascii="仿宋_GB2312" w:eastAsia="仿宋_GB2312"/>
          <w:color w:val="000000"/>
          <w:sz w:val="32"/>
          <w:szCs w:val="32"/>
        </w:rPr>
      </w:pPr>
      <w:r>
        <w:rPr>
          <w:rFonts w:ascii="仿宋_GB2312" w:eastAsia="仿宋_GB2312"/>
          <w:color w:val="000000"/>
          <w:sz w:val="32"/>
          <w:szCs w:val="32"/>
        </w:rPr>
        <w:t>9.</w:t>
      </w:r>
      <w:r>
        <w:rPr>
          <w:rFonts w:hint="eastAsia" w:ascii="仿宋_GB2312" w:eastAsia="仿宋_GB2312"/>
          <w:color w:val="000000"/>
          <w:sz w:val="32"/>
          <w:szCs w:val="32"/>
        </w:rPr>
        <w:t>负责防治水土流失。拟订水土保持规划并监督实施；负责水土保持预防监督；指导水土流失监测、综合防治和水利工程绿化工作。</w:t>
      </w:r>
    </w:p>
    <w:p>
      <w:pPr>
        <w:spacing w:line="600" w:lineRule="exact"/>
        <w:ind w:firstLine="640" w:firstLineChars="200"/>
        <w:rPr>
          <w:rFonts w:ascii="仿宋_GB2312" w:hAnsi="宋体" w:eastAsia="仿宋_GB2312" w:cs="宋体"/>
          <w:color w:val="000000"/>
          <w:kern w:val="0"/>
          <w:sz w:val="32"/>
          <w:szCs w:val="32"/>
        </w:rPr>
      </w:pPr>
      <w:r>
        <w:rPr>
          <w:rFonts w:ascii="仿宋_GB2312" w:hAnsi="宋体" w:eastAsia="仿宋_GB2312" w:cs="宋体"/>
          <w:color w:val="000000"/>
          <w:kern w:val="0"/>
          <w:sz w:val="32"/>
          <w:szCs w:val="32"/>
        </w:rPr>
        <w:t>10.</w:t>
      </w:r>
      <w:r>
        <w:rPr>
          <w:rFonts w:hint="eastAsia" w:ascii="仿宋_GB2312" w:hAnsi="宋体" w:eastAsia="仿宋_GB2312" w:cs="宋体"/>
          <w:color w:val="000000"/>
          <w:kern w:val="0"/>
          <w:sz w:val="32"/>
          <w:szCs w:val="32"/>
        </w:rPr>
        <w:t>组织编制并实施洪水干旱灾害防治规划和防护标准；承担水情旱情监测预警工作；组织编制市内重要江河湖泊和重要水工程的防御洪水、抗御旱灾调度和应急水量调度方案，按程序报批并组织实施；承担全市防御洪水应急抢险的技术支撑工作。承担</w:t>
      </w:r>
      <w:r>
        <w:rPr>
          <w:rFonts w:hint="eastAsia" w:ascii="仿宋_GB2312" w:hAnsi="宋体" w:eastAsia="仿宋_GB2312" w:cs="宋体"/>
          <w:kern w:val="0"/>
          <w:sz w:val="32"/>
          <w:szCs w:val="32"/>
        </w:rPr>
        <w:t>市防汛抗旱指挥部办公室</w:t>
      </w:r>
      <w:r>
        <w:rPr>
          <w:rFonts w:hint="eastAsia" w:ascii="仿宋_GB2312" w:hAnsi="宋体" w:eastAsia="仿宋_GB2312" w:cs="宋体"/>
          <w:color w:val="000000"/>
          <w:kern w:val="0"/>
          <w:sz w:val="32"/>
          <w:szCs w:val="32"/>
        </w:rPr>
        <w:t>的日常工作。</w:t>
      </w:r>
    </w:p>
    <w:p>
      <w:pPr>
        <w:pStyle w:val="12"/>
        <w:spacing w:before="0" w:beforeAutospacing="0" w:after="0" w:afterAutospacing="0" w:line="600" w:lineRule="exact"/>
        <w:ind w:firstLine="640" w:firstLineChars="200"/>
        <w:jc w:val="both"/>
        <w:rPr>
          <w:rFonts w:ascii="仿宋_GB2312" w:eastAsia="仿宋_GB2312"/>
          <w:color w:val="000000"/>
          <w:sz w:val="32"/>
          <w:szCs w:val="32"/>
        </w:rPr>
      </w:pPr>
      <w:r>
        <w:rPr>
          <w:rFonts w:ascii="仿宋_GB2312" w:eastAsia="仿宋_GB2312"/>
          <w:color w:val="000000"/>
          <w:sz w:val="32"/>
          <w:szCs w:val="32"/>
        </w:rPr>
        <w:t>11.</w:t>
      </w:r>
      <w:r>
        <w:rPr>
          <w:rFonts w:hint="eastAsia" w:ascii="仿宋_GB2312" w:eastAsia="仿宋_GB2312"/>
          <w:color w:val="000000"/>
          <w:sz w:val="32"/>
          <w:szCs w:val="32"/>
        </w:rPr>
        <w:t>组织指导地方水电站、电网建设管理，实施技术监督；指导农村水能资源开发和水电农村电气化、小水电代燃料生态保护工程建设。</w:t>
      </w:r>
    </w:p>
    <w:p>
      <w:pPr>
        <w:pStyle w:val="12"/>
        <w:spacing w:before="0" w:beforeAutospacing="0" w:after="0" w:afterAutospacing="0" w:line="600" w:lineRule="exact"/>
        <w:ind w:firstLine="640" w:firstLineChars="200"/>
        <w:jc w:val="both"/>
        <w:rPr>
          <w:rFonts w:ascii="仿宋_GB2312" w:eastAsia="仿宋_GB2312"/>
          <w:color w:val="000000"/>
          <w:sz w:val="32"/>
          <w:szCs w:val="32"/>
        </w:rPr>
      </w:pPr>
      <w:r>
        <w:rPr>
          <w:rFonts w:ascii="仿宋_GB2312" w:eastAsia="仿宋_GB2312"/>
          <w:color w:val="000000"/>
          <w:sz w:val="32"/>
          <w:szCs w:val="32"/>
        </w:rPr>
        <w:t>12.</w:t>
      </w:r>
      <w:r>
        <w:rPr>
          <w:rFonts w:hint="eastAsia" w:ascii="仿宋_GB2312" w:eastAsia="仿宋_GB2312"/>
          <w:color w:val="000000"/>
          <w:sz w:val="32"/>
          <w:szCs w:val="32"/>
        </w:rPr>
        <w:t>指导水政监察和水行政执法；负责水务行政复议的受理和行政诉讼的应诉工作；查处重大涉水违法事件，协调、仲裁跨县（市、区）水事纠纷。</w:t>
      </w:r>
    </w:p>
    <w:p>
      <w:pPr>
        <w:pStyle w:val="12"/>
        <w:spacing w:before="0" w:beforeAutospacing="0" w:after="0" w:afterAutospacing="0" w:line="600" w:lineRule="exact"/>
        <w:ind w:firstLine="640" w:firstLineChars="200"/>
        <w:jc w:val="both"/>
        <w:rPr>
          <w:rFonts w:ascii="仿宋_GB2312" w:eastAsia="仿宋_GB2312"/>
          <w:color w:val="000000"/>
          <w:sz w:val="32"/>
          <w:szCs w:val="32"/>
        </w:rPr>
      </w:pPr>
      <w:r>
        <w:rPr>
          <w:rFonts w:ascii="仿宋_GB2312" w:eastAsia="仿宋_GB2312"/>
          <w:color w:val="000000"/>
          <w:sz w:val="32"/>
          <w:szCs w:val="32"/>
        </w:rPr>
        <w:t>13.</w:t>
      </w:r>
      <w:r>
        <w:rPr>
          <w:rFonts w:hint="eastAsia" w:ascii="仿宋_GB2312" w:eastAsia="仿宋_GB2312"/>
          <w:color w:val="000000"/>
          <w:sz w:val="32"/>
          <w:szCs w:val="32"/>
        </w:rPr>
        <w:t>指导全市江河、湖泊、滩涂的综合治理与开发；负责河道采砂的统一监督管理工作。</w:t>
      </w:r>
    </w:p>
    <w:p>
      <w:pPr>
        <w:pStyle w:val="12"/>
        <w:spacing w:before="0" w:beforeAutospacing="0" w:after="0" w:afterAutospacing="0" w:line="600" w:lineRule="exact"/>
        <w:ind w:firstLine="640" w:firstLineChars="200"/>
        <w:jc w:val="both"/>
        <w:rPr>
          <w:rFonts w:ascii="仿宋_GB2312" w:eastAsia="仿宋_GB2312"/>
          <w:color w:val="000000"/>
          <w:sz w:val="32"/>
          <w:szCs w:val="32"/>
        </w:rPr>
      </w:pPr>
      <w:r>
        <w:rPr>
          <w:rFonts w:ascii="仿宋_GB2312" w:eastAsia="仿宋_GB2312"/>
          <w:color w:val="000000"/>
          <w:sz w:val="32"/>
          <w:szCs w:val="32"/>
        </w:rPr>
        <w:t>14.</w:t>
      </w:r>
      <w:r>
        <w:rPr>
          <w:rFonts w:hint="eastAsia" w:ascii="仿宋_GB2312" w:eastAsia="仿宋_GB2312"/>
          <w:color w:val="000000"/>
          <w:sz w:val="32"/>
          <w:szCs w:val="32"/>
        </w:rPr>
        <w:t>指导全市有关水务项目的科学研究和技术推广，组织指导全市重大水务项目的对外合作和交流；指导全市水务行业发展、改革、稳定工作及队伍和服务体系建设；指导水务行业劳动保护、安全生产工作。</w:t>
      </w:r>
    </w:p>
    <w:p>
      <w:pPr>
        <w:pStyle w:val="12"/>
        <w:spacing w:before="0" w:beforeAutospacing="0" w:after="0" w:afterAutospacing="0" w:line="600" w:lineRule="exact"/>
        <w:ind w:firstLine="640" w:firstLineChars="200"/>
        <w:jc w:val="both"/>
        <w:rPr>
          <w:rFonts w:ascii="仿宋_GB2312" w:eastAsia="仿宋_GB2312"/>
          <w:color w:val="000000"/>
          <w:sz w:val="32"/>
          <w:szCs w:val="32"/>
        </w:rPr>
      </w:pPr>
      <w:r>
        <w:rPr>
          <w:rFonts w:ascii="仿宋_GB2312" w:eastAsia="仿宋_GB2312"/>
          <w:color w:val="000000"/>
          <w:sz w:val="32"/>
          <w:szCs w:val="32"/>
        </w:rPr>
        <w:t>15.</w:t>
      </w:r>
      <w:r>
        <w:rPr>
          <w:rFonts w:hint="eastAsia" w:ascii="仿宋_GB2312" w:eastAsia="仿宋_GB2312"/>
          <w:color w:val="000000"/>
          <w:sz w:val="32"/>
          <w:szCs w:val="32"/>
        </w:rPr>
        <w:t>承担市政府公布的有关行政审批事项。</w:t>
      </w:r>
    </w:p>
    <w:p>
      <w:pPr>
        <w:pStyle w:val="12"/>
        <w:spacing w:before="0" w:beforeAutospacing="0" w:after="0" w:afterAutospacing="0" w:line="600" w:lineRule="exact"/>
        <w:ind w:firstLine="640" w:firstLineChars="200"/>
        <w:jc w:val="both"/>
        <w:rPr>
          <w:rFonts w:ascii="仿宋_GB2312" w:eastAsia="仿宋_GB2312"/>
          <w:color w:val="000000"/>
          <w:sz w:val="32"/>
          <w:szCs w:val="32"/>
        </w:rPr>
      </w:pPr>
      <w:r>
        <w:rPr>
          <w:rFonts w:ascii="仿宋_GB2312" w:eastAsia="仿宋_GB2312"/>
          <w:color w:val="000000"/>
          <w:sz w:val="32"/>
          <w:szCs w:val="32"/>
        </w:rPr>
        <w:t>16.</w:t>
      </w:r>
      <w:r>
        <w:rPr>
          <w:rFonts w:hint="eastAsia" w:ascii="仿宋_GB2312" w:eastAsia="仿宋_GB2312"/>
          <w:color w:val="000000"/>
          <w:sz w:val="32"/>
          <w:szCs w:val="32"/>
        </w:rPr>
        <w:t>承担河长制组织实施具体工作，负责协调、督促、落实总河长会议、河长会议、总河长办公室确定的事项；拟制全市河湖管理工作方案、相关制度及考核办法；督促市级相关部门按照职能职责，落实责任，协调联动，共同推进河湖管理保护工作；督导县（市、区）同步全面落实河长制相关工作，并对县（市、区）河湖管理保护工作进行监督考核。</w:t>
      </w:r>
    </w:p>
    <w:p>
      <w:pPr>
        <w:pStyle w:val="12"/>
        <w:spacing w:before="93" w:beforeAutospacing="0" w:after="0" w:afterAutospacing="0" w:line="600" w:lineRule="exact"/>
        <w:ind w:firstLine="640" w:firstLineChars="200"/>
        <w:jc w:val="both"/>
        <w:rPr>
          <w:rFonts w:ascii="仿宋_GB2312" w:eastAsia="仿宋_GB2312"/>
          <w:color w:val="000000"/>
          <w:sz w:val="32"/>
          <w:szCs w:val="32"/>
        </w:rPr>
      </w:pPr>
      <w:r>
        <w:rPr>
          <w:rFonts w:ascii="仿宋_GB2312" w:eastAsia="仿宋_GB2312"/>
          <w:color w:val="000000"/>
          <w:sz w:val="32"/>
          <w:szCs w:val="32"/>
        </w:rPr>
        <w:t>17.</w:t>
      </w:r>
      <w:r>
        <w:rPr>
          <w:rFonts w:hint="eastAsia" w:ascii="仿宋_GB2312" w:eastAsia="仿宋_GB2312"/>
          <w:color w:val="000000"/>
          <w:sz w:val="32"/>
          <w:szCs w:val="32"/>
        </w:rPr>
        <w:t>承办市政府交办的其他事项。</w:t>
      </w:r>
    </w:p>
    <w:p>
      <w:pPr>
        <w:pStyle w:val="5"/>
        <w:adjustRightInd w:val="0"/>
        <w:snapToGrid w:val="0"/>
        <w:spacing w:before="93" w:line="600" w:lineRule="exact"/>
        <w:ind w:firstLine="640" w:firstLineChars="200"/>
        <w:outlineLvl w:val="2"/>
        <w:rPr>
          <w:rFonts w:ascii="仿宋" w:hAnsi="仿宋" w:eastAsia="仿宋"/>
          <w:bCs/>
          <w:color w:val="000000"/>
          <w:sz w:val="32"/>
          <w:szCs w:val="32"/>
        </w:rPr>
      </w:pPr>
      <w:bookmarkStart w:id="18" w:name="_Toc15378446"/>
      <w:bookmarkStart w:id="19" w:name="_Toc15377199"/>
      <w:r>
        <w:rPr>
          <w:rFonts w:hint="eastAsia" w:ascii="仿宋" w:hAnsi="仿宋" w:eastAsia="仿宋"/>
          <w:bCs/>
          <w:color w:val="000000"/>
          <w:sz w:val="32"/>
          <w:szCs w:val="32"/>
        </w:rPr>
        <w:t>（二）</w:t>
      </w:r>
      <w:r>
        <w:rPr>
          <w:rFonts w:ascii="仿宋" w:hAnsi="仿宋" w:eastAsia="仿宋"/>
          <w:bCs/>
          <w:color w:val="000000"/>
          <w:sz w:val="32"/>
          <w:szCs w:val="32"/>
        </w:rPr>
        <w:t>2018</w:t>
      </w:r>
      <w:r>
        <w:rPr>
          <w:rFonts w:hint="eastAsia" w:ascii="仿宋" w:hAnsi="仿宋" w:eastAsia="仿宋"/>
          <w:bCs/>
          <w:color w:val="000000"/>
          <w:sz w:val="32"/>
          <w:szCs w:val="32"/>
        </w:rPr>
        <w:t>年重点工作完成情况。</w:t>
      </w:r>
      <w:bookmarkEnd w:id="18"/>
      <w:bookmarkEnd w:id="19"/>
    </w:p>
    <w:p>
      <w:pPr>
        <w:adjustRightInd w:val="0"/>
        <w:snapToGrid w:val="0"/>
        <w:spacing w:line="560" w:lineRule="exact"/>
        <w:ind w:firstLine="640" w:firstLineChars="200"/>
        <w:rPr>
          <w:rFonts w:ascii="仿宋_GB2312" w:eastAsia="仿宋_GB2312"/>
          <w:color w:val="000000"/>
          <w:sz w:val="32"/>
          <w:szCs w:val="32"/>
        </w:rPr>
      </w:pPr>
      <w:r>
        <w:rPr>
          <w:rFonts w:ascii="仿宋_GB2312" w:eastAsia="仿宋_GB2312"/>
          <w:color w:val="000000"/>
          <w:sz w:val="32"/>
          <w:szCs w:val="32"/>
        </w:rPr>
        <w:t>2018</w:t>
      </w:r>
      <w:r>
        <w:rPr>
          <w:rFonts w:hint="eastAsia" w:ascii="仿宋_GB2312" w:eastAsia="仿宋_GB2312"/>
          <w:color w:val="000000"/>
          <w:sz w:val="32"/>
          <w:szCs w:val="32"/>
        </w:rPr>
        <w:t>年，在市委、市政府的坚强领导下，市水务局坚持以党的十九大精神和习近平新时代中国特色社会主义思想为指导，紧紧围绕</w:t>
      </w:r>
      <w:r>
        <w:rPr>
          <w:rFonts w:ascii="仿宋_GB2312" w:eastAsia="仿宋_GB2312"/>
          <w:color w:val="000000"/>
          <w:sz w:val="32"/>
          <w:szCs w:val="32"/>
        </w:rPr>
        <w:t xml:space="preserve"> </w:t>
      </w:r>
      <w:r>
        <w:rPr>
          <w:rFonts w:hint="eastAsia" w:ascii="仿宋_GB2312" w:eastAsia="仿宋_GB2312"/>
          <w:color w:val="000000"/>
          <w:sz w:val="32"/>
          <w:szCs w:val="32"/>
        </w:rPr>
        <w:t>“产业发展年”工作主题，聚焦水生态、狠抓主业落实，不断提升水利保障发展和服务民生的水平。</w:t>
      </w:r>
    </w:p>
    <w:p>
      <w:pPr>
        <w:adjustRightInd w:val="0"/>
        <w:snapToGrid w:val="0"/>
        <w:spacing w:line="560" w:lineRule="exact"/>
        <w:ind w:firstLine="640" w:firstLineChars="200"/>
        <w:jc w:val="left"/>
        <w:rPr>
          <w:rFonts w:ascii="仿宋_GB2312" w:eastAsia="仿宋_GB2312"/>
          <w:color w:val="000000"/>
          <w:sz w:val="32"/>
          <w:szCs w:val="32"/>
        </w:rPr>
      </w:pPr>
      <w:r>
        <w:rPr>
          <w:rFonts w:hint="eastAsia" w:ascii="仿宋_GB2312" w:eastAsia="仿宋_GB2312"/>
          <w:color w:val="000000"/>
          <w:sz w:val="32"/>
          <w:szCs w:val="32"/>
        </w:rPr>
        <w:t>一、强化思想政治建设</w:t>
      </w:r>
    </w:p>
    <w:p>
      <w:pPr>
        <w:adjustRightInd w:val="0"/>
        <w:snapToGrid w:val="0"/>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践行党的宗旨，牢固树立终身学习理念，不断增强班子战斗力、凝聚力。</w:t>
      </w:r>
    </w:p>
    <w:p>
      <w:pPr>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一）加强学习，提升本领。通过参加市委理论中心组学习、局党组会议会前学习等形式，进一步深入学习领会习近平新时代中国特色社会主义思想、党的十九大精神和习近平总书记对四川工作系列重要指示精神，不断强化党的政策理论和业务知识学习，增强贯彻执行党的路线方针政策的坚定性、自觉性，切实提高自身的理论水平、政治素养和业务能力。进一步树牢“四个意识”，坚定“四个自信”，坚决落实“两个维护”。</w:t>
      </w:r>
    </w:p>
    <w:p>
      <w:pPr>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二）坚定信念，增强定力。坚持讲政治、顾大局，牢牢把握正确的政治方向，认真贯彻落实意识形态工作责任制，把学习好、宣传好、贯彻好、落实好省委十一届三次、四次全会和市委七届五次、六次全会精神作为一项重要政治任务，带头贯彻落实中央和省委、市委决策部署，带领班子成员扎实开展</w:t>
      </w:r>
      <w:r>
        <w:rPr>
          <w:rFonts w:ascii="仿宋_GB2312" w:eastAsia="仿宋_GB2312"/>
          <w:color w:val="000000"/>
          <w:sz w:val="32"/>
          <w:szCs w:val="32"/>
        </w:rPr>
        <w:t>“</w:t>
      </w:r>
      <w:r>
        <w:rPr>
          <w:rFonts w:hint="eastAsia" w:ascii="仿宋_GB2312" w:eastAsia="仿宋_GB2312"/>
          <w:color w:val="000000"/>
          <w:sz w:val="32"/>
          <w:szCs w:val="32"/>
        </w:rPr>
        <w:t>大学习、大讨论、大调研</w:t>
      </w:r>
      <w:r>
        <w:rPr>
          <w:rFonts w:ascii="仿宋_GB2312" w:eastAsia="仿宋_GB2312"/>
          <w:color w:val="000000"/>
          <w:sz w:val="32"/>
          <w:szCs w:val="32"/>
        </w:rPr>
        <w:t>”</w:t>
      </w:r>
      <w:r>
        <w:rPr>
          <w:rFonts w:hint="eastAsia" w:ascii="仿宋_GB2312" w:eastAsia="仿宋_GB2312"/>
          <w:color w:val="000000"/>
          <w:sz w:val="32"/>
          <w:szCs w:val="32"/>
        </w:rPr>
        <w:t>活动，围绕“一干多支、五区协同”“四向拓展、全域开放”和乐山高质量发展战略部署落地落实，大力开展水利行业调查研究，进一步厘清新时期水利工作发展思路和方向，不断提高驾驭复杂局面的能力。</w:t>
      </w:r>
    </w:p>
    <w:p>
      <w:pPr>
        <w:widowControl/>
        <w:shd w:val="clear" w:color="auto" w:fill="FFFFFF"/>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三）民主集中，维护团结。对党忠诚，襟怀坦荡，始终坚持思想上、政治上、行动上与市委、市政府保持高度一致，认真贯彻执行党的路线方针政策，在履行管党治党责任、重大决策、重要人事任免、重大项目投资、大额资金使用等</w:t>
      </w:r>
      <w:r>
        <w:rPr>
          <w:rFonts w:ascii="仿宋_GB2312" w:eastAsia="仿宋_GB2312"/>
          <w:color w:val="000000"/>
          <w:sz w:val="32"/>
          <w:szCs w:val="32"/>
        </w:rPr>
        <w:t>“</w:t>
      </w:r>
      <w:r>
        <w:rPr>
          <w:rFonts w:hint="eastAsia" w:ascii="仿宋_GB2312" w:eastAsia="仿宋_GB2312"/>
          <w:color w:val="000000"/>
          <w:sz w:val="32"/>
          <w:szCs w:val="32"/>
        </w:rPr>
        <w:t>三重一大</w:t>
      </w:r>
      <w:r>
        <w:rPr>
          <w:rFonts w:ascii="仿宋_GB2312" w:eastAsia="仿宋_GB2312"/>
          <w:color w:val="000000"/>
          <w:sz w:val="32"/>
          <w:szCs w:val="32"/>
        </w:rPr>
        <w:t>”</w:t>
      </w:r>
      <w:r>
        <w:rPr>
          <w:rFonts w:hint="eastAsia" w:ascii="仿宋_GB2312" w:eastAsia="仿宋_GB2312"/>
          <w:color w:val="000000"/>
          <w:sz w:val="32"/>
          <w:szCs w:val="32"/>
        </w:rPr>
        <w:t>事项时，始终坚持民主集中制，认真听取班子成员意见，保证班子的战斗力和凝聚力。</w:t>
      </w:r>
    </w:p>
    <w:p>
      <w:pPr>
        <w:adjustRightInd w:val="0"/>
        <w:snapToGrid w:val="0"/>
        <w:spacing w:line="560" w:lineRule="exact"/>
        <w:ind w:firstLine="640" w:firstLineChars="200"/>
        <w:jc w:val="left"/>
        <w:rPr>
          <w:rFonts w:ascii="仿宋_GB2312" w:eastAsia="仿宋_GB2312"/>
          <w:color w:val="000000"/>
          <w:sz w:val="32"/>
          <w:szCs w:val="32"/>
        </w:rPr>
      </w:pPr>
      <w:r>
        <w:rPr>
          <w:rFonts w:hint="eastAsia" w:ascii="仿宋_GB2312" w:eastAsia="仿宋_GB2312"/>
          <w:color w:val="000000"/>
          <w:sz w:val="32"/>
          <w:szCs w:val="32"/>
        </w:rPr>
        <w:t>二、加强党建，提升干部队伍能力</w:t>
      </w:r>
    </w:p>
    <w:p>
      <w:pPr>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深入学习贯彻习近平总书记对四川工作系列重要指示精神，全面加强和规范党的组织生活，强化意识形态和组织观念，为全市水利改革发展提供坚强组织保障。</w:t>
      </w:r>
    </w:p>
    <w:p>
      <w:pPr>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一）强化组织建设，构建坚强堡垒。明确党组书记、分管领导、机关党委书记、党支部书记四级责任，以党建带业务，以业务促党建，把党建工作与水务工作同谋划、共部署、齐推进，有效发挥了“围绕、融入、促进”中心工作的功能作用。年初与</w:t>
      </w:r>
      <w:r>
        <w:rPr>
          <w:rFonts w:ascii="仿宋_GB2312" w:eastAsia="仿宋_GB2312"/>
          <w:color w:val="000000"/>
          <w:sz w:val="32"/>
          <w:szCs w:val="32"/>
        </w:rPr>
        <w:t>15</w:t>
      </w:r>
      <w:r>
        <w:rPr>
          <w:rFonts w:hint="eastAsia" w:ascii="仿宋_GB2312" w:eastAsia="仿宋_GB2312"/>
          <w:color w:val="000000"/>
          <w:sz w:val="32"/>
          <w:szCs w:val="32"/>
        </w:rPr>
        <w:t>个党支部签订《基层党建工作责任书》，分解细化党建任务，做到党支部书记定责、有责、尽责。指导所属</w:t>
      </w:r>
      <w:r>
        <w:rPr>
          <w:rFonts w:ascii="仿宋_GB2312" w:eastAsia="仿宋_GB2312"/>
          <w:color w:val="000000"/>
          <w:sz w:val="32"/>
          <w:szCs w:val="32"/>
        </w:rPr>
        <w:t>6</w:t>
      </w:r>
      <w:r>
        <w:rPr>
          <w:rFonts w:hint="eastAsia" w:ascii="仿宋_GB2312" w:eastAsia="仿宋_GB2312"/>
          <w:color w:val="000000"/>
          <w:sz w:val="32"/>
          <w:szCs w:val="32"/>
        </w:rPr>
        <w:t>个党支部的换届选举和</w:t>
      </w:r>
      <w:r>
        <w:rPr>
          <w:rFonts w:ascii="仿宋_GB2312" w:eastAsia="仿宋_GB2312"/>
          <w:color w:val="000000"/>
          <w:sz w:val="32"/>
          <w:szCs w:val="32"/>
        </w:rPr>
        <w:t>2</w:t>
      </w:r>
      <w:r>
        <w:rPr>
          <w:rFonts w:hint="eastAsia" w:ascii="仿宋_GB2312" w:eastAsia="仿宋_GB2312"/>
          <w:color w:val="000000"/>
          <w:sz w:val="32"/>
          <w:szCs w:val="32"/>
        </w:rPr>
        <w:t>个党支部增补支委的工作，党支部班子配备更加合理。</w:t>
      </w:r>
    </w:p>
    <w:p>
      <w:pPr>
        <w:adjustRightInd w:val="0"/>
        <w:snapToGrid w:val="0"/>
        <w:spacing w:line="560" w:lineRule="exact"/>
        <w:ind w:firstLine="640" w:firstLineChars="200"/>
        <w:jc w:val="left"/>
        <w:rPr>
          <w:rFonts w:ascii="仿宋_GB2312" w:eastAsia="仿宋_GB2312"/>
          <w:color w:val="000000"/>
          <w:sz w:val="32"/>
          <w:szCs w:val="32"/>
        </w:rPr>
      </w:pPr>
      <w:r>
        <w:rPr>
          <w:rFonts w:hint="eastAsia" w:ascii="仿宋_GB2312" w:eastAsia="仿宋_GB2312"/>
          <w:color w:val="000000"/>
          <w:sz w:val="32"/>
          <w:szCs w:val="32"/>
        </w:rPr>
        <w:t>（二）强化教育学习，提升党建工作水平。重点组织对省委“两个决定”和市委的“一个决定”“两个五年行动计划”开展集中学习，创新开展情景互动式党课。</w:t>
      </w:r>
      <w:r>
        <w:rPr>
          <w:rFonts w:ascii="仿宋_GB2312" w:eastAsia="仿宋_GB2312"/>
          <w:color w:val="000000"/>
          <w:sz w:val="32"/>
          <w:szCs w:val="32"/>
        </w:rPr>
        <w:t>2018</w:t>
      </w:r>
      <w:r>
        <w:rPr>
          <w:rFonts w:hint="eastAsia" w:ascii="仿宋_GB2312" w:eastAsia="仿宋_GB2312"/>
          <w:color w:val="000000"/>
          <w:sz w:val="32"/>
          <w:szCs w:val="32"/>
        </w:rPr>
        <w:t>年，所属</w:t>
      </w:r>
      <w:r>
        <w:rPr>
          <w:rFonts w:ascii="仿宋_GB2312" w:eastAsia="仿宋_GB2312"/>
          <w:color w:val="000000"/>
          <w:sz w:val="32"/>
          <w:szCs w:val="32"/>
        </w:rPr>
        <w:t>15</w:t>
      </w:r>
      <w:r>
        <w:rPr>
          <w:rFonts w:hint="eastAsia" w:ascii="仿宋_GB2312" w:eastAsia="仿宋_GB2312"/>
          <w:color w:val="000000"/>
          <w:sz w:val="32"/>
          <w:szCs w:val="32"/>
        </w:rPr>
        <w:t>个党支部召开学习会</w:t>
      </w:r>
      <w:r>
        <w:rPr>
          <w:rFonts w:ascii="仿宋_GB2312" w:eastAsia="仿宋_GB2312"/>
          <w:color w:val="000000"/>
          <w:sz w:val="32"/>
          <w:szCs w:val="32"/>
        </w:rPr>
        <w:t>48</w:t>
      </w:r>
      <w:r>
        <w:rPr>
          <w:rFonts w:hint="eastAsia" w:ascii="仿宋_GB2312" w:eastAsia="仿宋_GB2312"/>
          <w:color w:val="000000"/>
          <w:sz w:val="32"/>
          <w:szCs w:val="32"/>
        </w:rPr>
        <w:t>次，局领导讲专题党课</w:t>
      </w:r>
      <w:r>
        <w:rPr>
          <w:rFonts w:ascii="仿宋_GB2312" w:eastAsia="仿宋_GB2312"/>
          <w:color w:val="000000"/>
          <w:sz w:val="32"/>
          <w:szCs w:val="32"/>
        </w:rPr>
        <w:t>16</w:t>
      </w:r>
      <w:r>
        <w:rPr>
          <w:rFonts w:hint="eastAsia" w:ascii="仿宋_GB2312" w:eastAsia="仿宋_GB2312"/>
          <w:color w:val="000000"/>
          <w:sz w:val="32"/>
          <w:szCs w:val="32"/>
        </w:rPr>
        <w:t>场，开展主题党日活动</w:t>
      </w:r>
      <w:r>
        <w:rPr>
          <w:rFonts w:ascii="仿宋_GB2312" w:eastAsia="仿宋_GB2312"/>
          <w:color w:val="000000"/>
          <w:sz w:val="32"/>
          <w:szCs w:val="32"/>
        </w:rPr>
        <w:t>36</w:t>
      </w:r>
      <w:r>
        <w:rPr>
          <w:rFonts w:hint="eastAsia" w:ascii="仿宋_GB2312" w:eastAsia="仿宋_GB2312"/>
          <w:color w:val="000000"/>
          <w:sz w:val="32"/>
          <w:szCs w:val="32"/>
        </w:rPr>
        <w:t>次，形成党建专题简报</w:t>
      </w:r>
      <w:r>
        <w:rPr>
          <w:rFonts w:ascii="仿宋_GB2312" w:eastAsia="仿宋_GB2312"/>
          <w:color w:val="000000"/>
          <w:sz w:val="32"/>
          <w:szCs w:val="32"/>
        </w:rPr>
        <w:t>31</w:t>
      </w:r>
      <w:r>
        <w:rPr>
          <w:rFonts w:hint="eastAsia" w:ascii="仿宋_GB2312" w:eastAsia="仿宋_GB2312"/>
          <w:color w:val="000000"/>
          <w:sz w:val="32"/>
          <w:szCs w:val="32"/>
        </w:rPr>
        <w:t>篇，布置宣传栏</w:t>
      </w:r>
      <w:r>
        <w:rPr>
          <w:rFonts w:ascii="仿宋_GB2312" w:eastAsia="仿宋_GB2312"/>
          <w:color w:val="000000"/>
          <w:sz w:val="32"/>
          <w:szCs w:val="32"/>
        </w:rPr>
        <w:t>7</w:t>
      </w:r>
      <w:r>
        <w:rPr>
          <w:rFonts w:hint="eastAsia" w:ascii="仿宋_GB2312" w:eastAsia="仿宋_GB2312"/>
          <w:color w:val="000000"/>
          <w:sz w:val="32"/>
          <w:szCs w:val="32"/>
        </w:rPr>
        <w:t>个。结合“大学习、大讨论、大调研”活动，各党支部召开各类专题学习、讨论</w:t>
      </w:r>
      <w:r>
        <w:rPr>
          <w:rFonts w:ascii="仿宋_GB2312" w:eastAsia="仿宋_GB2312"/>
          <w:color w:val="000000"/>
          <w:sz w:val="32"/>
          <w:szCs w:val="32"/>
        </w:rPr>
        <w:t>42</w:t>
      </w:r>
      <w:r>
        <w:rPr>
          <w:rFonts w:hint="eastAsia" w:ascii="仿宋_GB2312" w:eastAsia="仿宋_GB2312"/>
          <w:color w:val="000000"/>
          <w:sz w:val="32"/>
          <w:szCs w:val="32"/>
        </w:rPr>
        <w:t>场次，形成涉及水利改革发展、水环境治理等高质量专题调研报告</w:t>
      </w:r>
      <w:r>
        <w:rPr>
          <w:rFonts w:ascii="仿宋_GB2312" w:eastAsia="仿宋_GB2312"/>
          <w:color w:val="000000"/>
          <w:sz w:val="32"/>
          <w:szCs w:val="32"/>
        </w:rPr>
        <w:t>4</w:t>
      </w:r>
      <w:r>
        <w:rPr>
          <w:rFonts w:hint="eastAsia" w:ascii="仿宋_GB2312" w:eastAsia="仿宋_GB2312"/>
          <w:color w:val="000000"/>
          <w:sz w:val="32"/>
          <w:szCs w:val="32"/>
        </w:rPr>
        <w:t>篇。</w:t>
      </w:r>
    </w:p>
    <w:p>
      <w:pPr>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三）发挥组织优势，提升队伍战斗能力。强化帮扶力量，调整对口帮扶村“第一书记”，增派了驻村工作队队员。深入开展走访调研，切实解决扶贫产业发展、村组道路建设、贫困户安置等实际问题。组织驻村帮扶村两委班子和帮扶村种养殖带头人到市中区等地实地参观学习先进种养殖合作社，为贫困地区发展拓展新思路。在抓好驻村帮扶工作同时，注重在基层一线锻炼干部、考察干部，全面提升组织干部队伍战斗能力。</w:t>
      </w:r>
    </w:p>
    <w:p>
      <w:pPr>
        <w:adjustRightInd w:val="0"/>
        <w:snapToGrid w:val="0"/>
        <w:spacing w:line="560" w:lineRule="exact"/>
        <w:ind w:firstLine="640" w:firstLineChars="200"/>
        <w:jc w:val="left"/>
        <w:rPr>
          <w:rFonts w:ascii="仿宋_GB2312" w:eastAsia="仿宋_GB2312"/>
          <w:color w:val="000000"/>
          <w:sz w:val="32"/>
          <w:szCs w:val="32"/>
        </w:rPr>
      </w:pPr>
      <w:r>
        <w:rPr>
          <w:rFonts w:hint="eastAsia" w:ascii="仿宋_GB2312" w:eastAsia="仿宋_GB2312"/>
          <w:color w:val="000000"/>
          <w:sz w:val="32"/>
          <w:szCs w:val="32"/>
        </w:rPr>
        <w:t>三、尽职尽责，高质量落实业务工作</w:t>
      </w:r>
    </w:p>
    <w:p>
      <w:pPr>
        <w:adjustRightInd w:val="0"/>
        <w:snapToGrid w:val="0"/>
        <w:spacing w:line="560" w:lineRule="exact"/>
        <w:ind w:firstLine="640" w:firstLineChars="200"/>
        <w:jc w:val="left"/>
        <w:rPr>
          <w:rFonts w:ascii="仿宋_GB2312" w:eastAsia="仿宋_GB2312"/>
          <w:color w:val="000000"/>
          <w:sz w:val="32"/>
          <w:szCs w:val="32"/>
        </w:rPr>
      </w:pPr>
      <w:r>
        <w:rPr>
          <w:rFonts w:ascii="仿宋_GB2312" w:eastAsia="仿宋_GB2312"/>
          <w:color w:val="000000"/>
          <w:sz w:val="32"/>
          <w:szCs w:val="32"/>
        </w:rPr>
        <w:t>2018</w:t>
      </w:r>
      <w:r>
        <w:rPr>
          <w:rFonts w:hint="eastAsia" w:ascii="仿宋_GB2312" w:eastAsia="仿宋_GB2312"/>
          <w:color w:val="000000"/>
          <w:sz w:val="32"/>
          <w:szCs w:val="32"/>
        </w:rPr>
        <w:t>年，在严峻的经济发展形势和繁重的建设任务双重压力下，带领系统干部职工认真落实新发展理念和高质量发展要求，圆满完成各项目标任务。</w:t>
      </w:r>
    </w:p>
    <w:p>
      <w:pPr>
        <w:widowControl/>
        <w:shd w:val="clear" w:color="auto" w:fill="FFFFFF"/>
        <w:spacing w:line="560" w:lineRule="exact"/>
        <w:ind w:firstLine="645"/>
        <w:rPr>
          <w:rFonts w:ascii="仿宋_GB2312" w:eastAsia="仿宋_GB2312"/>
          <w:color w:val="000000"/>
          <w:sz w:val="32"/>
          <w:szCs w:val="32"/>
        </w:rPr>
      </w:pPr>
      <w:r>
        <w:rPr>
          <w:rFonts w:hint="eastAsia" w:ascii="仿宋_GB2312" w:eastAsia="仿宋_GB2312"/>
          <w:color w:val="000000"/>
          <w:sz w:val="32"/>
          <w:szCs w:val="32"/>
        </w:rPr>
        <w:t>（一）狠抓主业落实，重点项目推进有序。一是扎实推进“三百”水利。全年累计向上争取资金</w:t>
      </w:r>
      <w:r>
        <w:rPr>
          <w:rFonts w:ascii="仿宋_GB2312" w:eastAsia="仿宋_GB2312"/>
          <w:color w:val="000000"/>
          <w:sz w:val="32"/>
          <w:szCs w:val="32"/>
        </w:rPr>
        <w:t>5.15</w:t>
      </w:r>
      <w:r>
        <w:rPr>
          <w:rFonts w:hint="eastAsia" w:ascii="仿宋_GB2312" w:eastAsia="仿宋_GB2312"/>
          <w:color w:val="000000"/>
          <w:sz w:val="32"/>
          <w:szCs w:val="32"/>
        </w:rPr>
        <w:t>亿元，超额完成年度目标任务，实施“三百”水利项目</w:t>
      </w:r>
      <w:r>
        <w:rPr>
          <w:rFonts w:ascii="仿宋_GB2312" w:eastAsia="仿宋_GB2312"/>
          <w:color w:val="000000"/>
          <w:sz w:val="32"/>
          <w:szCs w:val="32"/>
        </w:rPr>
        <w:t>60</w:t>
      </w:r>
      <w:r>
        <w:rPr>
          <w:rFonts w:hint="eastAsia" w:ascii="仿宋_GB2312" w:eastAsia="仿宋_GB2312"/>
          <w:color w:val="000000"/>
          <w:sz w:val="32"/>
          <w:szCs w:val="32"/>
        </w:rPr>
        <w:t>个，完成投资</w:t>
      </w:r>
      <w:r>
        <w:rPr>
          <w:rFonts w:ascii="仿宋_GB2312" w:eastAsia="仿宋_GB2312"/>
          <w:color w:val="000000"/>
          <w:sz w:val="32"/>
          <w:szCs w:val="32"/>
        </w:rPr>
        <w:t>63.1</w:t>
      </w:r>
      <w:r>
        <w:rPr>
          <w:rFonts w:hint="eastAsia" w:ascii="仿宋_GB2312" w:eastAsia="仿宋_GB2312"/>
          <w:color w:val="000000"/>
          <w:sz w:val="32"/>
          <w:szCs w:val="32"/>
        </w:rPr>
        <w:t>亿元，新增和改善有效灌溉面积</w:t>
      </w:r>
      <w:r>
        <w:rPr>
          <w:rFonts w:ascii="仿宋_GB2312" w:eastAsia="仿宋_GB2312"/>
          <w:color w:val="000000"/>
          <w:sz w:val="32"/>
          <w:szCs w:val="32"/>
        </w:rPr>
        <w:t>5.55</w:t>
      </w:r>
      <w:r>
        <w:rPr>
          <w:rFonts w:hint="eastAsia" w:ascii="仿宋_GB2312" w:eastAsia="仿宋_GB2312"/>
          <w:color w:val="000000"/>
          <w:sz w:val="32"/>
          <w:szCs w:val="32"/>
        </w:rPr>
        <w:t>万亩，新建加固堤防</w:t>
      </w:r>
      <w:r>
        <w:rPr>
          <w:rFonts w:ascii="仿宋_GB2312" w:eastAsia="仿宋_GB2312"/>
          <w:color w:val="000000"/>
          <w:sz w:val="32"/>
          <w:szCs w:val="32"/>
        </w:rPr>
        <w:t>35</w:t>
      </w:r>
      <w:r>
        <w:rPr>
          <w:rFonts w:hint="eastAsia" w:ascii="仿宋_GB2312" w:eastAsia="仿宋_GB2312"/>
          <w:color w:val="000000"/>
          <w:sz w:val="32"/>
          <w:szCs w:val="32"/>
        </w:rPr>
        <w:t>公里。二是重点保障城市供水。新建成青衣江陶渡永久性水源取水设施、乐山市第四水厂供水工程，供水区域已覆盖五通桥城区和沙湾城区，彻底解决中心城区饮用水源地环境风险，乐山中心城区实现</w:t>
      </w:r>
      <w:r>
        <w:rPr>
          <w:rFonts w:ascii="仿宋_GB2312" w:eastAsia="仿宋_GB2312"/>
          <w:color w:val="000000"/>
          <w:sz w:val="32"/>
          <w:szCs w:val="32"/>
        </w:rPr>
        <w:t>“</w:t>
      </w:r>
      <w:r>
        <w:rPr>
          <w:rFonts w:hint="eastAsia" w:ascii="仿宋_GB2312" w:eastAsia="仿宋_GB2312"/>
          <w:color w:val="000000"/>
          <w:sz w:val="32"/>
          <w:szCs w:val="32"/>
        </w:rPr>
        <w:t>双水源、互备用、一张网、全覆盖</w:t>
      </w:r>
      <w:r>
        <w:rPr>
          <w:rFonts w:ascii="仿宋_GB2312" w:eastAsia="仿宋_GB2312"/>
          <w:color w:val="000000"/>
          <w:sz w:val="32"/>
          <w:szCs w:val="32"/>
        </w:rPr>
        <w:t>”</w:t>
      </w:r>
      <w:r>
        <w:rPr>
          <w:rFonts w:hint="eastAsia" w:ascii="仿宋_GB2312" w:eastAsia="仿宋_GB2312"/>
          <w:color w:val="000000"/>
          <w:sz w:val="32"/>
          <w:szCs w:val="32"/>
        </w:rPr>
        <w:t>，供水保障能力全面提升。三是全市汛期实现因灾“零死亡”。成功处置“</w:t>
      </w:r>
      <w:r>
        <w:rPr>
          <w:rFonts w:ascii="仿宋_GB2312" w:eastAsia="仿宋_GB2312"/>
          <w:color w:val="000000"/>
          <w:sz w:val="32"/>
          <w:szCs w:val="32"/>
        </w:rPr>
        <w:t>5.21</w:t>
      </w:r>
      <w:r>
        <w:rPr>
          <w:rFonts w:hint="eastAsia" w:ascii="仿宋_GB2312" w:eastAsia="仿宋_GB2312"/>
          <w:color w:val="000000"/>
          <w:sz w:val="32"/>
          <w:szCs w:val="32"/>
        </w:rPr>
        <w:t>”峨眉河洪水等灾险情，有力应对</w:t>
      </w:r>
      <w:r>
        <w:rPr>
          <w:rFonts w:ascii="仿宋_GB2312" w:eastAsia="仿宋_GB2312"/>
          <w:color w:val="000000"/>
          <w:sz w:val="32"/>
          <w:szCs w:val="32"/>
        </w:rPr>
        <w:t>12</w:t>
      </w:r>
      <w:r>
        <w:rPr>
          <w:rFonts w:hint="eastAsia" w:ascii="仿宋_GB2312" w:eastAsia="仿宋_GB2312"/>
          <w:color w:val="000000"/>
          <w:sz w:val="32"/>
          <w:szCs w:val="32"/>
        </w:rPr>
        <w:t>次区域性暴雨、大暴雨天气过程，累计转移受洪涝灾害威胁群众</w:t>
      </w:r>
      <w:r>
        <w:rPr>
          <w:rFonts w:ascii="仿宋_GB2312" w:eastAsia="仿宋_GB2312"/>
          <w:color w:val="000000"/>
          <w:sz w:val="32"/>
          <w:szCs w:val="32"/>
        </w:rPr>
        <w:t>3.93</w:t>
      </w:r>
      <w:r>
        <w:rPr>
          <w:rFonts w:hint="eastAsia" w:ascii="仿宋_GB2312" w:eastAsia="仿宋_GB2312"/>
          <w:color w:val="000000"/>
          <w:sz w:val="32"/>
          <w:szCs w:val="32"/>
        </w:rPr>
        <w:t>万人次，避免人员伤亡</w:t>
      </w:r>
      <w:r>
        <w:rPr>
          <w:rFonts w:ascii="仿宋_GB2312" w:eastAsia="仿宋_GB2312"/>
          <w:color w:val="000000"/>
          <w:sz w:val="32"/>
          <w:szCs w:val="32"/>
        </w:rPr>
        <w:t>977</w:t>
      </w:r>
      <w:r>
        <w:rPr>
          <w:rFonts w:hint="eastAsia" w:ascii="仿宋_GB2312" w:eastAsia="仿宋_GB2312"/>
          <w:color w:val="000000"/>
          <w:sz w:val="32"/>
          <w:szCs w:val="32"/>
        </w:rPr>
        <w:t>起</w:t>
      </w:r>
      <w:r>
        <w:rPr>
          <w:rFonts w:ascii="仿宋_GB2312" w:eastAsia="仿宋_GB2312"/>
          <w:color w:val="000000"/>
          <w:sz w:val="32"/>
          <w:szCs w:val="32"/>
        </w:rPr>
        <w:t>1.15</w:t>
      </w:r>
      <w:r>
        <w:rPr>
          <w:rFonts w:hint="eastAsia" w:ascii="仿宋_GB2312" w:eastAsia="仿宋_GB2312"/>
          <w:color w:val="000000"/>
          <w:sz w:val="32"/>
          <w:szCs w:val="32"/>
        </w:rPr>
        <w:t>万人，减少受灾人口</w:t>
      </w:r>
      <w:r>
        <w:rPr>
          <w:rFonts w:ascii="仿宋_GB2312" w:eastAsia="仿宋_GB2312"/>
          <w:color w:val="000000"/>
          <w:sz w:val="32"/>
          <w:szCs w:val="32"/>
        </w:rPr>
        <w:t>62.4</w:t>
      </w:r>
      <w:r>
        <w:rPr>
          <w:rFonts w:hint="eastAsia" w:ascii="仿宋_GB2312" w:eastAsia="仿宋_GB2312"/>
          <w:color w:val="000000"/>
          <w:sz w:val="32"/>
          <w:szCs w:val="32"/>
        </w:rPr>
        <w:t>万人，减灾效益</w:t>
      </w:r>
      <w:r>
        <w:rPr>
          <w:rFonts w:ascii="仿宋_GB2312" w:eastAsia="仿宋_GB2312"/>
          <w:color w:val="000000"/>
          <w:sz w:val="32"/>
          <w:szCs w:val="32"/>
        </w:rPr>
        <w:t>20.45</w:t>
      </w:r>
      <w:r>
        <w:rPr>
          <w:rFonts w:hint="eastAsia" w:ascii="仿宋_GB2312" w:eastAsia="仿宋_GB2312"/>
          <w:color w:val="000000"/>
          <w:sz w:val="32"/>
          <w:szCs w:val="32"/>
        </w:rPr>
        <w:t>亿元。全市汛期水库电站无一垮坝、江河堤防无一决口、山洪地质灾害危险区无一人员因灾死亡、景区景点旅游秩序平稳，有力保障了群众生命财产安全。</w:t>
      </w:r>
    </w:p>
    <w:p>
      <w:pPr>
        <w:adjustRightInd w:val="0"/>
        <w:snapToGrid w:val="0"/>
        <w:spacing w:line="560" w:lineRule="exact"/>
        <w:ind w:firstLine="640" w:firstLineChars="200"/>
        <w:jc w:val="left"/>
        <w:rPr>
          <w:rFonts w:ascii="仿宋_GB2312" w:eastAsia="仿宋_GB2312"/>
          <w:color w:val="000000"/>
          <w:sz w:val="32"/>
          <w:szCs w:val="32"/>
        </w:rPr>
      </w:pPr>
      <w:r>
        <w:rPr>
          <w:rFonts w:hint="eastAsia" w:ascii="仿宋_GB2312" w:eastAsia="仿宋_GB2312"/>
          <w:color w:val="000000"/>
          <w:sz w:val="32"/>
          <w:szCs w:val="32"/>
        </w:rPr>
        <w:t>（二）强化生态保护，有力有效落实河（湖）长制。一是健全工作体系机制。全市共设立市县乡村组五级河长</w:t>
      </w:r>
      <w:r>
        <w:rPr>
          <w:rFonts w:ascii="仿宋_GB2312" w:eastAsia="仿宋_GB2312"/>
          <w:color w:val="000000"/>
          <w:sz w:val="32"/>
          <w:szCs w:val="32"/>
        </w:rPr>
        <w:t>6676</w:t>
      </w:r>
      <w:r>
        <w:rPr>
          <w:rFonts w:hint="eastAsia" w:ascii="仿宋_GB2312" w:eastAsia="仿宋_GB2312"/>
          <w:color w:val="000000"/>
          <w:sz w:val="32"/>
          <w:szCs w:val="32"/>
        </w:rPr>
        <w:t>名、湖长</w:t>
      </w:r>
      <w:r>
        <w:rPr>
          <w:rFonts w:ascii="仿宋_GB2312" w:eastAsia="仿宋_GB2312"/>
          <w:color w:val="000000"/>
          <w:sz w:val="32"/>
          <w:szCs w:val="32"/>
        </w:rPr>
        <w:t>2459</w:t>
      </w:r>
      <w:r>
        <w:rPr>
          <w:rFonts w:hint="eastAsia" w:ascii="仿宋_GB2312" w:eastAsia="仿宋_GB2312"/>
          <w:color w:val="000000"/>
          <w:sz w:val="32"/>
          <w:szCs w:val="32"/>
        </w:rPr>
        <w:t>名，有效保障每个水域责任主体明确。编制完善“一河一策”治理管护方案</w:t>
      </w:r>
      <w:r>
        <w:rPr>
          <w:rFonts w:ascii="仿宋_GB2312" w:eastAsia="仿宋_GB2312"/>
          <w:color w:val="000000"/>
          <w:sz w:val="32"/>
          <w:szCs w:val="32"/>
        </w:rPr>
        <w:t>218</w:t>
      </w:r>
      <w:r>
        <w:rPr>
          <w:rFonts w:hint="eastAsia" w:ascii="仿宋_GB2312" w:eastAsia="仿宋_GB2312"/>
          <w:color w:val="000000"/>
          <w:sz w:val="32"/>
          <w:szCs w:val="32"/>
        </w:rPr>
        <w:t>个，建立健全市管以上</w:t>
      </w:r>
      <w:r>
        <w:rPr>
          <w:rFonts w:ascii="仿宋_GB2312" w:eastAsia="仿宋_GB2312"/>
          <w:color w:val="000000"/>
          <w:sz w:val="32"/>
          <w:szCs w:val="32"/>
        </w:rPr>
        <w:t>15</w:t>
      </w:r>
      <w:r>
        <w:rPr>
          <w:rFonts w:hint="eastAsia" w:ascii="仿宋_GB2312" w:eastAsia="仿宋_GB2312"/>
          <w:color w:val="000000"/>
          <w:sz w:val="32"/>
          <w:szCs w:val="32"/>
        </w:rPr>
        <w:t>条主要河流联防共治机制，形成各部门、各地区共抓共管共治的流域保护合力。二是做实靠牢基础工作。编制完成市管以上</w:t>
      </w:r>
      <w:r>
        <w:rPr>
          <w:rFonts w:ascii="仿宋_GB2312" w:eastAsia="仿宋_GB2312"/>
          <w:color w:val="000000"/>
          <w:sz w:val="32"/>
          <w:szCs w:val="32"/>
        </w:rPr>
        <w:t>15</w:t>
      </w:r>
      <w:r>
        <w:rPr>
          <w:rFonts w:hint="eastAsia" w:ascii="仿宋_GB2312" w:eastAsia="仿宋_GB2312"/>
          <w:color w:val="000000"/>
          <w:sz w:val="32"/>
          <w:szCs w:val="32"/>
        </w:rPr>
        <w:t>条重要河流《综合治理概念性整治方案》，策划包装生成一批河流综合治理项目。各级河长严格重点巡查内容开展巡河督查，全市各级河湖长今年已开展巡河近</w:t>
      </w:r>
      <w:r>
        <w:rPr>
          <w:rFonts w:ascii="仿宋_GB2312" w:eastAsia="仿宋_GB2312"/>
          <w:color w:val="000000"/>
          <w:sz w:val="32"/>
          <w:szCs w:val="32"/>
        </w:rPr>
        <w:t>20</w:t>
      </w:r>
      <w:r>
        <w:rPr>
          <w:rFonts w:hint="eastAsia" w:ascii="仿宋_GB2312" w:eastAsia="仿宋_GB2312"/>
          <w:color w:val="000000"/>
          <w:sz w:val="32"/>
          <w:szCs w:val="32"/>
        </w:rPr>
        <w:t>万次，发现并处理各种问题</w:t>
      </w:r>
      <w:r>
        <w:rPr>
          <w:rFonts w:ascii="仿宋_GB2312" w:eastAsia="仿宋_GB2312"/>
          <w:color w:val="000000"/>
          <w:sz w:val="32"/>
          <w:szCs w:val="32"/>
        </w:rPr>
        <w:t>2</w:t>
      </w:r>
      <w:r>
        <w:rPr>
          <w:rFonts w:hint="eastAsia" w:ascii="仿宋_GB2312" w:eastAsia="仿宋_GB2312"/>
          <w:color w:val="000000"/>
          <w:sz w:val="32"/>
          <w:szCs w:val="32"/>
        </w:rPr>
        <w:t>万余个。三是全面加强综合管护。强化入河排污口治理，全市</w:t>
      </w:r>
      <w:r>
        <w:rPr>
          <w:rFonts w:ascii="仿宋_GB2312" w:eastAsia="仿宋_GB2312"/>
          <w:color w:val="000000"/>
          <w:sz w:val="32"/>
          <w:szCs w:val="32"/>
        </w:rPr>
        <w:t>978</w:t>
      </w:r>
      <w:r>
        <w:rPr>
          <w:rFonts w:hint="eastAsia" w:ascii="仿宋_GB2312" w:eastAsia="仿宋_GB2312"/>
          <w:color w:val="000000"/>
          <w:sz w:val="32"/>
          <w:szCs w:val="32"/>
        </w:rPr>
        <w:t>个入河排污口</w:t>
      </w:r>
      <w:r>
        <w:rPr>
          <w:rFonts w:ascii="仿宋_GB2312" w:eastAsia="仿宋_GB2312"/>
          <w:color w:val="000000"/>
          <w:sz w:val="32"/>
          <w:szCs w:val="32"/>
        </w:rPr>
        <w:t xml:space="preserve"> </w:t>
      </w:r>
      <w:r>
        <w:rPr>
          <w:rFonts w:hint="eastAsia" w:ascii="仿宋_GB2312" w:eastAsia="仿宋_GB2312"/>
          <w:color w:val="000000"/>
          <w:sz w:val="32"/>
          <w:szCs w:val="32"/>
        </w:rPr>
        <w:t>已全部完成整改或封堵。强化砂石资源管理，保障重点工程建设，全市共关停取缔砂石场</w:t>
      </w:r>
      <w:r>
        <w:rPr>
          <w:rFonts w:ascii="仿宋_GB2312" w:eastAsia="仿宋_GB2312"/>
          <w:color w:val="000000"/>
          <w:sz w:val="32"/>
          <w:szCs w:val="32"/>
        </w:rPr>
        <w:t>61</w:t>
      </w:r>
      <w:r>
        <w:rPr>
          <w:rFonts w:hint="eastAsia" w:ascii="仿宋_GB2312" w:eastAsia="仿宋_GB2312"/>
          <w:color w:val="000000"/>
          <w:sz w:val="32"/>
          <w:szCs w:val="32"/>
        </w:rPr>
        <w:t>家。完成水土流失治理</w:t>
      </w:r>
      <w:r>
        <w:rPr>
          <w:rFonts w:ascii="仿宋_GB2312" w:eastAsia="仿宋_GB2312"/>
          <w:color w:val="000000"/>
          <w:sz w:val="32"/>
          <w:szCs w:val="32"/>
        </w:rPr>
        <w:t>191</w:t>
      </w:r>
      <w:r>
        <w:rPr>
          <w:rFonts w:hint="eastAsia" w:ascii="仿宋_GB2312" w:eastAsia="仿宋_GB2312"/>
          <w:color w:val="000000"/>
          <w:sz w:val="32"/>
          <w:szCs w:val="32"/>
        </w:rPr>
        <w:t>平方公里，水生态综合效益得到显著提升。今年以来，我市国、省、市控断面达标率大幅度提高，国、省考核的</w:t>
      </w:r>
      <w:r>
        <w:rPr>
          <w:rFonts w:ascii="仿宋_GB2312" w:eastAsia="仿宋_GB2312"/>
          <w:color w:val="000000"/>
          <w:sz w:val="32"/>
          <w:szCs w:val="32"/>
        </w:rPr>
        <w:t>6</w:t>
      </w:r>
      <w:r>
        <w:rPr>
          <w:rFonts w:hint="eastAsia" w:ascii="仿宋_GB2312" w:eastAsia="仿宋_GB2312"/>
          <w:color w:val="000000"/>
          <w:sz w:val="32"/>
          <w:szCs w:val="32"/>
        </w:rPr>
        <w:t>个断面水环境质量达标率</w:t>
      </w:r>
      <w:r>
        <w:rPr>
          <w:rFonts w:ascii="仿宋_GB2312" w:eastAsia="仿宋_GB2312"/>
          <w:color w:val="000000"/>
          <w:sz w:val="32"/>
          <w:szCs w:val="32"/>
        </w:rPr>
        <w:t>83.3%</w:t>
      </w:r>
      <w:r>
        <w:rPr>
          <w:rFonts w:hint="eastAsia" w:ascii="仿宋_GB2312" w:eastAsia="仿宋_GB2312"/>
          <w:color w:val="000000"/>
          <w:sz w:val="32"/>
          <w:szCs w:val="32"/>
        </w:rPr>
        <w:t>，超省定达标率</w:t>
      </w:r>
      <w:r>
        <w:rPr>
          <w:rFonts w:ascii="仿宋_GB2312" w:eastAsia="仿宋_GB2312"/>
          <w:color w:val="000000"/>
          <w:sz w:val="32"/>
          <w:szCs w:val="32"/>
        </w:rPr>
        <w:t>16.6</w:t>
      </w:r>
      <w:r>
        <w:rPr>
          <w:rFonts w:hint="eastAsia" w:ascii="仿宋_GB2312" w:eastAsia="仿宋_GB2312"/>
          <w:color w:val="000000"/>
          <w:sz w:val="32"/>
          <w:szCs w:val="32"/>
        </w:rPr>
        <w:t>个百分点，水环境质量实现阶段性改善。全国水生态文明城市试点工作，通过水利部行政验收。</w:t>
      </w:r>
    </w:p>
    <w:p>
      <w:pPr>
        <w:adjustRightInd w:val="0"/>
        <w:snapToGrid w:val="0"/>
        <w:spacing w:line="560" w:lineRule="exact"/>
        <w:ind w:firstLine="640" w:firstLineChars="200"/>
        <w:jc w:val="left"/>
        <w:rPr>
          <w:rFonts w:ascii="仿宋_GB2312" w:eastAsia="仿宋_GB2312"/>
          <w:color w:val="000000"/>
          <w:sz w:val="32"/>
          <w:szCs w:val="32"/>
        </w:rPr>
      </w:pPr>
      <w:r>
        <w:rPr>
          <w:rFonts w:hint="eastAsia" w:ascii="仿宋_GB2312" w:eastAsia="仿宋_GB2312"/>
          <w:color w:val="000000"/>
          <w:sz w:val="32"/>
          <w:szCs w:val="32"/>
        </w:rPr>
        <w:t>（三）聚焦“头等大事”，着力水利扶贫攻坚。一是“兴水”补齐基础短板。全市累计完成水利建设扶贫投资</w:t>
      </w:r>
      <w:r>
        <w:rPr>
          <w:rFonts w:ascii="仿宋_GB2312" w:eastAsia="仿宋_GB2312"/>
          <w:color w:val="000000"/>
          <w:sz w:val="32"/>
          <w:szCs w:val="32"/>
        </w:rPr>
        <w:t>6.69</w:t>
      </w:r>
      <w:r>
        <w:rPr>
          <w:rFonts w:hint="eastAsia" w:ascii="仿宋_GB2312" w:eastAsia="仿宋_GB2312"/>
          <w:color w:val="000000"/>
          <w:sz w:val="32"/>
          <w:szCs w:val="32"/>
        </w:rPr>
        <w:t>亿元，累计新建、整治贫困地区渠道</w:t>
      </w:r>
      <w:r>
        <w:rPr>
          <w:rFonts w:ascii="仿宋_GB2312" w:eastAsia="仿宋_GB2312"/>
          <w:color w:val="000000"/>
          <w:sz w:val="32"/>
          <w:szCs w:val="32"/>
        </w:rPr>
        <w:t>431.8</w:t>
      </w:r>
      <w:r>
        <w:rPr>
          <w:rFonts w:hint="eastAsia" w:ascii="仿宋_GB2312" w:eastAsia="仿宋_GB2312"/>
          <w:color w:val="000000"/>
          <w:sz w:val="32"/>
          <w:szCs w:val="32"/>
        </w:rPr>
        <w:t>公里、水利工程</w:t>
      </w:r>
      <w:r>
        <w:rPr>
          <w:rFonts w:ascii="仿宋_GB2312" w:eastAsia="仿宋_GB2312"/>
          <w:color w:val="000000"/>
          <w:sz w:val="32"/>
          <w:szCs w:val="32"/>
        </w:rPr>
        <w:t>746</w:t>
      </w:r>
      <w:r>
        <w:rPr>
          <w:rFonts w:hint="eastAsia" w:ascii="仿宋_GB2312" w:eastAsia="仿宋_GB2312"/>
          <w:color w:val="000000"/>
          <w:sz w:val="32"/>
          <w:szCs w:val="32"/>
        </w:rPr>
        <w:t>处，建成各类饮水工程</w:t>
      </w:r>
      <w:r>
        <w:rPr>
          <w:rFonts w:ascii="仿宋_GB2312" w:eastAsia="仿宋_GB2312"/>
          <w:color w:val="000000"/>
          <w:sz w:val="32"/>
          <w:szCs w:val="32"/>
        </w:rPr>
        <w:t>2813</w:t>
      </w:r>
      <w:r>
        <w:rPr>
          <w:rFonts w:hint="eastAsia" w:ascii="仿宋_GB2312" w:eastAsia="仿宋_GB2312"/>
          <w:color w:val="000000"/>
          <w:sz w:val="32"/>
          <w:szCs w:val="32"/>
        </w:rPr>
        <w:t>处，解决了</w:t>
      </w:r>
      <w:r>
        <w:rPr>
          <w:rFonts w:ascii="仿宋_GB2312" w:eastAsia="仿宋_GB2312"/>
          <w:color w:val="000000"/>
          <w:sz w:val="32"/>
          <w:szCs w:val="32"/>
        </w:rPr>
        <w:t>1.89</w:t>
      </w:r>
      <w:r>
        <w:rPr>
          <w:rFonts w:hint="eastAsia" w:ascii="仿宋_GB2312" w:eastAsia="仿宋_GB2312"/>
          <w:color w:val="000000"/>
          <w:sz w:val="32"/>
          <w:szCs w:val="32"/>
        </w:rPr>
        <w:t>万农村建档立卡贫困人口饮水安全问题，实际受益人口达</w:t>
      </w:r>
      <w:r>
        <w:rPr>
          <w:rFonts w:ascii="仿宋_GB2312" w:eastAsia="仿宋_GB2312"/>
          <w:color w:val="000000"/>
          <w:sz w:val="32"/>
          <w:szCs w:val="32"/>
        </w:rPr>
        <w:t>18.906</w:t>
      </w:r>
      <w:r>
        <w:rPr>
          <w:rFonts w:hint="eastAsia" w:ascii="仿宋_GB2312" w:eastAsia="仿宋_GB2312"/>
          <w:color w:val="000000"/>
          <w:sz w:val="32"/>
          <w:szCs w:val="32"/>
        </w:rPr>
        <w:t>万人，贫困地区群众用水条件得到有效改善。二是“护水”促进就业扶贫。创新提出“护水公益性岗位</w:t>
      </w:r>
      <w:r>
        <w:rPr>
          <w:rFonts w:ascii="仿宋_GB2312" w:eastAsia="仿宋_GB2312"/>
          <w:color w:val="000000"/>
          <w:sz w:val="32"/>
          <w:szCs w:val="32"/>
        </w:rPr>
        <w:t>+</w:t>
      </w:r>
      <w:r>
        <w:rPr>
          <w:rFonts w:hint="eastAsia" w:ascii="仿宋_GB2312" w:eastAsia="仿宋_GB2312"/>
          <w:color w:val="000000"/>
          <w:sz w:val="32"/>
          <w:szCs w:val="32"/>
        </w:rPr>
        <w:t>就业扶贫”思路，大力开发与河湖生态管护相关的河道保洁、河岸巡护等公益性岗位，精准面向建档立卡贫困户推荐，有效拓展“一人就业、全家脱贫”新空间。全市开发护水扶贫公益性岗位</w:t>
      </w:r>
      <w:r>
        <w:rPr>
          <w:rFonts w:ascii="仿宋_GB2312" w:eastAsia="仿宋_GB2312"/>
          <w:color w:val="000000"/>
          <w:sz w:val="32"/>
          <w:szCs w:val="32"/>
        </w:rPr>
        <w:t>551</w:t>
      </w:r>
      <w:r>
        <w:rPr>
          <w:rFonts w:hint="eastAsia" w:ascii="仿宋_GB2312" w:eastAsia="仿宋_GB2312"/>
          <w:color w:val="000000"/>
          <w:sz w:val="32"/>
          <w:szCs w:val="32"/>
        </w:rPr>
        <w:t>个，已支付岗位工资</w:t>
      </w:r>
      <w:r>
        <w:rPr>
          <w:rFonts w:ascii="仿宋_GB2312" w:eastAsia="仿宋_GB2312"/>
          <w:color w:val="000000"/>
          <w:sz w:val="32"/>
          <w:szCs w:val="32"/>
        </w:rPr>
        <w:t>130.15</w:t>
      </w:r>
      <w:r>
        <w:rPr>
          <w:rFonts w:hint="eastAsia" w:ascii="仿宋_GB2312" w:eastAsia="仿宋_GB2312"/>
          <w:color w:val="000000"/>
          <w:sz w:val="32"/>
          <w:szCs w:val="32"/>
        </w:rPr>
        <w:t>万元。三是“活水”促进产业增收。按照“旅游＋水生态”、“旅游＋水文化”等融合发展思路，充分利用贫困地区河湖水库、水利风景区等特色优势资源，有序推进小凉山彝区大峡谷、井研长山湖水库，乡村旅游、漂流探险、温泉康养等一批生态与效益兼顾的旅游业态，就地带动贫困户人均增收</w:t>
      </w:r>
      <w:r>
        <w:rPr>
          <w:rFonts w:ascii="仿宋_GB2312" w:eastAsia="仿宋_GB2312"/>
          <w:color w:val="000000"/>
          <w:sz w:val="32"/>
          <w:szCs w:val="32"/>
        </w:rPr>
        <w:t>700</w:t>
      </w:r>
      <w:r>
        <w:rPr>
          <w:rFonts w:hint="eastAsia" w:ascii="仿宋_GB2312" w:eastAsia="仿宋_GB2312"/>
          <w:color w:val="000000"/>
          <w:sz w:val="32"/>
          <w:szCs w:val="32"/>
        </w:rPr>
        <w:t>多元。</w:t>
      </w:r>
    </w:p>
    <w:p>
      <w:pPr>
        <w:adjustRightInd w:val="0"/>
        <w:snapToGrid w:val="0"/>
        <w:spacing w:line="560" w:lineRule="exact"/>
        <w:ind w:firstLine="640" w:firstLineChars="200"/>
        <w:jc w:val="left"/>
        <w:rPr>
          <w:rFonts w:ascii="仿宋_GB2312" w:eastAsia="仿宋_GB2312"/>
          <w:color w:val="000000"/>
          <w:sz w:val="32"/>
          <w:szCs w:val="32"/>
        </w:rPr>
      </w:pPr>
      <w:r>
        <w:rPr>
          <w:rFonts w:hint="eastAsia" w:ascii="仿宋_GB2312" w:eastAsia="仿宋_GB2312"/>
          <w:color w:val="000000"/>
          <w:sz w:val="32"/>
          <w:szCs w:val="32"/>
        </w:rPr>
        <w:t>四、强基固本，加强党风廉政建设</w:t>
      </w:r>
    </w:p>
    <w:p>
      <w:pPr>
        <w:adjustRightInd w:val="0"/>
        <w:snapToGrid w:val="0"/>
        <w:spacing w:line="560" w:lineRule="exact"/>
        <w:ind w:firstLine="640" w:firstLineChars="200"/>
        <w:jc w:val="left"/>
        <w:rPr>
          <w:rFonts w:ascii="仿宋_GB2312" w:eastAsia="仿宋_GB2312"/>
          <w:color w:val="000000"/>
          <w:sz w:val="32"/>
          <w:szCs w:val="32"/>
        </w:rPr>
      </w:pPr>
      <w:r>
        <w:rPr>
          <w:rFonts w:hint="eastAsia" w:ascii="仿宋_GB2312" w:eastAsia="仿宋_GB2312"/>
          <w:color w:val="000000"/>
          <w:sz w:val="32"/>
          <w:szCs w:val="32"/>
        </w:rPr>
        <w:t>严格落实</w:t>
      </w:r>
      <w:r>
        <w:rPr>
          <w:rFonts w:ascii="仿宋_GB2312" w:eastAsia="仿宋_GB2312"/>
          <w:color w:val="000000"/>
          <w:sz w:val="32"/>
          <w:szCs w:val="32"/>
        </w:rPr>
        <w:t>“</w:t>
      </w:r>
      <w:r>
        <w:rPr>
          <w:rFonts w:hint="eastAsia" w:ascii="仿宋_GB2312" w:eastAsia="仿宋_GB2312"/>
          <w:color w:val="000000"/>
          <w:sz w:val="32"/>
          <w:szCs w:val="32"/>
        </w:rPr>
        <w:t>一岗双责</w:t>
      </w:r>
      <w:r>
        <w:rPr>
          <w:rFonts w:ascii="仿宋_GB2312" w:eastAsia="仿宋_GB2312"/>
          <w:color w:val="000000"/>
          <w:sz w:val="32"/>
          <w:szCs w:val="32"/>
        </w:rPr>
        <w:t>”</w:t>
      </w:r>
      <w:r>
        <w:rPr>
          <w:rFonts w:hint="eastAsia" w:ascii="仿宋_GB2312" w:eastAsia="仿宋_GB2312"/>
          <w:color w:val="000000"/>
          <w:sz w:val="32"/>
          <w:szCs w:val="32"/>
        </w:rPr>
        <w:t>，夯实</w:t>
      </w:r>
      <w:r>
        <w:rPr>
          <w:rFonts w:ascii="仿宋_GB2312" w:eastAsia="仿宋_GB2312"/>
          <w:color w:val="000000"/>
          <w:sz w:val="32"/>
          <w:szCs w:val="32"/>
        </w:rPr>
        <w:t>“</w:t>
      </w:r>
      <w:r>
        <w:rPr>
          <w:rFonts w:hint="eastAsia" w:ascii="仿宋_GB2312" w:eastAsia="仿宋_GB2312"/>
          <w:color w:val="000000"/>
          <w:sz w:val="32"/>
          <w:szCs w:val="32"/>
        </w:rPr>
        <w:t>两个基础</w:t>
      </w:r>
      <w:r>
        <w:rPr>
          <w:rFonts w:ascii="仿宋_GB2312" w:eastAsia="仿宋_GB2312"/>
          <w:color w:val="000000"/>
          <w:sz w:val="32"/>
          <w:szCs w:val="32"/>
        </w:rPr>
        <w:t>”</w:t>
      </w:r>
      <w:r>
        <w:rPr>
          <w:rFonts w:hint="eastAsia" w:ascii="仿宋_GB2312" w:eastAsia="仿宋_GB2312"/>
          <w:color w:val="000000"/>
          <w:sz w:val="32"/>
          <w:szCs w:val="32"/>
        </w:rPr>
        <w:t>，把中央全面从严治党的要求转化为自觉行动，推动全市水务系统健康发展。</w:t>
      </w:r>
    </w:p>
    <w:p>
      <w:pPr>
        <w:widowControl/>
        <w:shd w:val="clear" w:color="auto" w:fill="FFFFFF"/>
        <w:spacing w:line="560" w:lineRule="exact"/>
        <w:ind w:firstLine="640"/>
        <w:rPr>
          <w:rFonts w:ascii="仿宋_GB2312" w:eastAsia="仿宋_GB2312"/>
          <w:color w:val="000000"/>
          <w:sz w:val="32"/>
          <w:szCs w:val="32"/>
        </w:rPr>
      </w:pPr>
      <w:r>
        <w:rPr>
          <w:rFonts w:hint="eastAsia" w:ascii="仿宋_GB2312" w:eastAsia="仿宋_GB2312"/>
          <w:color w:val="000000"/>
          <w:sz w:val="32"/>
          <w:szCs w:val="32"/>
        </w:rPr>
        <w:t>（一）强化责任担当，推进主体主责落实。严格落实“一岗双责”，强化行业监管。主动分析研究党风廉政工作、强化薄弱环节，实施责任台帐管理，保证清单任务不落空，完成有质量，责任有追究。制发《乐山市水务局</w:t>
      </w:r>
      <w:r>
        <w:rPr>
          <w:rFonts w:ascii="仿宋_GB2312" w:eastAsia="仿宋_GB2312"/>
          <w:color w:val="000000"/>
          <w:sz w:val="32"/>
          <w:szCs w:val="32"/>
        </w:rPr>
        <w:t>2018</w:t>
      </w:r>
      <w:r>
        <w:rPr>
          <w:rFonts w:hint="eastAsia" w:ascii="仿宋_GB2312" w:eastAsia="仿宋_GB2312"/>
          <w:color w:val="000000"/>
          <w:sz w:val="32"/>
          <w:szCs w:val="32"/>
        </w:rPr>
        <w:t>年党风廉政建设工作要点及责任制清单》，同各县（市、区）水务局、市局党组成员、机关科室和直属单位签订责任书</w:t>
      </w:r>
      <w:r>
        <w:rPr>
          <w:rFonts w:ascii="仿宋_GB2312" w:eastAsia="仿宋_GB2312"/>
          <w:color w:val="000000"/>
          <w:sz w:val="32"/>
          <w:szCs w:val="32"/>
        </w:rPr>
        <w:t>41</w:t>
      </w:r>
      <w:r>
        <w:rPr>
          <w:rFonts w:hint="eastAsia" w:ascii="仿宋_GB2312" w:eastAsia="仿宋_GB2312"/>
          <w:color w:val="000000"/>
          <w:sz w:val="32"/>
          <w:szCs w:val="32"/>
        </w:rPr>
        <w:t>份。严格将党风廉政建设责任制细化到岗，落实到人，做到一级抓一级，层层压实责任，使党建、业务工作和党风廉政齐抓共管、系统推进。</w:t>
      </w:r>
    </w:p>
    <w:p>
      <w:pPr>
        <w:spacing w:line="56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（二）狠抓作风建设，大力解决突出问题。对市委第五巡察组反馈的</w:t>
      </w:r>
      <w:r>
        <w:rPr>
          <w:rFonts w:ascii="仿宋_GB2312" w:eastAsia="仿宋_GB2312"/>
          <w:color w:val="000000"/>
          <w:sz w:val="32"/>
          <w:szCs w:val="32"/>
        </w:rPr>
        <w:t>5</w:t>
      </w:r>
      <w:r>
        <w:rPr>
          <w:rFonts w:hint="eastAsia" w:ascii="仿宋_GB2312" w:eastAsia="仿宋_GB2312"/>
          <w:color w:val="000000"/>
          <w:sz w:val="32"/>
          <w:szCs w:val="32"/>
        </w:rPr>
        <w:t>类</w:t>
      </w:r>
      <w:r>
        <w:rPr>
          <w:rFonts w:ascii="仿宋_GB2312" w:eastAsia="仿宋_GB2312"/>
          <w:color w:val="000000"/>
          <w:sz w:val="32"/>
          <w:szCs w:val="32"/>
        </w:rPr>
        <w:t>11</w:t>
      </w:r>
      <w:r>
        <w:rPr>
          <w:rFonts w:hint="eastAsia" w:ascii="仿宋_GB2312" w:eastAsia="仿宋_GB2312"/>
          <w:color w:val="000000"/>
          <w:sz w:val="32"/>
          <w:szCs w:val="32"/>
        </w:rPr>
        <w:t>个问题认识明确、态度坚决，逐项对照精心整改。先后</w:t>
      </w:r>
      <w:r>
        <w:rPr>
          <w:rFonts w:ascii="仿宋_GB2312" w:eastAsia="仿宋_GB2312"/>
          <w:color w:val="000000"/>
          <w:sz w:val="32"/>
          <w:szCs w:val="32"/>
        </w:rPr>
        <w:t>4</w:t>
      </w:r>
      <w:r>
        <w:rPr>
          <w:rFonts w:hint="eastAsia" w:ascii="仿宋_GB2312" w:eastAsia="仿宋_GB2312"/>
          <w:color w:val="000000"/>
          <w:sz w:val="32"/>
          <w:szCs w:val="32"/>
        </w:rPr>
        <w:t>次召开党组（整改领导小组）会议和</w:t>
      </w:r>
      <w:r>
        <w:rPr>
          <w:rFonts w:ascii="仿宋_GB2312" w:eastAsia="仿宋_GB2312"/>
          <w:color w:val="000000"/>
          <w:sz w:val="32"/>
          <w:szCs w:val="32"/>
        </w:rPr>
        <w:t>1</w:t>
      </w:r>
      <w:r>
        <w:rPr>
          <w:rFonts w:hint="eastAsia" w:ascii="仿宋_GB2312" w:eastAsia="仿宋_GB2312"/>
          <w:color w:val="000000"/>
          <w:sz w:val="32"/>
          <w:szCs w:val="32"/>
        </w:rPr>
        <w:t>次专题民主生活会，研究听取巡察整改情况，巡察整改期间先后到区县及直属单位组织督查</w:t>
      </w:r>
      <w:r>
        <w:rPr>
          <w:rFonts w:ascii="仿宋_GB2312" w:eastAsia="仿宋_GB2312"/>
          <w:color w:val="000000"/>
          <w:sz w:val="32"/>
          <w:szCs w:val="32"/>
        </w:rPr>
        <w:t>12</w:t>
      </w:r>
      <w:r>
        <w:rPr>
          <w:rFonts w:hint="eastAsia" w:ascii="仿宋_GB2312" w:eastAsia="仿宋_GB2312"/>
          <w:color w:val="000000"/>
          <w:sz w:val="32"/>
          <w:szCs w:val="32"/>
        </w:rPr>
        <w:t>次，修订完善了涉及党建、人事、财务、工程等各类规章制度</w:t>
      </w:r>
      <w:r>
        <w:rPr>
          <w:rFonts w:ascii="仿宋_GB2312" w:eastAsia="仿宋_GB2312"/>
          <w:color w:val="000000"/>
          <w:sz w:val="32"/>
          <w:szCs w:val="32"/>
        </w:rPr>
        <w:t>5</w:t>
      </w:r>
      <w:r>
        <w:rPr>
          <w:rFonts w:hint="eastAsia" w:ascii="仿宋_GB2312" w:eastAsia="仿宋_GB2312"/>
          <w:color w:val="000000"/>
          <w:sz w:val="32"/>
          <w:szCs w:val="32"/>
        </w:rPr>
        <w:t>项。对涉及市委巡察反馈问题的相关责任人及个人，批评教育</w:t>
      </w:r>
      <w:r>
        <w:rPr>
          <w:rFonts w:ascii="仿宋_GB2312" w:eastAsia="仿宋_GB2312"/>
          <w:color w:val="000000"/>
          <w:sz w:val="32"/>
          <w:szCs w:val="32"/>
        </w:rPr>
        <w:t>22</w:t>
      </w:r>
      <w:r>
        <w:rPr>
          <w:rFonts w:hint="eastAsia" w:ascii="仿宋_GB2312" w:eastAsia="仿宋_GB2312"/>
          <w:color w:val="000000"/>
          <w:sz w:val="32"/>
          <w:szCs w:val="32"/>
        </w:rPr>
        <w:t>人、谈话提醒</w:t>
      </w:r>
      <w:r>
        <w:rPr>
          <w:rFonts w:ascii="仿宋_GB2312" w:eastAsia="仿宋_GB2312"/>
          <w:color w:val="000000"/>
          <w:sz w:val="32"/>
          <w:szCs w:val="32"/>
        </w:rPr>
        <w:t>26</w:t>
      </w:r>
      <w:r>
        <w:rPr>
          <w:rFonts w:hint="eastAsia" w:ascii="仿宋_GB2312" w:eastAsia="仿宋_GB2312"/>
          <w:color w:val="000000"/>
          <w:sz w:val="32"/>
          <w:szCs w:val="32"/>
        </w:rPr>
        <w:t>人、廉政风险记分</w:t>
      </w:r>
      <w:r>
        <w:rPr>
          <w:rFonts w:ascii="仿宋_GB2312" w:eastAsia="仿宋_GB2312"/>
          <w:color w:val="000000"/>
          <w:sz w:val="32"/>
          <w:szCs w:val="32"/>
        </w:rPr>
        <w:t>6</w:t>
      </w:r>
      <w:r>
        <w:rPr>
          <w:rFonts w:hint="eastAsia" w:ascii="仿宋_GB2312" w:eastAsia="仿宋_GB2312"/>
          <w:color w:val="000000"/>
          <w:sz w:val="32"/>
          <w:szCs w:val="32"/>
        </w:rPr>
        <w:t>人。做到整改问题一项不漏，对账销号。在市委回访督查中，反馈的</w:t>
      </w:r>
      <w:r>
        <w:rPr>
          <w:rFonts w:ascii="仿宋_GB2312" w:eastAsia="仿宋_GB2312"/>
          <w:color w:val="000000"/>
          <w:sz w:val="32"/>
          <w:szCs w:val="32"/>
        </w:rPr>
        <w:t>11</w:t>
      </w:r>
      <w:r>
        <w:rPr>
          <w:rFonts w:hint="eastAsia" w:ascii="仿宋_GB2312" w:eastAsia="仿宋_GB2312"/>
          <w:color w:val="000000"/>
          <w:sz w:val="32"/>
          <w:szCs w:val="32"/>
        </w:rPr>
        <w:t>个问题已初步整改到位，受到第五巡察组充分肯定，目前正抓紧巩固提升。全年水利工程建设项目在市级备案招标</w:t>
      </w:r>
      <w:r>
        <w:rPr>
          <w:rFonts w:ascii="仿宋_GB2312" w:eastAsia="仿宋_GB2312"/>
          <w:color w:val="000000"/>
          <w:sz w:val="32"/>
          <w:szCs w:val="32"/>
        </w:rPr>
        <w:t>30</w:t>
      </w:r>
      <w:r>
        <w:rPr>
          <w:rFonts w:hint="eastAsia" w:ascii="仿宋_GB2312" w:eastAsia="仿宋_GB2312"/>
          <w:color w:val="000000"/>
          <w:sz w:val="32"/>
          <w:szCs w:val="32"/>
        </w:rPr>
        <w:t>个，均严格按招投标程序和局内控机制进行办理，未发现</w:t>
      </w:r>
      <w:r>
        <w:rPr>
          <w:rFonts w:ascii="仿宋_GB2312" w:eastAsia="仿宋_GB2312"/>
          <w:color w:val="000000"/>
          <w:sz w:val="32"/>
          <w:szCs w:val="32"/>
        </w:rPr>
        <w:t>1</w:t>
      </w:r>
      <w:r>
        <w:rPr>
          <w:rFonts w:hint="eastAsia" w:ascii="仿宋_GB2312" w:eastAsia="仿宋_GB2312"/>
          <w:color w:val="000000"/>
          <w:sz w:val="32"/>
          <w:szCs w:val="32"/>
        </w:rPr>
        <w:t>起群众不满意现象和干部职工侵害群众利益的违规违纪行为。</w:t>
      </w:r>
    </w:p>
    <w:p>
      <w:pPr>
        <w:pStyle w:val="5"/>
        <w:adjustRightInd w:val="0"/>
        <w:snapToGrid w:val="0"/>
        <w:spacing w:before="93" w:line="600" w:lineRule="exact"/>
        <w:ind w:firstLine="672" w:firstLineChars="210"/>
        <w:outlineLvl w:val="2"/>
        <w:rPr>
          <w:color w:val="000000"/>
          <w:kern w:val="2"/>
          <w:sz w:val="32"/>
          <w:szCs w:val="32"/>
        </w:rPr>
      </w:pPr>
      <w:r>
        <w:rPr>
          <w:rFonts w:hint="eastAsia"/>
          <w:color w:val="000000"/>
          <w:kern w:val="2"/>
          <w:sz w:val="32"/>
          <w:szCs w:val="32"/>
        </w:rPr>
        <w:t>（三）坚持严格执纪求，保持清正廉洁本色。严格执行中央八项规定、省市十项规定和党风廉政建设有关规定，始终敬畏党纪国法</w:t>
      </w:r>
      <w:r>
        <w:rPr>
          <w:color w:val="000000"/>
          <w:kern w:val="2"/>
          <w:sz w:val="32"/>
          <w:szCs w:val="32"/>
        </w:rPr>
        <w:t>“</w:t>
      </w:r>
      <w:r>
        <w:rPr>
          <w:rFonts w:hint="eastAsia"/>
          <w:color w:val="000000"/>
          <w:kern w:val="2"/>
          <w:sz w:val="32"/>
          <w:szCs w:val="32"/>
        </w:rPr>
        <w:t>红线</w:t>
      </w:r>
      <w:r>
        <w:rPr>
          <w:color w:val="000000"/>
          <w:kern w:val="2"/>
          <w:sz w:val="32"/>
          <w:szCs w:val="32"/>
        </w:rPr>
        <w:t>”</w:t>
      </w:r>
      <w:r>
        <w:rPr>
          <w:rFonts w:hint="eastAsia"/>
          <w:color w:val="000000"/>
          <w:kern w:val="2"/>
          <w:sz w:val="32"/>
          <w:szCs w:val="32"/>
        </w:rPr>
        <w:t>、坚守</w:t>
      </w:r>
      <w:r>
        <w:rPr>
          <w:color w:val="000000"/>
          <w:kern w:val="2"/>
          <w:sz w:val="32"/>
          <w:szCs w:val="32"/>
        </w:rPr>
        <w:t xml:space="preserve"> “</w:t>
      </w:r>
      <w:r>
        <w:rPr>
          <w:rFonts w:hint="eastAsia"/>
          <w:color w:val="000000"/>
          <w:kern w:val="2"/>
          <w:sz w:val="32"/>
          <w:szCs w:val="32"/>
        </w:rPr>
        <w:t>底线</w:t>
      </w:r>
      <w:r>
        <w:rPr>
          <w:color w:val="000000"/>
          <w:kern w:val="2"/>
          <w:sz w:val="32"/>
          <w:szCs w:val="32"/>
        </w:rPr>
        <w:t>”</w:t>
      </w:r>
      <w:r>
        <w:rPr>
          <w:rFonts w:hint="eastAsia"/>
          <w:color w:val="000000"/>
          <w:kern w:val="2"/>
          <w:sz w:val="32"/>
          <w:szCs w:val="32"/>
        </w:rPr>
        <w:t>，始终保持谦虚谨慎、积极向上的精神状态和艰苦奋斗的作风，全体水务干部以实际行动树立起廉洁奉公的良好形象。</w:t>
      </w:r>
    </w:p>
    <w:p>
      <w:pPr>
        <w:pStyle w:val="3"/>
        <w:rPr>
          <w:rStyle w:val="20"/>
          <w:b w:val="0"/>
          <w:bCs w:val="0"/>
        </w:rPr>
      </w:pPr>
      <w:bookmarkStart w:id="20" w:name="_Toc15377200"/>
      <w:bookmarkStart w:id="21" w:name="_Toc15396601"/>
      <w:r>
        <w:rPr>
          <w:rFonts w:hint="eastAsia" w:ascii="黑体" w:eastAsia="黑体"/>
          <w:b w:val="0"/>
          <w:color w:val="000000"/>
        </w:rPr>
        <w:t>二、</w:t>
      </w:r>
      <w:r>
        <w:rPr>
          <w:rFonts w:hint="eastAsia" w:ascii="黑体" w:hAnsi="黑体" w:eastAsia="黑体"/>
          <w:b w:val="0"/>
          <w:color w:val="000000"/>
        </w:rPr>
        <w:t>机</w:t>
      </w:r>
      <w:r>
        <w:rPr>
          <w:rStyle w:val="20"/>
          <w:rFonts w:hint="eastAsia" w:ascii="黑体" w:hAnsi="黑体" w:eastAsia="黑体"/>
          <w:b w:val="0"/>
          <w:bCs w:val="0"/>
        </w:rPr>
        <w:t>构设置</w:t>
      </w:r>
      <w:bookmarkEnd w:id="20"/>
      <w:bookmarkEnd w:id="21"/>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乐山市水务局下属二级单位</w:t>
      </w:r>
      <w:r>
        <w:rPr>
          <w:rFonts w:ascii="仿宋_GB2312" w:eastAsia="仿宋_GB2312"/>
          <w:color w:val="000000"/>
          <w:sz w:val="32"/>
          <w:szCs w:val="32"/>
        </w:rPr>
        <w:t>12</w:t>
      </w:r>
      <w:r>
        <w:rPr>
          <w:rFonts w:hint="eastAsia" w:ascii="仿宋_GB2312" w:eastAsia="仿宋_GB2312"/>
          <w:color w:val="000000"/>
          <w:sz w:val="32"/>
          <w:szCs w:val="32"/>
        </w:rPr>
        <w:t>个，其中行政单位</w:t>
      </w:r>
      <w:r>
        <w:rPr>
          <w:rFonts w:ascii="仿宋_GB2312" w:eastAsia="仿宋_GB2312"/>
          <w:color w:val="000000"/>
          <w:sz w:val="32"/>
          <w:szCs w:val="32"/>
        </w:rPr>
        <w:t>1</w:t>
      </w:r>
      <w:r>
        <w:rPr>
          <w:rFonts w:hint="eastAsia" w:ascii="仿宋_GB2312" w:eastAsia="仿宋_GB2312"/>
          <w:color w:val="000000"/>
          <w:sz w:val="32"/>
          <w:szCs w:val="32"/>
        </w:rPr>
        <w:t>个，参照公务员法管理的事业单位</w:t>
      </w:r>
      <w:r>
        <w:rPr>
          <w:rFonts w:ascii="仿宋_GB2312" w:eastAsia="仿宋_GB2312"/>
          <w:color w:val="000000"/>
          <w:sz w:val="32"/>
          <w:szCs w:val="32"/>
        </w:rPr>
        <w:t>2</w:t>
      </w:r>
      <w:r>
        <w:rPr>
          <w:rFonts w:hint="eastAsia" w:ascii="仿宋_GB2312" w:eastAsia="仿宋_GB2312"/>
          <w:color w:val="000000"/>
          <w:sz w:val="32"/>
          <w:szCs w:val="32"/>
        </w:rPr>
        <w:t>个，其他事业单位</w:t>
      </w:r>
      <w:r>
        <w:rPr>
          <w:rFonts w:ascii="仿宋_GB2312" w:eastAsia="仿宋_GB2312"/>
          <w:color w:val="000000"/>
          <w:sz w:val="32"/>
          <w:szCs w:val="32"/>
        </w:rPr>
        <w:t>9</w:t>
      </w:r>
      <w:r>
        <w:rPr>
          <w:rFonts w:hint="eastAsia" w:ascii="仿宋_GB2312" w:eastAsia="仿宋_GB2312"/>
          <w:color w:val="000000"/>
          <w:sz w:val="32"/>
          <w:szCs w:val="32"/>
        </w:rPr>
        <w:t>个。</w:t>
      </w:r>
    </w:p>
    <w:p>
      <w:pPr>
        <w:pStyle w:val="5"/>
        <w:adjustRightInd w:val="0"/>
        <w:snapToGrid w:val="0"/>
        <w:spacing w:before="93" w:line="600" w:lineRule="exact"/>
        <w:ind w:firstLine="672" w:firstLineChars="210"/>
        <w:rPr>
          <w:color w:val="000000"/>
          <w:kern w:val="2"/>
          <w:sz w:val="32"/>
          <w:szCs w:val="32"/>
        </w:rPr>
      </w:pPr>
      <w:r>
        <w:rPr>
          <w:rFonts w:hint="eastAsia"/>
          <w:color w:val="000000"/>
          <w:kern w:val="2"/>
          <w:sz w:val="32"/>
          <w:szCs w:val="32"/>
        </w:rPr>
        <w:t>纳入乐山市水务局</w:t>
      </w:r>
      <w:r>
        <w:rPr>
          <w:color w:val="000000"/>
          <w:kern w:val="2"/>
          <w:sz w:val="32"/>
          <w:szCs w:val="32"/>
        </w:rPr>
        <w:t>2018</w:t>
      </w:r>
      <w:r>
        <w:rPr>
          <w:rFonts w:hint="eastAsia"/>
          <w:color w:val="000000"/>
          <w:kern w:val="2"/>
          <w:sz w:val="32"/>
          <w:szCs w:val="32"/>
        </w:rPr>
        <w:t>年度部门决算编制范围的二级预算单位包括：</w:t>
      </w:r>
    </w:p>
    <w:p>
      <w:pPr>
        <w:pStyle w:val="5"/>
        <w:adjustRightInd w:val="0"/>
        <w:snapToGrid w:val="0"/>
        <w:spacing w:before="93" w:line="600" w:lineRule="exact"/>
        <w:ind w:left="672"/>
        <w:outlineLvl w:val="2"/>
        <w:rPr>
          <w:color w:val="000000"/>
          <w:kern w:val="2"/>
          <w:sz w:val="32"/>
          <w:szCs w:val="32"/>
        </w:rPr>
      </w:pPr>
      <w:r>
        <w:rPr>
          <w:color w:val="000000"/>
          <w:kern w:val="2"/>
          <w:sz w:val="32"/>
          <w:szCs w:val="32"/>
        </w:rPr>
        <w:t>1.</w:t>
      </w:r>
      <w:r>
        <w:rPr>
          <w:rFonts w:hint="eastAsia"/>
          <w:color w:val="000000"/>
          <w:kern w:val="2"/>
          <w:sz w:val="32"/>
          <w:szCs w:val="32"/>
        </w:rPr>
        <w:t>乐山市水务局机关</w:t>
      </w:r>
    </w:p>
    <w:p>
      <w:pPr>
        <w:pStyle w:val="5"/>
        <w:adjustRightInd w:val="0"/>
        <w:snapToGrid w:val="0"/>
        <w:spacing w:before="93" w:line="600" w:lineRule="exact"/>
        <w:ind w:left="672"/>
        <w:outlineLvl w:val="2"/>
        <w:rPr>
          <w:color w:val="000000"/>
          <w:kern w:val="2"/>
          <w:sz w:val="32"/>
          <w:szCs w:val="32"/>
        </w:rPr>
      </w:pPr>
      <w:r>
        <w:rPr>
          <w:color w:val="000000"/>
          <w:kern w:val="2"/>
          <w:sz w:val="32"/>
          <w:szCs w:val="32"/>
        </w:rPr>
        <w:t>2.</w:t>
      </w:r>
      <w:r>
        <w:rPr>
          <w:rFonts w:hint="eastAsia"/>
          <w:color w:val="000000"/>
          <w:kern w:val="2"/>
          <w:sz w:val="32"/>
          <w:szCs w:val="32"/>
        </w:rPr>
        <w:t>乐山市水政监察支队</w:t>
      </w:r>
    </w:p>
    <w:p>
      <w:pPr>
        <w:pStyle w:val="5"/>
        <w:adjustRightInd w:val="0"/>
        <w:snapToGrid w:val="0"/>
        <w:spacing w:before="93" w:line="600" w:lineRule="exact"/>
        <w:ind w:left="672"/>
        <w:outlineLvl w:val="2"/>
        <w:rPr>
          <w:color w:val="000000"/>
          <w:kern w:val="2"/>
          <w:sz w:val="32"/>
          <w:szCs w:val="32"/>
        </w:rPr>
      </w:pPr>
      <w:r>
        <w:rPr>
          <w:color w:val="000000"/>
          <w:kern w:val="2"/>
          <w:sz w:val="32"/>
          <w:szCs w:val="32"/>
        </w:rPr>
        <w:t>3.</w:t>
      </w:r>
      <w:r>
        <w:rPr>
          <w:rFonts w:hint="eastAsia"/>
          <w:color w:val="000000"/>
          <w:kern w:val="2"/>
          <w:sz w:val="32"/>
          <w:szCs w:val="32"/>
        </w:rPr>
        <w:t>乐山市水利工程建设质量与安全监督站</w:t>
      </w:r>
    </w:p>
    <w:p>
      <w:pPr>
        <w:widowControl/>
        <w:jc w:val="left"/>
        <w:rPr>
          <w:rFonts w:ascii="仿宋_GB2312" w:eastAsia="仿宋_GB2312"/>
          <w:color w:val="000000"/>
          <w:sz w:val="32"/>
          <w:szCs w:val="32"/>
        </w:rPr>
      </w:pPr>
      <w:r>
        <w:rPr>
          <w:rFonts w:ascii="仿宋_GB2312" w:eastAsia="仿宋_GB2312"/>
          <w:color w:val="000000"/>
          <w:sz w:val="32"/>
          <w:szCs w:val="32"/>
        </w:rPr>
        <w:t xml:space="preserve">    4.</w:t>
      </w:r>
      <w:r>
        <w:rPr>
          <w:rFonts w:hint="eastAsia" w:ascii="仿宋_GB2312" w:eastAsia="仿宋_GB2312"/>
          <w:color w:val="000000"/>
          <w:sz w:val="32"/>
          <w:szCs w:val="32"/>
        </w:rPr>
        <w:t>乐山市水利管理处</w:t>
      </w:r>
    </w:p>
    <w:p>
      <w:pPr>
        <w:widowControl/>
        <w:ind w:firstLine="645"/>
        <w:jc w:val="left"/>
        <w:rPr>
          <w:rFonts w:ascii="仿宋_GB2312" w:eastAsia="仿宋_GB2312"/>
          <w:color w:val="000000"/>
          <w:sz w:val="32"/>
          <w:szCs w:val="32"/>
        </w:rPr>
      </w:pPr>
      <w:r>
        <w:rPr>
          <w:rFonts w:ascii="仿宋_GB2312" w:eastAsia="仿宋_GB2312"/>
          <w:color w:val="000000"/>
          <w:sz w:val="32"/>
          <w:szCs w:val="32"/>
        </w:rPr>
        <w:t>5.</w:t>
      </w:r>
      <w:r>
        <w:rPr>
          <w:rFonts w:hint="eastAsia" w:ascii="仿宋_GB2312" w:eastAsia="仿宋_GB2312"/>
          <w:color w:val="000000"/>
          <w:sz w:val="32"/>
          <w:szCs w:val="32"/>
        </w:rPr>
        <w:t>乐山水土保持生态环境监测分站</w:t>
      </w:r>
    </w:p>
    <w:p>
      <w:pPr>
        <w:widowControl/>
        <w:ind w:firstLine="645"/>
        <w:jc w:val="left"/>
        <w:rPr>
          <w:rFonts w:ascii="仿宋_GB2312" w:eastAsia="仿宋_GB2312"/>
          <w:color w:val="000000"/>
          <w:sz w:val="32"/>
          <w:szCs w:val="32"/>
        </w:rPr>
      </w:pPr>
      <w:r>
        <w:rPr>
          <w:rFonts w:ascii="仿宋_GB2312" w:eastAsia="仿宋_GB2312"/>
          <w:color w:val="000000"/>
          <w:sz w:val="32"/>
          <w:szCs w:val="32"/>
        </w:rPr>
        <w:t>6.</w:t>
      </w:r>
      <w:r>
        <w:rPr>
          <w:rFonts w:hint="eastAsia" w:ascii="仿宋_GB2312" w:eastAsia="仿宋_GB2312"/>
          <w:color w:val="000000"/>
          <w:sz w:val="32"/>
          <w:szCs w:val="32"/>
        </w:rPr>
        <w:t>乐山市河湖管理站</w:t>
      </w:r>
    </w:p>
    <w:p>
      <w:pPr>
        <w:widowControl/>
        <w:ind w:firstLine="640" w:firstLineChars="200"/>
        <w:jc w:val="left"/>
        <w:rPr>
          <w:rFonts w:ascii="仿宋_GB2312" w:eastAsia="仿宋_GB2312"/>
          <w:color w:val="000000"/>
          <w:sz w:val="32"/>
          <w:szCs w:val="32"/>
        </w:rPr>
      </w:pPr>
      <w:r>
        <w:rPr>
          <w:rFonts w:ascii="仿宋_GB2312" w:eastAsia="仿宋_GB2312"/>
          <w:color w:val="000000"/>
          <w:sz w:val="32"/>
          <w:szCs w:val="32"/>
        </w:rPr>
        <w:t>7.</w:t>
      </w:r>
      <w:r>
        <w:rPr>
          <w:rFonts w:hint="eastAsia" w:ascii="仿宋_GB2312" w:eastAsia="仿宋_GB2312"/>
          <w:color w:val="000000"/>
          <w:sz w:val="32"/>
          <w:szCs w:val="32"/>
        </w:rPr>
        <w:t>四川省青衣江乐山灌区（流域）管理局</w:t>
      </w:r>
    </w:p>
    <w:p>
      <w:pPr>
        <w:widowControl/>
        <w:ind w:firstLine="480" w:firstLineChars="150"/>
        <w:jc w:val="left"/>
        <w:rPr>
          <w:rFonts w:ascii="仿宋_GB2312" w:eastAsia="仿宋_GB2312"/>
          <w:color w:val="000000"/>
          <w:sz w:val="32"/>
          <w:szCs w:val="32"/>
        </w:rPr>
      </w:pPr>
      <w:r>
        <w:rPr>
          <w:rFonts w:ascii="仿宋_GB2312" w:eastAsia="仿宋_GB2312"/>
          <w:color w:val="000000"/>
          <w:sz w:val="32"/>
          <w:szCs w:val="32"/>
        </w:rPr>
        <w:t xml:space="preserve"> 8.</w:t>
      </w:r>
      <w:r>
        <w:rPr>
          <w:rFonts w:hint="eastAsia" w:ascii="仿宋_GB2312" w:eastAsia="仿宋_GB2312"/>
          <w:color w:val="000000"/>
          <w:sz w:val="32"/>
          <w:szCs w:val="32"/>
        </w:rPr>
        <w:t>乐山市水利电力建筑勘察设计研究院</w:t>
      </w:r>
    </w:p>
    <w:p>
      <w:pPr>
        <w:widowControl/>
        <w:ind w:firstLine="640" w:firstLineChars="200"/>
        <w:jc w:val="left"/>
        <w:rPr>
          <w:rFonts w:ascii="仿宋_GB2312" w:eastAsia="仿宋_GB2312"/>
          <w:color w:val="000000"/>
          <w:sz w:val="32"/>
          <w:szCs w:val="32"/>
        </w:rPr>
      </w:pPr>
      <w:r>
        <w:rPr>
          <w:rFonts w:ascii="仿宋_GB2312" w:eastAsia="仿宋_GB2312"/>
          <w:color w:val="000000"/>
          <w:sz w:val="32"/>
          <w:szCs w:val="32"/>
        </w:rPr>
        <w:t>9.</w:t>
      </w:r>
      <w:r>
        <w:rPr>
          <w:rFonts w:hint="eastAsia" w:ascii="仿宋_GB2312" w:eastAsia="仿宋_GB2312"/>
          <w:color w:val="000000"/>
          <w:sz w:val="32"/>
          <w:szCs w:val="32"/>
        </w:rPr>
        <w:t>乐山市高中水库管理处</w:t>
      </w:r>
    </w:p>
    <w:p>
      <w:pPr>
        <w:widowControl/>
        <w:ind w:firstLine="640" w:firstLineChars="200"/>
        <w:jc w:val="left"/>
        <w:rPr>
          <w:rFonts w:ascii="仿宋_GB2312" w:eastAsia="仿宋_GB2312"/>
          <w:color w:val="000000"/>
          <w:sz w:val="32"/>
          <w:szCs w:val="32"/>
        </w:rPr>
      </w:pPr>
      <w:r>
        <w:rPr>
          <w:rFonts w:ascii="仿宋_GB2312" w:eastAsia="仿宋_GB2312"/>
          <w:color w:val="000000"/>
          <w:sz w:val="32"/>
          <w:szCs w:val="32"/>
        </w:rPr>
        <w:t>10.</w:t>
      </w:r>
      <w:r>
        <w:rPr>
          <w:rFonts w:hint="eastAsia" w:ascii="仿宋_GB2312" w:eastAsia="仿宋_GB2312"/>
          <w:color w:val="000000"/>
          <w:sz w:val="32"/>
          <w:szCs w:val="32"/>
        </w:rPr>
        <w:t>乐山市沫江堰管理处</w:t>
      </w:r>
    </w:p>
    <w:p>
      <w:pPr>
        <w:widowControl/>
        <w:ind w:firstLine="640" w:firstLineChars="200"/>
        <w:jc w:val="left"/>
        <w:rPr>
          <w:rFonts w:ascii="仿宋_GB2312" w:eastAsia="仿宋_GB2312"/>
          <w:color w:val="000000"/>
          <w:sz w:val="32"/>
          <w:szCs w:val="32"/>
        </w:rPr>
      </w:pPr>
      <w:r>
        <w:rPr>
          <w:rFonts w:ascii="仿宋_GB2312" w:eastAsia="仿宋_GB2312"/>
          <w:color w:val="000000"/>
          <w:sz w:val="32"/>
          <w:szCs w:val="32"/>
        </w:rPr>
        <w:t>11.</w:t>
      </w:r>
      <w:r>
        <w:rPr>
          <w:rFonts w:hint="eastAsia" w:ascii="仿宋_GB2312" w:eastAsia="仿宋_GB2312"/>
          <w:color w:val="000000"/>
          <w:sz w:val="32"/>
          <w:szCs w:val="32"/>
        </w:rPr>
        <w:t>乐山市跃进渠保护服务中心</w:t>
      </w:r>
    </w:p>
    <w:p>
      <w:pPr>
        <w:widowControl/>
        <w:ind w:firstLine="640" w:firstLineChars="200"/>
        <w:jc w:val="left"/>
        <w:rPr>
          <w:rFonts w:ascii="仿宋" w:hAnsi="仿宋" w:eastAsia="仿宋"/>
          <w:color w:val="000000"/>
          <w:kern w:val="0"/>
          <w:sz w:val="32"/>
          <w:szCs w:val="32"/>
        </w:rPr>
      </w:pPr>
      <w:r>
        <w:rPr>
          <w:rFonts w:ascii="仿宋_GB2312" w:eastAsia="仿宋_GB2312"/>
          <w:color w:val="000000"/>
          <w:sz w:val="32"/>
          <w:szCs w:val="32"/>
        </w:rPr>
        <w:t>12.</w:t>
      </w:r>
      <w:r>
        <w:rPr>
          <w:rFonts w:hint="eastAsia" w:ascii="仿宋_GB2312" w:eastAsia="仿宋_GB2312"/>
          <w:color w:val="000000"/>
          <w:sz w:val="32"/>
          <w:szCs w:val="32"/>
        </w:rPr>
        <w:t>乐山市东风堰管理处</w:t>
      </w:r>
      <w:r>
        <w:rPr>
          <w:rFonts w:ascii="仿宋" w:hAnsi="仿宋" w:eastAsia="仿宋"/>
          <w:color w:val="000000"/>
          <w:sz w:val="32"/>
          <w:szCs w:val="32"/>
        </w:rPr>
        <w:br w:type="page"/>
      </w:r>
    </w:p>
    <w:p>
      <w:pPr>
        <w:pStyle w:val="2"/>
        <w:ind w:right="440"/>
        <w:jc w:val="right"/>
        <w:rPr>
          <w:rStyle w:val="19"/>
          <w:rFonts w:ascii="黑体" w:hAnsi="黑体" w:eastAsia="黑体"/>
          <w:b w:val="0"/>
          <w:bCs w:val="0"/>
        </w:rPr>
      </w:pPr>
      <w:bookmarkStart w:id="22" w:name="_Toc15377204"/>
      <w:bookmarkStart w:id="23" w:name="_Toc15396602"/>
      <w:r>
        <w:rPr>
          <w:rFonts w:hint="eastAsia" w:ascii="黑体" w:hAnsi="黑体" w:eastAsia="黑体"/>
          <w:b w:val="0"/>
          <w:color w:val="000000"/>
        </w:rPr>
        <w:t>第二部分</w:t>
      </w:r>
      <w:r>
        <w:rPr>
          <w:rFonts w:ascii="黑体" w:hAnsi="黑体" w:eastAsia="黑体"/>
          <w:color w:val="000000"/>
        </w:rPr>
        <w:t xml:space="preserve"> </w:t>
      </w:r>
      <w:r>
        <w:rPr>
          <w:rStyle w:val="19"/>
          <w:rFonts w:ascii="黑体" w:hAnsi="黑体" w:eastAsia="黑体"/>
          <w:b w:val="0"/>
          <w:bCs w:val="0"/>
        </w:rPr>
        <w:t>2018</w:t>
      </w:r>
      <w:r>
        <w:rPr>
          <w:rStyle w:val="19"/>
          <w:rFonts w:hint="eastAsia" w:ascii="黑体" w:hAnsi="黑体" w:eastAsia="黑体"/>
          <w:b w:val="0"/>
          <w:bCs w:val="0"/>
        </w:rPr>
        <w:t>年度部门决算情况说明</w:t>
      </w:r>
      <w:bookmarkEnd w:id="22"/>
      <w:bookmarkEnd w:id="23"/>
    </w:p>
    <w:p/>
    <w:p>
      <w:pPr>
        <w:pStyle w:val="29"/>
        <w:numPr>
          <w:ilvl w:val="0"/>
          <w:numId w:val="1"/>
        </w:numPr>
        <w:spacing w:line="600" w:lineRule="exact"/>
        <w:ind w:firstLineChars="0"/>
        <w:outlineLvl w:val="1"/>
        <w:rPr>
          <w:rStyle w:val="20"/>
          <w:rFonts w:ascii="黑体" w:hAnsi="黑体" w:eastAsia="黑体"/>
          <w:b w:val="0"/>
        </w:rPr>
      </w:pPr>
      <w:bookmarkStart w:id="24" w:name="_Toc15396603"/>
      <w:bookmarkStart w:id="25" w:name="_Toc15377205"/>
      <w:r>
        <w:rPr>
          <w:rFonts w:hint="eastAsia" w:ascii="黑体" w:hAnsi="黑体" w:eastAsia="黑体"/>
          <w:color w:val="000000"/>
          <w:sz w:val="32"/>
          <w:szCs w:val="32"/>
        </w:rPr>
        <w:t>收</w:t>
      </w:r>
      <w:r>
        <w:rPr>
          <w:rStyle w:val="20"/>
          <w:rFonts w:hint="eastAsia" w:ascii="黑体" w:hAnsi="黑体" w:eastAsia="黑体"/>
          <w:b w:val="0"/>
        </w:rPr>
        <w:t>入支出决算总体情况说明</w:t>
      </w:r>
      <w:bookmarkEnd w:id="24"/>
      <w:bookmarkEnd w:id="25"/>
    </w:p>
    <w:p>
      <w:pPr>
        <w:spacing w:line="60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年度收、支总计各</w:t>
      </w:r>
      <w:r>
        <w:rPr>
          <w:rFonts w:ascii="仿宋_GB2312" w:hAnsi="仿宋_GB2312" w:eastAsia="仿宋_GB2312" w:cs="仿宋_GB2312"/>
          <w:color w:val="000000"/>
          <w:sz w:val="32"/>
          <w:szCs w:val="32"/>
        </w:rPr>
        <w:t>21206.53</w:t>
      </w:r>
      <w:r>
        <w:rPr>
          <w:rFonts w:hint="eastAsia" w:ascii="仿宋_GB2312" w:hAnsi="仿宋_GB2312" w:eastAsia="仿宋_GB2312" w:cs="仿宋_GB2312"/>
          <w:color w:val="000000"/>
          <w:sz w:val="32"/>
          <w:szCs w:val="32"/>
        </w:rPr>
        <w:t>万元。</w:t>
      </w:r>
      <w:r>
        <w:rPr>
          <w:rFonts w:hint="eastAsia" w:ascii="仿宋_GB2312" w:hAnsi="仿宋_GB2312" w:eastAsia="仿宋_GB2312" w:cs="仿宋_GB2312"/>
          <w:sz w:val="32"/>
          <w:szCs w:val="32"/>
        </w:rPr>
        <w:t>与</w:t>
      </w:r>
      <w:r>
        <w:rPr>
          <w:rFonts w:ascii="仿宋_GB2312" w:hAnsi="仿宋_GB2312" w:eastAsia="仿宋_GB2312" w:cs="仿宋_GB2312"/>
          <w:sz w:val="32"/>
          <w:szCs w:val="32"/>
        </w:rPr>
        <w:t>2017</w:t>
      </w:r>
      <w:r>
        <w:rPr>
          <w:rFonts w:hint="eastAsia" w:ascii="仿宋_GB2312" w:hAnsi="仿宋_GB2312" w:eastAsia="仿宋_GB2312" w:cs="仿宋_GB2312"/>
          <w:sz w:val="32"/>
          <w:szCs w:val="32"/>
        </w:rPr>
        <w:t>年相比，收、支总计各增加</w:t>
      </w:r>
      <w:r>
        <w:rPr>
          <w:rFonts w:ascii="仿宋_GB2312" w:hAnsi="仿宋_GB2312" w:eastAsia="仿宋_GB2312" w:cs="仿宋_GB2312"/>
          <w:sz w:val="32"/>
          <w:szCs w:val="32"/>
        </w:rPr>
        <w:t>10247.82</w:t>
      </w:r>
      <w:r>
        <w:rPr>
          <w:rFonts w:hint="eastAsia" w:ascii="仿宋_GB2312" w:hAnsi="仿宋_GB2312" w:eastAsia="仿宋_GB2312" w:cs="仿宋_GB2312"/>
          <w:sz w:val="32"/>
          <w:szCs w:val="32"/>
        </w:rPr>
        <w:t>万元，增长</w:t>
      </w:r>
      <w:r>
        <w:rPr>
          <w:rFonts w:ascii="仿宋_GB2312" w:hAnsi="仿宋_GB2312" w:eastAsia="仿宋_GB2312" w:cs="仿宋_GB2312"/>
          <w:sz w:val="32"/>
          <w:szCs w:val="32"/>
        </w:rPr>
        <w:t>93.51%</w:t>
      </w:r>
      <w:r>
        <w:rPr>
          <w:rFonts w:hint="eastAsia" w:ascii="仿宋_GB2312" w:hAnsi="仿宋_GB2312" w:eastAsia="仿宋_GB2312" w:cs="仿宋_GB2312"/>
          <w:sz w:val="32"/>
          <w:szCs w:val="32"/>
        </w:rPr>
        <w:t>。主要变动原因是青衣江续建配套与节水改造项目资金收入较上年增加</w:t>
      </w:r>
      <w:r>
        <w:rPr>
          <w:rFonts w:ascii="仿宋_GB2312" w:hAnsi="仿宋_GB2312" w:eastAsia="仿宋_GB2312" w:cs="仿宋_GB2312"/>
          <w:sz w:val="32"/>
          <w:szCs w:val="32"/>
        </w:rPr>
        <w:t>9686.71</w:t>
      </w:r>
      <w:r>
        <w:rPr>
          <w:rFonts w:hint="eastAsia" w:ascii="仿宋_GB2312" w:hAnsi="仿宋_GB2312" w:eastAsia="仿宋_GB2312" w:cs="仿宋_GB2312"/>
          <w:sz w:val="32"/>
          <w:szCs w:val="32"/>
        </w:rPr>
        <w:t>万元。</w:t>
      </w:r>
    </w:p>
    <w:p>
      <w:pPr>
        <w:widowControl/>
        <w:jc w:val="left"/>
        <w:rPr>
          <w:rFonts w:ascii="宋体" w:cs="宋体"/>
          <w:kern w:val="0"/>
          <w:sz w:val="24"/>
        </w:rPr>
      </w:pPr>
      <w:r>
        <w:rPr>
          <w:rFonts w:ascii="宋体" w:cs="宋体"/>
          <w:kern w:val="0"/>
          <w:sz w:val="24"/>
        </w:rPr>
        <w:pict>
          <v:shape id="_x0000_i1025" o:spt="75" type="#_x0000_t75" style="height:260.25pt;width:435pt;" filled="f" o:preferrelative="t" stroked="f" coordsize="21600,21600">
            <v:path/>
            <v:fill on="f" focussize="0,0"/>
            <v:stroke on="f" joinstyle="miter"/>
            <v:imagedata r:id="rId7" r:href="rId8" o:title=""/>
            <o:lock v:ext="edit" aspectratio="t"/>
            <w10:wrap type="none"/>
            <w10:anchorlock/>
          </v:shape>
        </w:pict>
      </w:r>
    </w:p>
    <w:p>
      <w:pPr>
        <w:widowControl/>
        <w:jc w:val="left"/>
        <w:rPr>
          <w:rFonts w:ascii="宋体" w:cs="宋体"/>
          <w:kern w:val="0"/>
          <w:sz w:val="24"/>
        </w:rPr>
      </w:pPr>
    </w:p>
    <w:p>
      <w:pPr>
        <w:pStyle w:val="29"/>
        <w:numPr>
          <w:ilvl w:val="0"/>
          <w:numId w:val="1"/>
        </w:numPr>
        <w:spacing w:line="600" w:lineRule="exact"/>
        <w:ind w:firstLineChars="0"/>
        <w:outlineLvl w:val="1"/>
        <w:rPr>
          <w:rStyle w:val="20"/>
          <w:rFonts w:ascii="黑体" w:hAnsi="黑体" w:eastAsia="黑体"/>
          <w:b w:val="0"/>
        </w:rPr>
      </w:pPr>
      <w:bookmarkStart w:id="26" w:name="_Toc15377206"/>
      <w:bookmarkStart w:id="27" w:name="_Toc15396604"/>
      <w:r>
        <w:rPr>
          <w:rFonts w:hint="eastAsia" w:ascii="黑体" w:hAnsi="黑体" w:eastAsia="黑体"/>
          <w:color w:val="000000"/>
          <w:sz w:val="32"/>
          <w:szCs w:val="32"/>
        </w:rPr>
        <w:t>收</w:t>
      </w:r>
      <w:r>
        <w:rPr>
          <w:rStyle w:val="20"/>
          <w:rFonts w:hint="eastAsia" w:ascii="黑体" w:hAnsi="黑体" w:eastAsia="黑体"/>
          <w:b w:val="0"/>
        </w:rPr>
        <w:t>入决算情况说明</w:t>
      </w:r>
      <w:bookmarkEnd w:id="26"/>
      <w:bookmarkEnd w:id="27"/>
    </w:p>
    <w:p>
      <w:pPr>
        <w:spacing w:line="600" w:lineRule="exact"/>
        <w:ind w:firstLine="640" w:firstLineChars="200"/>
        <w:outlineLvl w:val="1"/>
        <w:rPr>
          <w:rFonts w:ascii="仿宋_GB2312" w:hAnsi="仿宋_GB2312" w:eastAsia="仿宋_GB2312" w:cs="仿宋_GB2312"/>
          <w:sz w:val="32"/>
          <w:szCs w:val="32"/>
        </w:rPr>
      </w:pP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年本年收入合计</w:t>
      </w:r>
      <w:r>
        <w:rPr>
          <w:rFonts w:ascii="仿宋_GB2312" w:hAnsi="仿宋_GB2312" w:eastAsia="仿宋_GB2312" w:cs="仿宋_GB2312"/>
          <w:sz w:val="32"/>
          <w:szCs w:val="32"/>
        </w:rPr>
        <w:t>18576.03</w:t>
      </w:r>
      <w:r>
        <w:rPr>
          <w:rFonts w:hint="eastAsia" w:ascii="仿宋_GB2312" w:hAnsi="仿宋_GB2312" w:eastAsia="仿宋_GB2312" w:cs="仿宋_GB2312"/>
          <w:sz w:val="32"/>
          <w:szCs w:val="32"/>
        </w:rPr>
        <w:t>万元，其中：一般公共预算财政拨款收入</w:t>
      </w:r>
      <w:r>
        <w:rPr>
          <w:rFonts w:ascii="仿宋_GB2312" w:hAnsi="仿宋_GB2312" w:eastAsia="仿宋_GB2312" w:cs="仿宋_GB2312"/>
          <w:sz w:val="32"/>
          <w:szCs w:val="32"/>
        </w:rPr>
        <w:t>16494.39</w:t>
      </w:r>
      <w:r>
        <w:rPr>
          <w:rFonts w:hint="eastAsia" w:ascii="仿宋_GB2312" w:hAnsi="仿宋_GB2312" w:eastAsia="仿宋_GB2312" w:cs="仿宋_GB2312"/>
          <w:sz w:val="32"/>
          <w:szCs w:val="32"/>
        </w:rPr>
        <w:t>万元，占</w:t>
      </w:r>
      <w:r>
        <w:rPr>
          <w:rFonts w:ascii="仿宋_GB2312" w:hAnsi="仿宋_GB2312" w:eastAsia="仿宋_GB2312" w:cs="仿宋_GB2312"/>
          <w:sz w:val="32"/>
          <w:szCs w:val="32"/>
        </w:rPr>
        <w:t>88.79%</w:t>
      </w:r>
      <w:r>
        <w:rPr>
          <w:rFonts w:hint="eastAsia" w:ascii="仿宋_GB2312" w:hAnsi="仿宋_GB2312" w:eastAsia="仿宋_GB2312" w:cs="仿宋_GB2312"/>
          <w:sz w:val="32"/>
          <w:szCs w:val="32"/>
        </w:rPr>
        <w:t>；经营收入</w:t>
      </w:r>
      <w:r>
        <w:rPr>
          <w:rFonts w:ascii="仿宋_GB2312" w:hAnsi="仿宋_GB2312" w:eastAsia="仿宋_GB2312" w:cs="仿宋_GB2312"/>
          <w:sz w:val="32"/>
          <w:szCs w:val="32"/>
        </w:rPr>
        <w:t>1878.85</w:t>
      </w:r>
      <w:r>
        <w:rPr>
          <w:rFonts w:hint="eastAsia" w:ascii="仿宋_GB2312" w:hAnsi="仿宋_GB2312" w:eastAsia="仿宋_GB2312" w:cs="仿宋_GB2312"/>
          <w:sz w:val="32"/>
          <w:szCs w:val="32"/>
        </w:rPr>
        <w:t>万元，占</w:t>
      </w:r>
      <w:r>
        <w:rPr>
          <w:rFonts w:ascii="仿宋_GB2312" w:hAnsi="仿宋_GB2312" w:eastAsia="仿宋_GB2312" w:cs="仿宋_GB2312"/>
          <w:sz w:val="32"/>
          <w:szCs w:val="32"/>
        </w:rPr>
        <w:t>10.11%</w:t>
      </w:r>
      <w:r>
        <w:rPr>
          <w:rFonts w:hint="eastAsia" w:ascii="仿宋_GB2312" w:hAnsi="仿宋_GB2312" w:eastAsia="仿宋_GB2312" w:cs="仿宋_GB2312"/>
          <w:sz w:val="32"/>
          <w:szCs w:val="32"/>
        </w:rPr>
        <w:t>；其他收入</w:t>
      </w:r>
      <w:r>
        <w:rPr>
          <w:rFonts w:ascii="仿宋_GB2312" w:hAnsi="仿宋_GB2312" w:eastAsia="仿宋_GB2312" w:cs="仿宋_GB2312"/>
          <w:sz w:val="32"/>
          <w:szCs w:val="32"/>
        </w:rPr>
        <w:t>197.79</w:t>
      </w:r>
      <w:r>
        <w:rPr>
          <w:rFonts w:hint="eastAsia" w:ascii="仿宋_GB2312" w:hAnsi="仿宋_GB2312" w:eastAsia="仿宋_GB2312" w:cs="仿宋_GB2312"/>
          <w:sz w:val="32"/>
          <w:szCs w:val="32"/>
        </w:rPr>
        <w:t>万元，占</w:t>
      </w:r>
      <w:r>
        <w:rPr>
          <w:rFonts w:ascii="仿宋_GB2312" w:hAnsi="仿宋_GB2312" w:eastAsia="仿宋_GB2312" w:cs="仿宋_GB2312"/>
          <w:sz w:val="32"/>
          <w:szCs w:val="32"/>
        </w:rPr>
        <w:t>1.06%</w:t>
      </w:r>
      <w:r>
        <w:rPr>
          <w:rFonts w:hint="eastAsia" w:ascii="仿宋_GB2312" w:hAnsi="仿宋_GB2312" w:eastAsia="仿宋_GB2312" w:cs="仿宋_GB2312"/>
          <w:sz w:val="32"/>
          <w:szCs w:val="32"/>
        </w:rPr>
        <w:t>；事业收入</w:t>
      </w:r>
      <w:r>
        <w:rPr>
          <w:rFonts w:ascii="仿宋_GB2312" w:hAnsi="仿宋_GB2312" w:eastAsia="仿宋_GB2312" w:cs="仿宋_GB2312"/>
          <w:sz w:val="32"/>
          <w:szCs w:val="32"/>
        </w:rPr>
        <w:t>5</w:t>
      </w:r>
      <w:r>
        <w:rPr>
          <w:rFonts w:hint="eastAsia" w:ascii="仿宋_GB2312" w:hAnsi="仿宋_GB2312" w:eastAsia="仿宋_GB2312" w:cs="仿宋_GB2312"/>
          <w:sz w:val="32"/>
          <w:szCs w:val="32"/>
        </w:rPr>
        <w:t>万元，占</w:t>
      </w:r>
      <w:r>
        <w:rPr>
          <w:rFonts w:ascii="仿宋_GB2312" w:hAnsi="仿宋_GB2312" w:eastAsia="仿宋_GB2312" w:cs="仿宋_GB2312"/>
          <w:sz w:val="32"/>
          <w:szCs w:val="32"/>
        </w:rPr>
        <w:t>0.02%</w:t>
      </w:r>
      <w:r>
        <w:rPr>
          <w:rFonts w:hint="eastAsia" w:ascii="仿宋_GB2312" w:hAnsi="仿宋_GB2312" w:eastAsia="仿宋_GB2312" w:cs="仿宋_GB2312"/>
          <w:sz w:val="32"/>
          <w:szCs w:val="32"/>
        </w:rPr>
        <w:t>；政府性基金预算财政拨款收入</w:t>
      </w:r>
      <w:r>
        <w:rPr>
          <w:rFonts w:ascii="仿宋_GB2312" w:hAnsi="仿宋_GB2312" w:eastAsia="仿宋_GB2312" w:cs="仿宋_GB2312"/>
          <w:sz w:val="32"/>
          <w:szCs w:val="32"/>
        </w:rPr>
        <w:t>0</w:t>
      </w:r>
      <w:r>
        <w:rPr>
          <w:rFonts w:hint="eastAsia" w:ascii="仿宋_GB2312" w:hAnsi="仿宋_GB2312" w:eastAsia="仿宋_GB2312" w:cs="仿宋_GB2312"/>
          <w:sz w:val="32"/>
          <w:szCs w:val="32"/>
        </w:rPr>
        <w:t>万元；国有资本经营预算财政拨款收入</w:t>
      </w:r>
      <w:r>
        <w:rPr>
          <w:rFonts w:ascii="仿宋_GB2312" w:hAnsi="仿宋_GB2312" w:eastAsia="仿宋_GB2312" w:cs="仿宋_GB2312"/>
          <w:sz w:val="32"/>
          <w:szCs w:val="32"/>
        </w:rPr>
        <w:t>0</w:t>
      </w:r>
      <w:r>
        <w:rPr>
          <w:rFonts w:hint="eastAsia" w:ascii="仿宋_GB2312" w:hAnsi="仿宋_GB2312" w:eastAsia="仿宋_GB2312" w:cs="仿宋_GB2312"/>
          <w:sz w:val="32"/>
          <w:szCs w:val="32"/>
        </w:rPr>
        <w:t>万元；附属单位上缴收入</w:t>
      </w:r>
      <w:r>
        <w:rPr>
          <w:rFonts w:ascii="仿宋_GB2312" w:hAnsi="仿宋_GB2312" w:eastAsia="仿宋_GB2312" w:cs="仿宋_GB2312"/>
          <w:sz w:val="32"/>
          <w:szCs w:val="32"/>
        </w:rPr>
        <w:t>0</w:t>
      </w:r>
      <w:r>
        <w:rPr>
          <w:rFonts w:hint="eastAsia" w:ascii="仿宋_GB2312" w:hAnsi="仿宋_GB2312" w:eastAsia="仿宋_GB2312" w:cs="仿宋_GB2312"/>
          <w:sz w:val="32"/>
          <w:szCs w:val="32"/>
        </w:rPr>
        <w:t>万元。</w:t>
      </w:r>
    </w:p>
    <w:p>
      <w:pPr>
        <w:widowControl/>
        <w:jc w:val="left"/>
        <w:rPr>
          <w:rFonts w:ascii="宋体" w:cs="宋体"/>
          <w:kern w:val="0"/>
          <w:sz w:val="24"/>
        </w:rPr>
      </w:pPr>
      <w:r>
        <w:rPr>
          <w:rFonts w:ascii="宋体" w:cs="宋体"/>
          <w:kern w:val="0"/>
          <w:sz w:val="24"/>
        </w:rPr>
        <w:pict>
          <v:shape id="_x0000_i1026" o:spt="75" type="#_x0000_t75" style="height:244.5pt;width:429pt;" filled="f" o:preferrelative="t" stroked="f" coordsize="21600,21600">
            <v:path/>
            <v:fill on="f" focussize="0,0"/>
            <v:stroke on="f" joinstyle="miter"/>
            <v:imagedata r:id="rId9" r:href="rId10" o:title=""/>
            <o:lock v:ext="edit" aspectratio="t"/>
            <w10:wrap type="none"/>
            <w10:anchorlock/>
          </v:shape>
        </w:pict>
      </w:r>
    </w:p>
    <w:p>
      <w:pPr>
        <w:pStyle w:val="29"/>
        <w:numPr>
          <w:ilvl w:val="0"/>
          <w:numId w:val="1"/>
        </w:numPr>
        <w:spacing w:line="600" w:lineRule="exact"/>
        <w:ind w:firstLineChars="0"/>
        <w:outlineLvl w:val="1"/>
        <w:rPr>
          <w:rStyle w:val="20"/>
          <w:rFonts w:ascii="黑体" w:hAnsi="黑体" w:eastAsia="黑体"/>
          <w:b w:val="0"/>
        </w:rPr>
      </w:pPr>
      <w:bookmarkStart w:id="28" w:name="_Toc15396605"/>
      <w:bookmarkStart w:id="29" w:name="_Toc15377207"/>
      <w:r>
        <w:rPr>
          <w:rFonts w:hint="eastAsia" w:ascii="黑体" w:hAnsi="黑体" w:eastAsia="黑体"/>
          <w:color w:val="000000"/>
          <w:sz w:val="32"/>
          <w:szCs w:val="32"/>
        </w:rPr>
        <w:t>支</w:t>
      </w:r>
      <w:r>
        <w:rPr>
          <w:rStyle w:val="20"/>
          <w:rFonts w:hint="eastAsia" w:ascii="黑体" w:hAnsi="黑体" w:eastAsia="黑体"/>
          <w:b w:val="0"/>
        </w:rPr>
        <w:t>出决算情况说明</w:t>
      </w:r>
      <w:bookmarkEnd w:id="28"/>
      <w:bookmarkEnd w:id="29"/>
    </w:p>
    <w:p>
      <w:pPr>
        <w:spacing w:line="600" w:lineRule="exact"/>
        <w:ind w:firstLine="640"/>
        <w:rPr>
          <w:rFonts w:ascii="仿宋_GB2312" w:hAnsi="仿宋_GB2312" w:eastAsia="仿宋_GB2312" w:cs="仿宋_GB2312"/>
          <w:sz w:val="32"/>
          <w:szCs w:val="32"/>
        </w:rPr>
      </w:pP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年本年支出合计</w:t>
      </w:r>
      <w:r>
        <w:rPr>
          <w:rFonts w:ascii="仿宋_GB2312" w:hAnsi="仿宋_GB2312" w:eastAsia="仿宋_GB2312" w:cs="仿宋_GB2312"/>
          <w:sz w:val="32"/>
          <w:szCs w:val="32"/>
        </w:rPr>
        <w:t>14851.22</w:t>
      </w:r>
      <w:r>
        <w:rPr>
          <w:rFonts w:hint="eastAsia" w:ascii="仿宋_GB2312" w:hAnsi="仿宋_GB2312" w:eastAsia="仿宋_GB2312" w:cs="仿宋_GB2312"/>
          <w:sz w:val="32"/>
          <w:szCs w:val="32"/>
        </w:rPr>
        <w:t>万元，其中：基本支出</w:t>
      </w:r>
      <w:r>
        <w:rPr>
          <w:rFonts w:ascii="仿宋_GB2312" w:hAnsi="仿宋_GB2312" w:eastAsia="仿宋_GB2312" w:cs="仿宋_GB2312"/>
          <w:sz w:val="32"/>
          <w:szCs w:val="32"/>
        </w:rPr>
        <w:t>2845.19</w:t>
      </w:r>
      <w:r>
        <w:rPr>
          <w:rFonts w:hint="eastAsia" w:ascii="仿宋_GB2312" w:hAnsi="仿宋_GB2312" w:eastAsia="仿宋_GB2312" w:cs="仿宋_GB2312"/>
          <w:sz w:val="32"/>
          <w:szCs w:val="32"/>
        </w:rPr>
        <w:t>万元，占</w:t>
      </w:r>
      <w:r>
        <w:rPr>
          <w:rFonts w:ascii="仿宋_GB2312" w:hAnsi="仿宋_GB2312" w:eastAsia="仿宋_GB2312" w:cs="仿宋_GB2312"/>
          <w:sz w:val="32"/>
          <w:szCs w:val="32"/>
        </w:rPr>
        <w:t>19.16%</w:t>
      </w:r>
      <w:r>
        <w:rPr>
          <w:rFonts w:hint="eastAsia" w:ascii="仿宋_GB2312" w:hAnsi="仿宋_GB2312" w:eastAsia="仿宋_GB2312" w:cs="仿宋_GB2312"/>
          <w:sz w:val="32"/>
          <w:szCs w:val="32"/>
        </w:rPr>
        <w:t>；项目支出</w:t>
      </w:r>
      <w:r>
        <w:rPr>
          <w:rFonts w:ascii="仿宋_GB2312" w:hAnsi="仿宋_GB2312" w:eastAsia="仿宋_GB2312" w:cs="仿宋_GB2312"/>
          <w:sz w:val="32"/>
          <w:szCs w:val="32"/>
        </w:rPr>
        <w:t>10301.71</w:t>
      </w:r>
      <w:r>
        <w:rPr>
          <w:rFonts w:hint="eastAsia" w:ascii="仿宋_GB2312" w:hAnsi="仿宋_GB2312" w:eastAsia="仿宋_GB2312" w:cs="仿宋_GB2312"/>
          <w:sz w:val="32"/>
          <w:szCs w:val="32"/>
        </w:rPr>
        <w:t>万元，占</w:t>
      </w:r>
      <w:r>
        <w:rPr>
          <w:rFonts w:ascii="仿宋_GB2312" w:hAnsi="仿宋_GB2312" w:eastAsia="仿宋_GB2312" w:cs="仿宋_GB2312"/>
          <w:sz w:val="32"/>
          <w:szCs w:val="32"/>
        </w:rPr>
        <w:t>69.37%</w:t>
      </w:r>
      <w:r>
        <w:rPr>
          <w:rFonts w:hint="eastAsia" w:ascii="仿宋_GB2312" w:hAnsi="仿宋_GB2312" w:eastAsia="仿宋_GB2312" w:cs="仿宋_GB2312"/>
          <w:sz w:val="32"/>
          <w:szCs w:val="32"/>
        </w:rPr>
        <w:t>；经营支出</w:t>
      </w:r>
      <w:r>
        <w:rPr>
          <w:rFonts w:ascii="仿宋_GB2312" w:hAnsi="仿宋_GB2312" w:eastAsia="仿宋_GB2312" w:cs="仿宋_GB2312"/>
          <w:sz w:val="32"/>
          <w:szCs w:val="32"/>
        </w:rPr>
        <w:t>1704.32</w:t>
      </w:r>
      <w:r>
        <w:rPr>
          <w:rFonts w:hint="eastAsia" w:ascii="仿宋_GB2312" w:hAnsi="仿宋_GB2312" w:eastAsia="仿宋_GB2312" w:cs="仿宋_GB2312"/>
          <w:sz w:val="32"/>
          <w:szCs w:val="32"/>
        </w:rPr>
        <w:t>万元，占</w:t>
      </w:r>
      <w:r>
        <w:rPr>
          <w:rFonts w:ascii="仿宋_GB2312" w:hAnsi="仿宋_GB2312" w:eastAsia="仿宋_GB2312" w:cs="仿宋_GB2312"/>
          <w:sz w:val="32"/>
          <w:szCs w:val="32"/>
        </w:rPr>
        <w:t>11.48%</w:t>
      </w:r>
      <w:r>
        <w:rPr>
          <w:rFonts w:hint="eastAsia" w:ascii="仿宋_GB2312" w:hAnsi="仿宋_GB2312" w:eastAsia="仿宋_GB2312" w:cs="仿宋_GB2312"/>
          <w:sz w:val="32"/>
          <w:szCs w:val="32"/>
        </w:rPr>
        <w:t>；上缴上级支出</w:t>
      </w:r>
      <w:r>
        <w:rPr>
          <w:rFonts w:ascii="仿宋_GB2312" w:hAnsi="仿宋_GB2312" w:eastAsia="仿宋_GB2312" w:cs="仿宋_GB2312"/>
          <w:sz w:val="32"/>
          <w:szCs w:val="32"/>
        </w:rPr>
        <w:t>0</w:t>
      </w:r>
      <w:r>
        <w:rPr>
          <w:rFonts w:hint="eastAsia" w:ascii="仿宋_GB2312" w:hAnsi="仿宋_GB2312" w:eastAsia="仿宋_GB2312" w:cs="仿宋_GB2312"/>
          <w:sz w:val="32"/>
          <w:szCs w:val="32"/>
        </w:rPr>
        <w:t>万元；对附属单位补助支出</w:t>
      </w:r>
      <w:r>
        <w:rPr>
          <w:rFonts w:ascii="仿宋_GB2312" w:hAnsi="仿宋_GB2312" w:eastAsia="仿宋_GB2312" w:cs="仿宋_GB2312"/>
          <w:sz w:val="32"/>
          <w:szCs w:val="32"/>
        </w:rPr>
        <w:t>0</w:t>
      </w:r>
      <w:r>
        <w:rPr>
          <w:rFonts w:hint="eastAsia" w:ascii="仿宋_GB2312" w:hAnsi="仿宋_GB2312" w:eastAsia="仿宋_GB2312" w:cs="仿宋_GB2312"/>
          <w:sz w:val="32"/>
          <w:szCs w:val="32"/>
        </w:rPr>
        <w:t>万元。</w:t>
      </w:r>
    </w:p>
    <w:p>
      <w:pPr>
        <w:widowControl/>
        <w:jc w:val="left"/>
        <w:rPr>
          <w:rFonts w:ascii="宋体" w:cs="宋体"/>
          <w:kern w:val="0"/>
          <w:sz w:val="24"/>
        </w:rPr>
      </w:pPr>
      <w:r>
        <w:rPr>
          <w:rFonts w:ascii="宋体" w:cs="宋体"/>
          <w:kern w:val="0"/>
          <w:sz w:val="24"/>
        </w:rPr>
        <w:pict>
          <v:shape id="_x0000_i1027" o:spt="75" type="#_x0000_t75" style="height:223.5pt;width:417.75pt;" filled="f" o:preferrelative="t" stroked="f" coordsize="21600,21600">
            <v:path/>
            <v:fill on="f" focussize="0,0"/>
            <v:stroke on="f" joinstyle="miter"/>
            <v:imagedata r:id="rId11" r:href="rId12" o:title=""/>
            <o:lock v:ext="edit" aspectratio="t"/>
            <w10:wrap type="none"/>
            <w10:anchorlock/>
          </v:shape>
        </w:pict>
      </w:r>
    </w:p>
    <w:p>
      <w:pPr>
        <w:spacing w:line="600" w:lineRule="exact"/>
        <w:ind w:firstLine="640" w:firstLineChars="200"/>
        <w:rPr>
          <w:rFonts w:ascii="仿宋_GB2312" w:eastAsia="仿宋_GB2312"/>
          <w:color w:val="FF0000"/>
          <w:sz w:val="32"/>
          <w:szCs w:val="32"/>
        </w:rPr>
      </w:pPr>
    </w:p>
    <w:p>
      <w:pPr>
        <w:spacing w:line="600" w:lineRule="exact"/>
        <w:ind w:firstLine="640" w:firstLineChars="200"/>
        <w:outlineLvl w:val="1"/>
        <w:rPr>
          <w:rStyle w:val="20"/>
          <w:rFonts w:ascii="黑体" w:hAnsi="黑体" w:eastAsia="黑体"/>
          <w:b w:val="0"/>
        </w:rPr>
      </w:pPr>
      <w:bookmarkStart w:id="30" w:name="_Toc15396606"/>
      <w:bookmarkStart w:id="31" w:name="_Toc15377208"/>
      <w:r>
        <w:rPr>
          <w:rFonts w:hint="eastAsia" w:ascii="黑体" w:hAnsi="黑体" w:eastAsia="黑体"/>
          <w:color w:val="000000"/>
          <w:sz w:val="32"/>
          <w:szCs w:val="32"/>
        </w:rPr>
        <w:t>四、财</w:t>
      </w:r>
      <w:r>
        <w:rPr>
          <w:rStyle w:val="20"/>
          <w:rFonts w:hint="eastAsia" w:ascii="黑体" w:hAnsi="黑体" w:eastAsia="黑体"/>
          <w:b w:val="0"/>
        </w:rPr>
        <w:t>政拨款收入支出决算总体情况说明</w:t>
      </w:r>
      <w:bookmarkEnd w:id="30"/>
      <w:bookmarkEnd w:id="31"/>
    </w:p>
    <w:p>
      <w:pPr>
        <w:spacing w:line="600" w:lineRule="exact"/>
        <w:ind w:firstLine="640" w:firstLineChars="200"/>
        <w:rPr>
          <w:rFonts w:ascii="宋体" w:cs="宋体"/>
          <w:kern w:val="0"/>
          <w:sz w:val="24"/>
        </w:rPr>
      </w:pP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年财政拨款收、支总计</w:t>
      </w:r>
      <w:r>
        <w:rPr>
          <w:rFonts w:ascii="仿宋_GB2312" w:hAnsi="仿宋_GB2312" w:eastAsia="仿宋_GB2312" w:cs="仿宋_GB2312"/>
          <w:sz w:val="32"/>
          <w:szCs w:val="32"/>
        </w:rPr>
        <w:t>19059.44</w:t>
      </w:r>
      <w:r>
        <w:rPr>
          <w:rFonts w:hint="eastAsia" w:ascii="仿宋_GB2312" w:hAnsi="仿宋_GB2312" w:eastAsia="仿宋_GB2312" w:cs="仿宋_GB2312"/>
          <w:sz w:val="32"/>
          <w:szCs w:val="32"/>
        </w:rPr>
        <w:t>万元。与</w:t>
      </w:r>
      <w:r>
        <w:rPr>
          <w:rFonts w:ascii="仿宋_GB2312" w:hAnsi="仿宋_GB2312" w:eastAsia="仿宋_GB2312" w:cs="仿宋_GB2312"/>
          <w:sz w:val="32"/>
          <w:szCs w:val="32"/>
        </w:rPr>
        <w:t>2017</w:t>
      </w:r>
      <w:r>
        <w:rPr>
          <w:rFonts w:hint="eastAsia" w:ascii="仿宋_GB2312" w:hAnsi="仿宋_GB2312" w:eastAsia="仿宋_GB2312" w:cs="仿宋_GB2312"/>
          <w:sz w:val="32"/>
          <w:szCs w:val="32"/>
        </w:rPr>
        <w:t>年相比，财政拨款收、支总计各增加</w:t>
      </w:r>
      <w:r>
        <w:rPr>
          <w:rFonts w:ascii="仿宋_GB2312" w:hAnsi="仿宋_GB2312" w:eastAsia="仿宋_GB2312" w:cs="仿宋_GB2312"/>
          <w:sz w:val="32"/>
          <w:szCs w:val="32"/>
        </w:rPr>
        <w:t>10796.48</w:t>
      </w:r>
      <w:r>
        <w:rPr>
          <w:rFonts w:hint="eastAsia" w:ascii="仿宋_GB2312" w:hAnsi="仿宋_GB2312" w:eastAsia="仿宋_GB2312" w:cs="仿宋_GB2312"/>
          <w:sz w:val="32"/>
          <w:szCs w:val="32"/>
        </w:rPr>
        <w:t>万元，增长</w:t>
      </w:r>
      <w:r>
        <w:rPr>
          <w:rFonts w:ascii="仿宋_GB2312" w:hAnsi="仿宋_GB2312" w:eastAsia="仿宋_GB2312" w:cs="仿宋_GB2312"/>
          <w:sz w:val="32"/>
          <w:szCs w:val="32"/>
        </w:rPr>
        <w:t>130.66%</w:t>
      </w:r>
      <w:r>
        <w:rPr>
          <w:rFonts w:hint="eastAsia" w:ascii="仿宋_GB2312" w:hAnsi="仿宋_GB2312" w:eastAsia="仿宋_GB2312" w:cs="仿宋_GB2312"/>
          <w:sz w:val="32"/>
          <w:szCs w:val="32"/>
        </w:rPr>
        <w:t>。主要变动原因是青衣江续建配套与节水改造项目资金收入较上年增加</w:t>
      </w:r>
      <w:r>
        <w:rPr>
          <w:rFonts w:ascii="仿宋_GB2312" w:hAnsi="仿宋_GB2312" w:eastAsia="仿宋_GB2312" w:cs="仿宋_GB2312"/>
          <w:sz w:val="32"/>
          <w:szCs w:val="32"/>
        </w:rPr>
        <w:t>9686.71</w:t>
      </w:r>
      <w:r>
        <w:rPr>
          <w:rFonts w:hint="eastAsia" w:ascii="仿宋_GB2312" w:hAnsi="仿宋_GB2312" w:eastAsia="仿宋_GB2312" w:cs="仿宋_GB2312"/>
          <w:sz w:val="32"/>
          <w:szCs w:val="32"/>
        </w:rPr>
        <w:t>万元。</w:t>
      </w:r>
    </w:p>
    <w:p>
      <w:pPr>
        <w:widowControl/>
        <w:jc w:val="left"/>
        <w:rPr>
          <w:rFonts w:ascii="宋体" w:cs="宋体"/>
          <w:kern w:val="0"/>
          <w:sz w:val="24"/>
        </w:rPr>
      </w:pPr>
      <w:r>
        <w:rPr>
          <w:rFonts w:ascii="宋体" w:cs="宋体"/>
          <w:kern w:val="0"/>
          <w:sz w:val="24"/>
        </w:rPr>
        <w:pict>
          <v:shape id="_x0000_i1028" o:spt="75" type="#_x0000_t75" style="height:235.5pt;width:462pt;" filled="f" o:preferrelative="t" stroked="f" coordsize="21600,21600">
            <v:path/>
            <v:fill on="f" focussize="0,0"/>
            <v:stroke on="f" joinstyle="miter"/>
            <v:imagedata r:id="rId13" r:href="rId14" o:title=""/>
            <o:lock v:ext="edit" aspectratio="t"/>
            <w10:wrap type="none"/>
            <w10:anchorlock/>
          </v:shape>
        </w:pict>
      </w:r>
    </w:p>
    <w:p>
      <w:pPr>
        <w:spacing w:line="600" w:lineRule="exact"/>
        <w:ind w:firstLine="640" w:firstLineChars="200"/>
        <w:outlineLvl w:val="1"/>
        <w:rPr>
          <w:rFonts w:ascii="黑体" w:hAnsi="黑体" w:eastAsia="黑体"/>
          <w:color w:val="000000"/>
          <w:sz w:val="32"/>
          <w:szCs w:val="32"/>
        </w:rPr>
      </w:pPr>
      <w:bookmarkStart w:id="32" w:name="_Toc15396607"/>
      <w:bookmarkStart w:id="33" w:name="_Toc15377209"/>
    </w:p>
    <w:p>
      <w:pPr>
        <w:spacing w:line="600" w:lineRule="exact"/>
        <w:ind w:firstLine="640" w:firstLineChars="200"/>
        <w:outlineLvl w:val="1"/>
        <w:rPr>
          <w:rStyle w:val="20"/>
          <w:rFonts w:ascii="黑体" w:hAnsi="黑体" w:eastAsia="黑体"/>
          <w:b w:val="0"/>
        </w:rPr>
      </w:pPr>
      <w:r>
        <w:rPr>
          <w:rFonts w:hint="eastAsia" w:ascii="黑体" w:hAnsi="黑体" w:eastAsia="黑体"/>
          <w:color w:val="000000"/>
          <w:sz w:val="32"/>
          <w:szCs w:val="32"/>
        </w:rPr>
        <w:t>五、</w:t>
      </w:r>
      <w:r>
        <w:rPr>
          <w:rFonts w:hint="eastAsia" w:ascii="黑体" w:hAnsi="黑体" w:eastAsia="黑体"/>
          <w:b/>
          <w:color w:val="000000"/>
          <w:sz w:val="32"/>
          <w:szCs w:val="32"/>
        </w:rPr>
        <w:t>一</w:t>
      </w:r>
      <w:r>
        <w:rPr>
          <w:rStyle w:val="20"/>
          <w:rFonts w:hint="eastAsia" w:ascii="黑体" w:hAnsi="黑体" w:eastAsia="黑体"/>
          <w:b w:val="0"/>
        </w:rPr>
        <w:t>般公共预算财政拨款支出决算情况说明</w:t>
      </w:r>
      <w:bookmarkEnd w:id="32"/>
      <w:bookmarkEnd w:id="33"/>
    </w:p>
    <w:p>
      <w:pPr>
        <w:spacing w:line="600" w:lineRule="exact"/>
        <w:ind w:firstLine="643" w:firstLineChars="200"/>
        <w:outlineLvl w:val="2"/>
        <w:rPr>
          <w:rFonts w:ascii="仿宋" w:hAnsi="仿宋" w:eastAsia="仿宋"/>
          <w:b/>
          <w:color w:val="000000"/>
          <w:sz w:val="32"/>
          <w:szCs w:val="32"/>
        </w:rPr>
      </w:pPr>
      <w:bookmarkStart w:id="34" w:name="_Toc15377210"/>
      <w:r>
        <w:rPr>
          <w:rFonts w:hint="eastAsia" w:ascii="仿宋" w:hAnsi="仿宋" w:eastAsia="仿宋"/>
          <w:b/>
          <w:color w:val="000000"/>
          <w:sz w:val="32"/>
          <w:szCs w:val="32"/>
        </w:rPr>
        <w:t>（一）一般公共预算财政拨款支出决算总体情况</w:t>
      </w:r>
      <w:bookmarkEnd w:id="34"/>
    </w:p>
    <w:p>
      <w:pPr>
        <w:spacing w:line="60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年一般公共预算财政拨款支出</w:t>
      </w:r>
      <w:r>
        <w:rPr>
          <w:rFonts w:ascii="仿宋_GB2312" w:hAnsi="仿宋_GB2312" w:eastAsia="仿宋_GB2312" w:cs="仿宋_GB2312"/>
          <w:sz w:val="32"/>
          <w:szCs w:val="32"/>
        </w:rPr>
        <w:t>12994.97</w:t>
      </w:r>
      <w:r>
        <w:rPr>
          <w:rFonts w:hint="eastAsia" w:ascii="仿宋_GB2312" w:hAnsi="仿宋_GB2312" w:eastAsia="仿宋_GB2312" w:cs="仿宋_GB2312"/>
          <w:sz w:val="32"/>
          <w:szCs w:val="32"/>
        </w:rPr>
        <w:t>万元，占本年支出合计的</w:t>
      </w:r>
      <w:r>
        <w:rPr>
          <w:rFonts w:ascii="仿宋_GB2312" w:hAnsi="仿宋_GB2312" w:eastAsia="仿宋_GB2312" w:cs="仿宋_GB2312"/>
          <w:sz w:val="32"/>
          <w:szCs w:val="32"/>
        </w:rPr>
        <w:t>87.50%</w:t>
      </w:r>
      <w:r>
        <w:rPr>
          <w:rFonts w:hint="eastAsia" w:ascii="仿宋_GB2312" w:hAnsi="仿宋_GB2312" w:eastAsia="仿宋_GB2312" w:cs="仿宋_GB2312"/>
          <w:sz w:val="32"/>
          <w:szCs w:val="32"/>
        </w:rPr>
        <w:t>。与</w:t>
      </w:r>
      <w:r>
        <w:rPr>
          <w:rFonts w:ascii="仿宋_GB2312" w:hAnsi="仿宋_GB2312" w:eastAsia="仿宋_GB2312" w:cs="仿宋_GB2312"/>
          <w:sz w:val="32"/>
          <w:szCs w:val="32"/>
        </w:rPr>
        <w:t>2017</w:t>
      </w:r>
      <w:r>
        <w:rPr>
          <w:rFonts w:hint="eastAsia" w:ascii="仿宋_GB2312" w:hAnsi="仿宋_GB2312" w:eastAsia="仿宋_GB2312" w:cs="仿宋_GB2312"/>
          <w:sz w:val="32"/>
          <w:szCs w:val="32"/>
        </w:rPr>
        <w:t>年相比，一般公共预算财政拨款增加</w:t>
      </w:r>
      <w:r>
        <w:rPr>
          <w:rFonts w:ascii="仿宋_GB2312" w:hAnsi="仿宋_GB2312" w:eastAsia="仿宋_GB2312" w:cs="仿宋_GB2312"/>
          <w:sz w:val="32"/>
          <w:szCs w:val="32"/>
        </w:rPr>
        <w:t>5620.13</w:t>
      </w:r>
      <w:r>
        <w:rPr>
          <w:rFonts w:hint="eastAsia" w:ascii="仿宋_GB2312" w:hAnsi="仿宋_GB2312" w:eastAsia="仿宋_GB2312" w:cs="仿宋_GB2312"/>
          <w:sz w:val="32"/>
          <w:szCs w:val="32"/>
        </w:rPr>
        <w:t>万元，增长</w:t>
      </w:r>
      <w:r>
        <w:rPr>
          <w:rFonts w:ascii="仿宋_GB2312" w:hAnsi="仿宋_GB2312" w:eastAsia="仿宋_GB2312" w:cs="仿宋_GB2312"/>
          <w:sz w:val="32"/>
          <w:szCs w:val="32"/>
        </w:rPr>
        <w:t>76.21%</w:t>
      </w:r>
      <w:r>
        <w:rPr>
          <w:rFonts w:hint="eastAsia" w:ascii="仿宋_GB2312" w:hAnsi="仿宋_GB2312" w:eastAsia="仿宋_GB2312" w:cs="仿宋_GB2312"/>
          <w:sz w:val="32"/>
          <w:szCs w:val="32"/>
        </w:rPr>
        <w:t>。青衣江续建配套与节水改造项目部分标段在</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年整体工程完工，导致水利工程建设支出增长幅度较大。</w:t>
      </w:r>
    </w:p>
    <w:p>
      <w:pPr>
        <w:spacing w:line="600" w:lineRule="exact"/>
        <w:rPr>
          <w:rFonts w:ascii="仿宋_GB2312" w:hAnsi="仿宋_GB2312" w:eastAsia="仿宋_GB2312" w:cs="仿宋_GB2312"/>
          <w:sz w:val="32"/>
          <w:szCs w:val="32"/>
        </w:rPr>
      </w:pPr>
    </w:p>
    <w:p>
      <w:pPr>
        <w:widowControl/>
        <w:jc w:val="left"/>
        <w:rPr>
          <w:rFonts w:ascii="宋体" w:cs="宋体"/>
          <w:kern w:val="0"/>
          <w:sz w:val="24"/>
        </w:rPr>
      </w:pPr>
      <w:r>
        <w:rPr>
          <w:rFonts w:ascii="宋体" w:cs="宋体"/>
          <w:kern w:val="0"/>
          <w:sz w:val="24"/>
        </w:rPr>
        <w:pict>
          <v:shape id="_x0000_i1029" o:spt="75" type="#_x0000_t75" style="height:246pt;width:424.5pt;" filled="f" o:preferrelative="t" stroked="f" coordsize="21600,21600">
            <v:path/>
            <v:fill on="f" focussize="0,0"/>
            <v:stroke on="f" joinstyle="miter"/>
            <v:imagedata r:id="rId15" r:href="rId16" o:title=""/>
            <o:lock v:ext="edit" aspectratio="t"/>
            <w10:wrap type="none"/>
            <w10:anchorlock/>
          </v:shape>
        </w:pict>
      </w:r>
    </w:p>
    <w:p>
      <w:pPr>
        <w:widowControl/>
        <w:jc w:val="left"/>
        <w:rPr>
          <w:rFonts w:ascii="宋体" w:cs="宋体"/>
          <w:kern w:val="0"/>
          <w:sz w:val="24"/>
        </w:rPr>
      </w:pPr>
    </w:p>
    <w:p>
      <w:pPr>
        <w:spacing w:line="600" w:lineRule="exact"/>
        <w:ind w:firstLine="643" w:firstLineChars="200"/>
        <w:outlineLvl w:val="2"/>
        <w:rPr>
          <w:rFonts w:ascii="仿宋" w:hAnsi="仿宋" w:eastAsia="仿宋"/>
          <w:b/>
          <w:color w:val="000000"/>
          <w:sz w:val="32"/>
          <w:szCs w:val="32"/>
        </w:rPr>
      </w:pPr>
      <w:bookmarkStart w:id="35" w:name="_Toc15377211"/>
      <w:r>
        <w:rPr>
          <w:rFonts w:hint="eastAsia" w:ascii="仿宋" w:hAnsi="仿宋" w:eastAsia="仿宋"/>
          <w:b/>
          <w:color w:val="000000"/>
          <w:sz w:val="32"/>
          <w:szCs w:val="32"/>
        </w:rPr>
        <w:t>（二）一般公共预算财政拨款支出决算结构情况</w:t>
      </w:r>
      <w:bookmarkEnd w:id="35"/>
    </w:p>
    <w:p>
      <w:pPr>
        <w:spacing w:line="600" w:lineRule="exact"/>
        <w:ind w:firstLine="640"/>
        <w:rPr>
          <w:rFonts w:ascii="仿宋_GB2312" w:hAnsi="仿宋_GB2312" w:eastAsia="仿宋_GB2312" w:cs="仿宋_GB2312"/>
          <w:sz w:val="32"/>
          <w:szCs w:val="32"/>
        </w:rPr>
      </w:pP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年一般公共预算财政拨款支出</w:t>
      </w:r>
      <w:r>
        <w:rPr>
          <w:rFonts w:ascii="仿宋_GB2312" w:hAnsi="仿宋_GB2312" w:eastAsia="仿宋_GB2312" w:cs="仿宋_GB2312"/>
          <w:sz w:val="32"/>
          <w:szCs w:val="32"/>
        </w:rPr>
        <w:t>12994.97</w:t>
      </w:r>
      <w:r>
        <w:rPr>
          <w:rFonts w:hint="eastAsia" w:ascii="仿宋_GB2312" w:hAnsi="仿宋_GB2312" w:eastAsia="仿宋_GB2312" w:cs="仿宋_GB2312"/>
          <w:sz w:val="32"/>
          <w:szCs w:val="32"/>
        </w:rPr>
        <w:t>万元，主要用于以下方面</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社会保障和就业支出</w:t>
      </w:r>
      <w:r>
        <w:rPr>
          <w:rFonts w:ascii="仿宋_GB2312" w:hAnsi="仿宋_GB2312" w:eastAsia="仿宋_GB2312" w:cs="仿宋_GB2312"/>
          <w:sz w:val="32"/>
          <w:szCs w:val="32"/>
        </w:rPr>
        <w:t>368.26</w:t>
      </w:r>
      <w:r>
        <w:rPr>
          <w:rFonts w:hint="eastAsia" w:ascii="仿宋_GB2312" w:hAnsi="仿宋_GB2312" w:eastAsia="仿宋_GB2312" w:cs="仿宋_GB2312"/>
          <w:sz w:val="32"/>
          <w:szCs w:val="32"/>
        </w:rPr>
        <w:t>万元，占</w:t>
      </w:r>
      <w:r>
        <w:rPr>
          <w:rFonts w:ascii="仿宋_GB2312" w:hAnsi="仿宋_GB2312" w:eastAsia="仿宋_GB2312" w:cs="仿宋_GB2312"/>
          <w:sz w:val="32"/>
          <w:szCs w:val="32"/>
        </w:rPr>
        <w:t>2.83%</w:t>
      </w:r>
      <w:r>
        <w:rPr>
          <w:rFonts w:hint="eastAsia" w:ascii="仿宋_GB2312" w:hAnsi="仿宋_GB2312" w:eastAsia="仿宋_GB2312" w:cs="仿宋_GB2312"/>
          <w:sz w:val="32"/>
          <w:szCs w:val="32"/>
        </w:rPr>
        <w:t>；医疗卫生支出</w:t>
      </w:r>
      <w:r>
        <w:rPr>
          <w:rFonts w:ascii="仿宋_GB2312" w:hAnsi="仿宋_GB2312" w:eastAsia="仿宋_GB2312" w:cs="仿宋_GB2312"/>
          <w:sz w:val="32"/>
          <w:szCs w:val="32"/>
        </w:rPr>
        <w:t>36.08</w:t>
      </w:r>
      <w:r>
        <w:rPr>
          <w:rFonts w:hint="eastAsia" w:ascii="仿宋_GB2312" w:hAnsi="仿宋_GB2312" w:eastAsia="仿宋_GB2312" w:cs="仿宋_GB2312"/>
          <w:sz w:val="32"/>
          <w:szCs w:val="32"/>
        </w:rPr>
        <w:t>万元，占</w:t>
      </w:r>
      <w:r>
        <w:rPr>
          <w:rFonts w:ascii="仿宋_GB2312" w:hAnsi="仿宋_GB2312" w:eastAsia="仿宋_GB2312" w:cs="仿宋_GB2312"/>
          <w:sz w:val="32"/>
          <w:szCs w:val="32"/>
        </w:rPr>
        <w:t>0.28%</w:t>
      </w:r>
      <w:r>
        <w:rPr>
          <w:rFonts w:hint="eastAsia" w:ascii="仿宋_GB2312" w:hAnsi="仿宋_GB2312" w:eastAsia="仿宋_GB2312" w:cs="仿宋_GB2312"/>
          <w:sz w:val="32"/>
          <w:szCs w:val="32"/>
        </w:rPr>
        <w:t>；农林水支出</w:t>
      </w:r>
      <w:r>
        <w:rPr>
          <w:rFonts w:ascii="仿宋_GB2312" w:hAnsi="仿宋_GB2312" w:eastAsia="仿宋_GB2312" w:cs="仿宋_GB2312"/>
          <w:sz w:val="32"/>
          <w:szCs w:val="32"/>
        </w:rPr>
        <w:t>12479.64</w:t>
      </w:r>
      <w:r>
        <w:rPr>
          <w:rFonts w:hint="eastAsia" w:ascii="仿宋_GB2312" w:hAnsi="仿宋_GB2312" w:eastAsia="仿宋_GB2312" w:cs="仿宋_GB2312"/>
          <w:sz w:val="32"/>
          <w:szCs w:val="32"/>
        </w:rPr>
        <w:t>万元，占</w:t>
      </w:r>
      <w:r>
        <w:rPr>
          <w:rFonts w:ascii="仿宋_GB2312" w:hAnsi="仿宋_GB2312" w:eastAsia="仿宋_GB2312" w:cs="仿宋_GB2312"/>
          <w:sz w:val="32"/>
          <w:szCs w:val="32"/>
        </w:rPr>
        <w:t>96.03%</w:t>
      </w:r>
      <w:r>
        <w:rPr>
          <w:rFonts w:hint="eastAsia" w:ascii="仿宋_GB2312" w:hAnsi="仿宋_GB2312" w:eastAsia="仿宋_GB2312" w:cs="仿宋_GB2312"/>
          <w:sz w:val="32"/>
          <w:szCs w:val="32"/>
        </w:rPr>
        <w:t>；住房保障支出</w:t>
      </w:r>
      <w:r>
        <w:rPr>
          <w:rFonts w:ascii="仿宋_GB2312" w:hAnsi="仿宋_GB2312" w:eastAsia="仿宋_GB2312" w:cs="仿宋_GB2312"/>
          <w:sz w:val="32"/>
          <w:szCs w:val="32"/>
        </w:rPr>
        <w:t>110.99</w:t>
      </w:r>
      <w:r>
        <w:rPr>
          <w:rFonts w:hint="eastAsia" w:ascii="仿宋_GB2312" w:hAnsi="仿宋_GB2312" w:eastAsia="仿宋_GB2312" w:cs="仿宋_GB2312"/>
          <w:sz w:val="32"/>
          <w:szCs w:val="32"/>
        </w:rPr>
        <w:t>万元，占</w:t>
      </w:r>
      <w:r>
        <w:rPr>
          <w:rFonts w:ascii="仿宋_GB2312" w:hAnsi="仿宋_GB2312" w:eastAsia="仿宋_GB2312" w:cs="仿宋_GB2312"/>
          <w:sz w:val="32"/>
          <w:szCs w:val="32"/>
        </w:rPr>
        <w:t>0.85%</w:t>
      </w:r>
      <w:r>
        <w:rPr>
          <w:rFonts w:hint="eastAsia" w:ascii="仿宋_GB2312" w:hAnsi="仿宋_GB2312" w:eastAsia="仿宋_GB2312" w:cs="仿宋_GB2312"/>
          <w:sz w:val="32"/>
          <w:szCs w:val="32"/>
        </w:rPr>
        <w:t>。</w:t>
      </w:r>
    </w:p>
    <w:p>
      <w:pPr>
        <w:widowControl/>
        <w:jc w:val="left"/>
        <w:rPr>
          <w:rFonts w:ascii="宋体" w:cs="宋体"/>
          <w:kern w:val="0"/>
          <w:sz w:val="24"/>
        </w:rPr>
      </w:pPr>
      <w:r>
        <w:rPr>
          <w:rFonts w:ascii="宋体" w:cs="宋体"/>
          <w:kern w:val="0"/>
          <w:sz w:val="24"/>
        </w:rPr>
        <w:pict>
          <v:shape id="_x0000_i1030" o:spt="75" type="#_x0000_t75" style="height:24pt;width:24pt;" filled="f" o:preferrelative="t" stroked="f" coordsize="21600,21600">
            <v:path/>
            <v:fill on="f" focussize="0,0"/>
            <v:stroke on="f" joinstyle="miter"/>
            <v:imagedata r:id="rId17" r:href="rId18" o:title=""/>
            <o:lock v:ext="edit" aspectratio="t"/>
            <w10:wrap type="none"/>
            <w10:anchorlock/>
          </v:shape>
        </w:pict>
      </w:r>
      <w:r>
        <w:rPr>
          <w:rFonts w:ascii="宋体" w:cs="宋体"/>
          <w:kern w:val="0"/>
          <w:sz w:val="24"/>
        </w:rPr>
        <w:pict>
          <v:shape id="_x0000_i1031" o:spt="75" type="#_x0000_t75" style="height:216.75pt;width:432.75pt;" filled="f" o:preferrelative="t" stroked="f" coordsize="21600,21600">
            <v:path/>
            <v:fill on="f" focussize="0,0"/>
            <v:stroke on="f" joinstyle="miter"/>
            <v:imagedata r:id="rId19" o:title=""/>
            <o:lock v:ext="edit" aspectratio="t"/>
            <w10:wrap type="none"/>
            <w10:anchorlock/>
          </v:shape>
        </w:pict>
      </w:r>
    </w:p>
    <w:p>
      <w:pPr>
        <w:spacing w:line="600" w:lineRule="exact"/>
        <w:ind w:firstLine="643" w:firstLineChars="200"/>
        <w:outlineLvl w:val="2"/>
        <w:rPr>
          <w:rFonts w:ascii="仿宋" w:hAnsi="仿宋" w:eastAsia="仿宋"/>
          <w:b/>
          <w:color w:val="000000"/>
          <w:sz w:val="32"/>
          <w:szCs w:val="32"/>
        </w:rPr>
      </w:pPr>
      <w:bookmarkStart w:id="36" w:name="_Toc15377212"/>
      <w:r>
        <w:rPr>
          <w:rFonts w:hint="eastAsia" w:ascii="仿宋" w:hAnsi="仿宋" w:eastAsia="仿宋"/>
          <w:b/>
          <w:color w:val="000000"/>
          <w:sz w:val="32"/>
          <w:szCs w:val="32"/>
        </w:rPr>
        <w:t>（三）一般公共预算财政拨款支出决算具体情况</w:t>
      </w:r>
      <w:bookmarkEnd w:id="36"/>
    </w:p>
    <w:p>
      <w:pPr>
        <w:spacing w:line="600" w:lineRule="exact"/>
        <w:ind w:firstLine="640" w:firstLineChars="200"/>
        <w:outlineLvl w:val="2"/>
        <w:rPr>
          <w:rFonts w:ascii="仿宋_GB2312" w:hAnsi="仿宋_GB2312" w:eastAsia="仿宋_GB2312" w:cs="仿宋_GB2312"/>
          <w:sz w:val="32"/>
          <w:szCs w:val="32"/>
        </w:rPr>
      </w:pPr>
      <w:bookmarkStart w:id="37" w:name="_Toc15377444"/>
      <w:bookmarkStart w:id="38" w:name="_Toc15377213"/>
      <w:bookmarkStart w:id="39" w:name="_Toc15378460"/>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年一般公共预算支出决算数为</w:t>
      </w:r>
      <w:r>
        <w:rPr>
          <w:rFonts w:ascii="仿宋_GB2312" w:hAnsi="仿宋_GB2312" w:eastAsia="仿宋_GB2312" w:cs="仿宋_GB2312"/>
          <w:sz w:val="32"/>
          <w:szCs w:val="32"/>
        </w:rPr>
        <w:t>12994.97</w:t>
      </w:r>
      <w:r>
        <w:rPr>
          <w:rFonts w:hint="eastAsia" w:ascii="仿宋_GB2312" w:hAnsi="仿宋_GB2312" w:eastAsia="仿宋_GB2312" w:cs="仿宋_GB2312"/>
          <w:sz w:val="32"/>
          <w:szCs w:val="32"/>
        </w:rPr>
        <w:t>万元，完成预算</w:t>
      </w:r>
      <w:r>
        <w:rPr>
          <w:rFonts w:ascii="仿宋_GB2312" w:hAnsi="仿宋_GB2312" w:eastAsia="仿宋_GB2312" w:cs="仿宋_GB2312"/>
          <w:sz w:val="32"/>
          <w:szCs w:val="32"/>
        </w:rPr>
        <w:t>78.78%</w:t>
      </w:r>
      <w:r>
        <w:rPr>
          <w:rFonts w:hint="eastAsia" w:ascii="仿宋_GB2312" w:hAnsi="仿宋_GB2312" w:eastAsia="仿宋_GB2312" w:cs="仿宋_GB2312"/>
          <w:sz w:val="32"/>
          <w:szCs w:val="32"/>
        </w:rPr>
        <w:t>。其中：</w:t>
      </w:r>
      <w:bookmarkEnd w:id="37"/>
      <w:bookmarkEnd w:id="38"/>
      <w:bookmarkEnd w:id="39"/>
    </w:p>
    <w:p>
      <w:pPr>
        <w:spacing w:line="600" w:lineRule="exact"/>
        <w:ind w:firstLine="643" w:firstLineChars="200"/>
        <w:rPr>
          <w:rFonts w:ascii="仿宋_GB2312" w:hAnsi="仿宋_GB2312" w:eastAsia="仿宋_GB2312" w:cs="仿宋_GB2312"/>
          <w:sz w:val="32"/>
          <w:szCs w:val="32"/>
        </w:rPr>
      </w:pPr>
      <w:r>
        <w:rPr>
          <w:rFonts w:ascii="仿宋_GB2312" w:hAnsi="仿宋_GB2312" w:eastAsia="仿宋_GB2312" w:cs="仿宋_GB2312"/>
          <w:b/>
          <w:sz w:val="32"/>
          <w:szCs w:val="32"/>
        </w:rPr>
        <w:t>1.</w:t>
      </w:r>
      <w:r>
        <w:rPr>
          <w:rFonts w:hint="eastAsia" w:ascii="仿宋_GB2312" w:hAnsi="仿宋_GB2312" w:eastAsia="仿宋_GB2312" w:cs="仿宋_GB2312"/>
          <w:b/>
          <w:sz w:val="32"/>
          <w:szCs w:val="32"/>
        </w:rPr>
        <w:t>社会保障和就业（类）行政事业单位离退休（款）未归口管理的行政单位离退休（项）</w:t>
      </w:r>
      <w:r>
        <w:rPr>
          <w:rFonts w:ascii="仿宋_GB2312" w:hAnsi="仿宋_GB2312" w:eastAsia="仿宋_GB2312" w:cs="仿宋_GB2312"/>
          <w:b/>
          <w:sz w:val="32"/>
          <w:szCs w:val="32"/>
        </w:rPr>
        <w:t>:</w:t>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支出决算为</w:t>
      </w:r>
      <w:r>
        <w:rPr>
          <w:rFonts w:ascii="仿宋_GB2312" w:hAnsi="仿宋_GB2312" w:eastAsia="仿宋_GB2312" w:cs="仿宋_GB2312"/>
          <w:sz w:val="32"/>
          <w:szCs w:val="32"/>
        </w:rPr>
        <w:t>51.33</w:t>
      </w:r>
      <w:r>
        <w:rPr>
          <w:rFonts w:hint="eastAsia" w:ascii="仿宋_GB2312" w:hAnsi="仿宋_GB2312" w:eastAsia="仿宋_GB2312" w:cs="仿宋_GB2312"/>
          <w:sz w:val="32"/>
          <w:szCs w:val="32"/>
        </w:rPr>
        <w:t>万元，完成预算</w:t>
      </w:r>
      <w:r>
        <w:rPr>
          <w:rFonts w:ascii="仿宋_GB2312" w:hAnsi="仿宋_GB2312" w:eastAsia="仿宋_GB2312" w:cs="仿宋_GB2312"/>
          <w:sz w:val="32"/>
          <w:szCs w:val="32"/>
        </w:rPr>
        <w:t>100%</w:t>
      </w:r>
      <w:r>
        <w:rPr>
          <w:rFonts w:hint="eastAsia" w:ascii="仿宋_GB2312" w:hAnsi="仿宋_GB2312" w:eastAsia="仿宋_GB2312" w:cs="仿宋_GB2312"/>
          <w:sz w:val="32"/>
          <w:szCs w:val="32"/>
        </w:rPr>
        <w:t>。</w:t>
      </w:r>
    </w:p>
    <w:p>
      <w:pPr>
        <w:spacing w:line="600" w:lineRule="exact"/>
        <w:ind w:firstLine="645"/>
        <w:rPr>
          <w:rFonts w:ascii="仿宋_GB2312" w:hAnsi="仿宋_GB2312" w:eastAsia="仿宋_GB2312" w:cs="仿宋_GB2312"/>
          <w:sz w:val="32"/>
          <w:szCs w:val="32"/>
        </w:rPr>
      </w:pPr>
      <w:r>
        <w:rPr>
          <w:rFonts w:ascii="仿宋_GB2312" w:hAnsi="仿宋_GB2312" w:eastAsia="仿宋_GB2312" w:cs="仿宋_GB2312"/>
          <w:b/>
          <w:sz w:val="32"/>
          <w:szCs w:val="32"/>
        </w:rPr>
        <w:t>2</w:t>
      </w:r>
      <w:r>
        <w:rPr>
          <w:rFonts w:ascii="仿宋_GB2312" w:hAnsi="仿宋_GB2312" w:eastAsia="仿宋_GB2312" w:cs="仿宋_GB2312"/>
          <w:sz w:val="32"/>
          <w:szCs w:val="32"/>
        </w:rPr>
        <w:t>.</w:t>
      </w:r>
      <w:r>
        <w:rPr>
          <w:rFonts w:hint="eastAsia" w:ascii="仿宋_GB2312" w:hAnsi="仿宋_GB2312" w:eastAsia="仿宋_GB2312" w:cs="仿宋_GB2312"/>
          <w:b/>
          <w:sz w:val="32"/>
          <w:szCs w:val="32"/>
        </w:rPr>
        <w:t>社会保障和就业（类）行政事业单位离退休（款）机关事业单位基本养老保险缴费支出（项）</w:t>
      </w:r>
      <w:r>
        <w:rPr>
          <w:rFonts w:hint="eastAsia" w:ascii="仿宋_GB2312" w:hAnsi="仿宋_GB2312" w:eastAsia="仿宋_GB2312" w:cs="仿宋_GB2312"/>
          <w:sz w:val="32"/>
          <w:szCs w:val="32"/>
        </w:rPr>
        <w:t>：支出决算数为</w:t>
      </w:r>
      <w:r>
        <w:rPr>
          <w:rFonts w:ascii="仿宋_GB2312" w:hAnsi="仿宋_GB2312" w:eastAsia="仿宋_GB2312" w:cs="仿宋_GB2312"/>
          <w:sz w:val="32"/>
          <w:szCs w:val="32"/>
        </w:rPr>
        <w:t>117.14</w:t>
      </w:r>
      <w:r>
        <w:rPr>
          <w:rFonts w:hint="eastAsia" w:ascii="仿宋_GB2312" w:hAnsi="仿宋_GB2312" w:eastAsia="仿宋_GB2312" w:cs="仿宋_GB2312"/>
          <w:sz w:val="32"/>
          <w:szCs w:val="32"/>
        </w:rPr>
        <w:t>万元，完成预算</w:t>
      </w:r>
      <w:r>
        <w:rPr>
          <w:rFonts w:ascii="仿宋_GB2312" w:hAnsi="仿宋_GB2312" w:eastAsia="仿宋_GB2312" w:cs="仿宋_GB2312"/>
          <w:sz w:val="32"/>
          <w:szCs w:val="32"/>
        </w:rPr>
        <w:t>88.88%</w:t>
      </w:r>
      <w:r>
        <w:rPr>
          <w:rFonts w:hint="eastAsia" w:ascii="仿宋_GB2312" w:hAnsi="仿宋_GB2312" w:eastAsia="仿宋_GB2312" w:cs="仿宋_GB2312"/>
          <w:sz w:val="32"/>
          <w:szCs w:val="32"/>
        </w:rPr>
        <w:t>，决算数小于预算数的主要原因是</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年预算中含需预付的</w:t>
      </w:r>
      <w:r>
        <w:rPr>
          <w:rFonts w:ascii="仿宋_GB2312" w:hAnsi="仿宋_GB2312" w:eastAsia="仿宋_GB2312" w:cs="仿宋_GB2312"/>
          <w:sz w:val="32"/>
          <w:szCs w:val="32"/>
        </w:rPr>
        <w:t>2019</w:t>
      </w:r>
      <w:r>
        <w:rPr>
          <w:rFonts w:hint="eastAsia" w:ascii="仿宋_GB2312" w:hAnsi="仿宋_GB2312" w:eastAsia="仿宋_GB2312" w:cs="仿宋_GB2312"/>
          <w:sz w:val="32"/>
          <w:szCs w:val="32"/>
        </w:rPr>
        <w:t>年</w:t>
      </w:r>
      <w:r>
        <w:rPr>
          <w:rFonts w:ascii="仿宋_GB2312" w:hAnsi="仿宋_GB2312" w:eastAsia="仿宋_GB2312" w:cs="仿宋_GB2312"/>
          <w:sz w:val="32"/>
          <w:szCs w:val="32"/>
        </w:rPr>
        <w:t>1-2</w:t>
      </w:r>
      <w:r>
        <w:rPr>
          <w:rFonts w:hint="eastAsia" w:ascii="仿宋_GB2312" w:hAnsi="仿宋_GB2312" w:eastAsia="仿宋_GB2312" w:cs="仿宋_GB2312"/>
          <w:sz w:val="32"/>
          <w:szCs w:val="32"/>
        </w:rPr>
        <w:t>月单位部分养老保险，</w:t>
      </w:r>
      <w:r>
        <w:rPr>
          <w:rFonts w:ascii="宋体" w:cs="宋体"/>
          <w:color w:val="FF0000"/>
          <w:sz w:val="32"/>
          <w:szCs w:val="32"/>
        </w:rPr>
        <w:t> </w:t>
      </w:r>
      <w:r>
        <w:rPr>
          <w:rFonts w:hint="eastAsia" w:ascii="仿宋_GB2312" w:hAnsi="仿宋_GB2312" w:eastAsia="仿宋_GB2312" w:cs="仿宋_GB2312"/>
          <w:sz w:val="32"/>
          <w:szCs w:val="32"/>
        </w:rPr>
        <w:t>实际缴纳时，按照乐山市社会保险事业管理局《关于</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年机关事业单位养老保险基金征缴有关工作的通知》的要求，</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年不再预缴</w:t>
      </w:r>
      <w:r>
        <w:rPr>
          <w:rFonts w:ascii="仿宋_GB2312" w:hAnsi="仿宋_GB2312" w:eastAsia="仿宋_GB2312" w:cs="仿宋_GB2312"/>
          <w:sz w:val="32"/>
          <w:szCs w:val="32"/>
        </w:rPr>
        <w:t>2019</w:t>
      </w:r>
      <w:r>
        <w:rPr>
          <w:rFonts w:hint="eastAsia" w:ascii="仿宋_GB2312" w:hAnsi="仿宋_GB2312" w:eastAsia="仿宋_GB2312" w:cs="仿宋_GB2312"/>
          <w:sz w:val="32"/>
          <w:szCs w:val="32"/>
        </w:rPr>
        <w:t>年</w:t>
      </w:r>
      <w:r>
        <w:rPr>
          <w:rFonts w:ascii="仿宋_GB2312" w:hAnsi="仿宋_GB2312" w:eastAsia="仿宋_GB2312" w:cs="仿宋_GB2312"/>
          <w:sz w:val="32"/>
          <w:szCs w:val="32"/>
        </w:rPr>
        <w:t>1-2</w:t>
      </w:r>
      <w:r>
        <w:rPr>
          <w:rFonts w:hint="eastAsia" w:ascii="仿宋_GB2312" w:hAnsi="仿宋_GB2312" w:eastAsia="仿宋_GB2312" w:cs="仿宋_GB2312"/>
          <w:sz w:val="32"/>
          <w:szCs w:val="32"/>
        </w:rPr>
        <w:t>月单位部分养老保险。</w:t>
      </w:r>
      <w:r>
        <w:rPr>
          <w:rFonts w:ascii="仿宋_GB2312" w:hAnsi="仿宋_GB2312" w:eastAsia="仿宋_GB2312" w:cs="仿宋_GB2312"/>
          <w:sz w:val="32"/>
          <w:szCs w:val="32"/>
        </w:rPr>
        <w:t> </w:t>
      </w:r>
      <w:r>
        <w:rPr>
          <w:rFonts w:ascii="仿宋_GB2312" w:hAnsi="仿宋_GB2312" w:eastAsia="仿宋_GB2312" w:cs="仿宋_GB2312"/>
          <w:sz w:val="32"/>
          <w:szCs w:val="32"/>
        </w:rPr>
        <w:br w:type="textWrapping"/>
      </w:r>
      <w:r>
        <w:rPr>
          <w:rFonts w:ascii="仿宋_GB2312" w:hAnsi="仿宋_GB2312" w:eastAsia="仿宋_GB2312" w:cs="仿宋_GB2312"/>
          <w:sz w:val="32"/>
          <w:szCs w:val="32"/>
        </w:rPr>
        <w:t xml:space="preserve">      </w:t>
      </w:r>
      <w:r>
        <w:rPr>
          <w:rFonts w:ascii="仿宋_GB2312" w:hAnsi="仿宋_GB2312" w:eastAsia="仿宋_GB2312" w:cs="仿宋_GB2312"/>
          <w:b/>
          <w:sz w:val="32"/>
          <w:szCs w:val="32"/>
        </w:rPr>
        <w:t>3.</w:t>
      </w:r>
      <w:r>
        <w:rPr>
          <w:rFonts w:hint="eastAsia" w:ascii="仿宋_GB2312" w:hAnsi="仿宋_GB2312" w:eastAsia="仿宋_GB2312" w:cs="仿宋_GB2312"/>
          <w:b/>
          <w:sz w:val="32"/>
          <w:szCs w:val="32"/>
        </w:rPr>
        <w:t>社会保障和就业（类）行政事业单位离退休（款）机关事业单位职业年金缴费支出（项）：</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年决算数为</w:t>
      </w:r>
      <w:r>
        <w:rPr>
          <w:rFonts w:ascii="仿宋_GB2312" w:hAnsi="仿宋_GB2312" w:eastAsia="仿宋_GB2312" w:cs="仿宋_GB2312"/>
          <w:sz w:val="32"/>
          <w:szCs w:val="32"/>
        </w:rPr>
        <w:t>185.71</w:t>
      </w:r>
      <w:r>
        <w:rPr>
          <w:rFonts w:hint="eastAsia" w:ascii="仿宋_GB2312" w:hAnsi="仿宋_GB2312" w:eastAsia="仿宋_GB2312" w:cs="仿宋_GB2312"/>
          <w:sz w:val="32"/>
          <w:szCs w:val="32"/>
        </w:rPr>
        <w:t>万元，完成预算</w:t>
      </w:r>
      <w:r>
        <w:rPr>
          <w:rFonts w:ascii="仿宋_GB2312" w:hAnsi="仿宋_GB2312" w:eastAsia="仿宋_GB2312" w:cs="仿宋_GB2312"/>
          <w:sz w:val="32"/>
          <w:szCs w:val="32"/>
        </w:rPr>
        <w:t>96.30%</w:t>
      </w:r>
      <w:r>
        <w:rPr>
          <w:rFonts w:hint="eastAsia" w:ascii="仿宋_GB2312" w:hAnsi="仿宋_GB2312" w:eastAsia="仿宋_GB2312" w:cs="仿宋_GB2312"/>
          <w:sz w:val="32"/>
          <w:szCs w:val="32"/>
        </w:rPr>
        <w:t>，决算数小于预算数的主要原因是</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年预算中含需预付的</w:t>
      </w:r>
      <w:r>
        <w:rPr>
          <w:rFonts w:ascii="仿宋_GB2312" w:hAnsi="仿宋_GB2312" w:eastAsia="仿宋_GB2312" w:cs="仿宋_GB2312"/>
          <w:sz w:val="32"/>
          <w:szCs w:val="32"/>
        </w:rPr>
        <w:t>2019</w:t>
      </w:r>
      <w:r>
        <w:rPr>
          <w:rFonts w:hint="eastAsia" w:ascii="仿宋_GB2312" w:hAnsi="仿宋_GB2312" w:eastAsia="仿宋_GB2312" w:cs="仿宋_GB2312"/>
          <w:sz w:val="32"/>
          <w:szCs w:val="32"/>
        </w:rPr>
        <w:t>年</w:t>
      </w:r>
      <w:r>
        <w:rPr>
          <w:rFonts w:ascii="仿宋_GB2312" w:hAnsi="仿宋_GB2312" w:eastAsia="仿宋_GB2312" w:cs="仿宋_GB2312"/>
          <w:sz w:val="32"/>
          <w:szCs w:val="32"/>
        </w:rPr>
        <w:t>1-2</w:t>
      </w:r>
      <w:r>
        <w:rPr>
          <w:rFonts w:hint="eastAsia" w:ascii="仿宋_GB2312" w:hAnsi="仿宋_GB2312" w:eastAsia="仿宋_GB2312" w:cs="仿宋_GB2312"/>
          <w:sz w:val="32"/>
          <w:szCs w:val="32"/>
        </w:rPr>
        <w:t>月单位部分职业年金，</w:t>
      </w:r>
      <w:r>
        <w:rPr>
          <w:rFonts w:ascii="宋体" w:cs="宋体"/>
          <w:color w:val="FF0000"/>
          <w:sz w:val="32"/>
          <w:szCs w:val="32"/>
        </w:rPr>
        <w:t> </w:t>
      </w:r>
      <w:r>
        <w:rPr>
          <w:rFonts w:hint="eastAsia" w:ascii="仿宋_GB2312" w:hAnsi="仿宋_GB2312" w:eastAsia="仿宋_GB2312" w:cs="仿宋_GB2312"/>
          <w:sz w:val="32"/>
          <w:szCs w:val="32"/>
        </w:rPr>
        <w:t>实际缴纳时，按照乐山市社会保险事业管理局《关于</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年机关事业单位养老保险基金征缴有关工作的通知》的要求，</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年不再预缴</w:t>
      </w:r>
      <w:r>
        <w:rPr>
          <w:rFonts w:ascii="仿宋_GB2312" w:hAnsi="仿宋_GB2312" w:eastAsia="仿宋_GB2312" w:cs="仿宋_GB2312"/>
          <w:sz w:val="32"/>
          <w:szCs w:val="32"/>
        </w:rPr>
        <w:t>2019</w:t>
      </w:r>
      <w:r>
        <w:rPr>
          <w:rFonts w:hint="eastAsia" w:ascii="仿宋_GB2312" w:hAnsi="仿宋_GB2312" w:eastAsia="仿宋_GB2312" w:cs="仿宋_GB2312"/>
          <w:sz w:val="32"/>
          <w:szCs w:val="32"/>
        </w:rPr>
        <w:t>年</w:t>
      </w:r>
      <w:r>
        <w:rPr>
          <w:rFonts w:ascii="仿宋_GB2312" w:hAnsi="仿宋_GB2312" w:eastAsia="仿宋_GB2312" w:cs="仿宋_GB2312"/>
          <w:sz w:val="32"/>
          <w:szCs w:val="32"/>
        </w:rPr>
        <w:t>1-2</w:t>
      </w:r>
      <w:r>
        <w:rPr>
          <w:rFonts w:hint="eastAsia" w:ascii="仿宋_GB2312" w:hAnsi="仿宋_GB2312" w:eastAsia="仿宋_GB2312" w:cs="仿宋_GB2312"/>
          <w:sz w:val="32"/>
          <w:szCs w:val="32"/>
        </w:rPr>
        <w:t>月单位部分职业年金。</w:t>
      </w:r>
      <w:r>
        <w:rPr>
          <w:rFonts w:ascii="仿宋_GB2312" w:hAnsi="仿宋_GB2312" w:eastAsia="仿宋_GB2312" w:cs="仿宋_GB2312"/>
          <w:sz w:val="32"/>
          <w:szCs w:val="32"/>
        </w:rPr>
        <w:t> </w:t>
      </w:r>
      <w:r>
        <w:rPr>
          <w:rFonts w:ascii="仿宋_GB2312" w:hAnsi="仿宋_GB2312" w:eastAsia="仿宋_GB2312" w:cs="仿宋_GB2312"/>
          <w:sz w:val="32"/>
          <w:szCs w:val="32"/>
        </w:rPr>
        <w:br w:type="textWrapping"/>
      </w:r>
      <w:r>
        <w:rPr>
          <w:rFonts w:ascii="仿宋_GB2312" w:hAnsi="仿宋_GB2312" w:eastAsia="仿宋_GB2312" w:cs="仿宋_GB2312"/>
          <w:sz w:val="32"/>
          <w:szCs w:val="32"/>
        </w:rPr>
        <w:t xml:space="preserve">    </w:t>
      </w:r>
      <w:r>
        <w:rPr>
          <w:rFonts w:ascii="仿宋_GB2312" w:hAnsi="仿宋_GB2312" w:eastAsia="仿宋_GB2312" w:cs="仿宋_GB2312"/>
          <w:b/>
          <w:sz w:val="32"/>
          <w:szCs w:val="32"/>
        </w:rPr>
        <w:t>4.</w:t>
      </w:r>
      <w:r>
        <w:rPr>
          <w:rFonts w:hint="eastAsia" w:ascii="仿宋_GB2312" w:hAnsi="仿宋_GB2312" w:eastAsia="仿宋_GB2312" w:cs="仿宋_GB2312"/>
          <w:b/>
          <w:sz w:val="32"/>
          <w:szCs w:val="32"/>
        </w:rPr>
        <w:t>社会保障和就业（类）行政事业单位离退休（款）其他行政事业单位离退休支出（项）</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年决算数为</w:t>
      </w:r>
      <w:r>
        <w:rPr>
          <w:rFonts w:ascii="仿宋_GB2312" w:hAnsi="仿宋_GB2312" w:eastAsia="仿宋_GB2312" w:cs="仿宋_GB2312"/>
          <w:sz w:val="32"/>
          <w:szCs w:val="32"/>
        </w:rPr>
        <w:t>12.90</w:t>
      </w:r>
      <w:r>
        <w:rPr>
          <w:rFonts w:hint="eastAsia" w:ascii="仿宋_GB2312" w:hAnsi="仿宋_GB2312" w:eastAsia="仿宋_GB2312" w:cs="仿宋_GB2312"/>
          <w:sz w:val="32"/>
          <w:szCs w:val="32"/>
        </w:rPr>
        <w:t>万元，完成预算</w:t>
      </w:r>
      <w:r>
        <w:rPr>
          <w:rFonts w:ascii="仿宋_GB2312" w:hAnsi="仿宋_GB2312" w:eastAsia="仿宋_GB2312" w:cs="仿宋_GB2312"/>
          <w:sz w:val="32"/>
          <w:szCs w:val="32"/>
        </w:rPr>
        <w:t>100%</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 </w:t>
      </w:r>
      <w:r>
        <w:rPr>
          <w:rFonts w:ascii="仿宋_GB2312" w:hAnsi="仿宋_GB2312" w:eastAsia="仿宋_GB2312" w:cs="仿宋_GB2312"/>
          <w:sz w:val="32"/>
          <w:szCs w:val="32"/>
        </w:rPr>
        <w:br w:type="textWrapping"/>
      </w:r>
      <w:r>
        <w:rPr>
          <w:rFonts w:ascii="仿宋_GB2312" w:hAnsi="仿宋_GB2312" w:eastAsia="仿宋_GB2312" w:cs="仿宋_GB2312"/>
          <w:sz w:val="32"/>
          <w:szCs w:val="32"/>
        </w:rPr>
        <w:t xml:space="preserve">    </w:t>
      </w:r>
      <w:r>
        <w:rPr>
          <w:rFonts w:ascii="仿宋_GB2312" w:hAnsi="仿宋_GB2312" w:eastAsia="仿宋_GB2312" w:cs="仿宋_GB2312"/>
          <w:b/>
          <w:sz w:val="32"/>
          <w:szCs w:val="32"/>
        </w:rPr>
        <w:t>5.</w:t>
      </w:r>
      <w:r>
        <w:rPr>
          <w:rFonts w:hint="eastAsia" w:ascii="仿宋_GB2312" w:hAnsi="仿宋_GB2312" w:eastAsia="仿宋_GB2312" w:cs="仿宋_GB2312"/>
          <w:b/>
          <w:sz w:val="32"/>
          <w:szCs w:val="32"/>
        </w:rPr>
        <w:t>社会保障和就业（类）行政事业单位离退休（款）其他社会保障和就业支出（项）：</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年决算数为</w:t>
      </w:r>
      <w:r>
        <w:rPr>
          <w:rFonts w:ascii="仿宋_GB2312" w:hAnsi="仿宋_GB2312" w:eastAsia="仿宋_GB2312" w:cs="仿宋_GB2312"/>
          <w:sz w:val="32"/>
          <w:szCs w:val="32"/>
        </w:rPr>
        <w:t>1.18</w:t>
      </w:r>
      <w:r>
        <w:rPr>
          <w:rFonts w:hint="eastAsia" w:ascii="仿宋_GB2312" w:hAnsi="仿宋_GB2312" w:eastAsia="仿宋_GB2312" w:cs="仿宋_GB2312"/>
          <w:sz w:val="32"/>
          <w:szCs w:val="32"/>
        </w:rPr>
        <w:t>万元，完成预算</w:t>
      </w:r>
      <w:r>
        <w:rPr>
          <w:rFonts w:ascii="仿宋_GB2312" w:hAnsi="仿宋_GB2312" w:eastAsia="仿宋_GB2312" w:cs="仿宋_GB2312"/>
          <w:sz w:val="32"/>
          <w:szCs w:val="32"/>
        </w:rPr>
        <w:t>100%</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 </w:t>
      </w:r>
      <w:r>
        <w:rPr>
          <w:rFonts w:ascii="仿宋_GB2312" w:hAnsi="仿宋_GB2312" w:eastAsia="仿宋_GB2312" w:cs="仿宋_GB2312"/>
          <w:sz w:val="32"/>
          <w:szCs w:val="32"/>
        </w:rPr>
        <w:br w:type="textWrapping"/>
      </w:r>
      <w:r>
        <w:rPr>
          <w:rFonts w:ascii="仿宋_GB2312" w:hAnsi="仿宋_GB2312" w:eastAsia="仿宋_GB2312" w:cs="仿宋_GB2312"/>
          <w:sz w:val="32"/>
          <w:szCs w:val="32"/>
        </w:rPr>
        <w:t xml:space="preserve">    </w:t>
      </w:r>
      <w:r>
        <w:rPr>
          <w:rFonts w:ascii="仿宋_GB2312" w:hAnsi="仿宋_GB2312" w:eastAsia="仿宋_GB2312" w:cs="仿宋_GB2312"/>
          <w:b/>
          <w:sz w:val="32"/>
          <w:szCs w:val="32"/>
        </w:rPr>
        <w:t>6.</w:t>
      </w:r>
      <w:r>
        <w:rPr>
          <w:rFonts w:hint="eastAsia" w:ascii="仿宋_GB2312" w:hAnsi="仿宋_GB2312" w:eastAsia="仿宋_GB2312" w:cs="仿宋_GB2312"/>
          <w:b/>
          <w:sz w:val="32"/>
          <w:szCs w:val="32"/>
        </w:rPr>
        <w:t>医疗卫生与计划生育（类）行政事业单位医疗（款）行政单位医疗（项）：</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年决算数为</w:t>
      </w:r>
      <w:r>
        <w:rPr>
          <w:rFonts w:ascii="仿宋_GB2312" w:hAnsi="仿宋_GB2312" w:eastAsia="仿宋_GB2312" w:cs="仿宋_GB2312"/>
          <w:sz w:val="32"/>
          <w:szCs w:val="32"/>
        </w:rPr>
        <w:t>17.68</w:t>
      </w:r>
      <w:r>
        <w:rPr>
          <w:rFonts w:hint="eastAsia" w:ascii="仿宋_GB2312" w:hAnsi="仿宋_GB2312" w:eastAsia="仿宋_GB2312" w:cs="仿宋_GB2312"/>
          <w:sz w:val="32"/>
          <w:szCs w:val="32"/>
        </w:rPr>
        <w:t>万元，完成预算</w:t>
      </w:r>
      <w:r>
        <w:rPr>
          <w:rFonts w:ascii="仿宋_GB2312" w:hAnsi="仿宋_GB2312" w:eastAsia="仿宋_GB2312" w:cs="仿宋_GB2312"/>
          <w:sz w:val="32"/>
          <w:szCs w:val="32"/>
        </w:rPr>
        <w:t>100%</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 </w:t>
      </w:r>
      <w:r>
        <w:rPr>
          <w:rFonts w:ascii="仿宋_GB2312" w:hAnsi="仿宋_GB2312" w:eastAsia="仿宋_GB2312" w:cs="仿宋_GB2312"/>
          <w:b/>
          <w:sz w:val="32"/>
          <w:szCs w:val="32"/>
        </w:rPr>
        <w:br w:type="textWrapping"/>
      </w:r>
      <w:r>
        <w:rPr>
          <w:rFonts w:ascii="仿宋_GB2312" w:hAnsi="仿宋_GB2312" w:eastAsia="仿宋_GB2312" w:cs="仿宋_GB2312"/>
          <w:b/>
          <w:sz w:val="32"/>
          <w:szCs w:val="32"/>
        </w:rPr>
        <w:t xml:space="preserve">    7.</w:t>
      </w:r>
      <w:r>
        <w:rPr>
          <w:rFonts w:hint="eastAsia" w:ascii="仿宋_GB2312" w:hAnsi="仿宋_GB2312" w:eastAsia="仿宋_GB2312" w:cs="仿宋_GB2312"/>
          <w:b/>
          <w:sz w:val="32"/>
          <w:szCs w:val="32"/>
        </w:rPr>
        <w:t>医疗卫生与计划生育（类）事业单位医疗（款）事业单位医疗（项）：</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年决算数为</w:t>
      </w:r>
      <w:r>
        <w:rPr>
          <w:rFonts w:ascii="仿宋_GB2312" w:hAnsi="仿宋_GB2312" w:eastAsia="仿宋_GB2312" w:cs="仿宋_GB2312"/>
          <w:sz w:val="32"/>
          <w:szCs w:val="32"/>
        </w:rPr>
        <w:t>18.40</w:t>
      </w:r>
      <w:r>
        <w:rPr>
          <w:rFonts w:hint="eastAsia" w:ascii="仿宋_GB2312" w:hAnsi="仿宋_GB2312" w:eastAsia="仿宋_GB2312" w:cs="仿宋_GB2312"/>
          <w:sz w:val="32"/>
          <w:szCs w:val="32"/>
        </w:rPr>
        <w:t>万元，完成预算</w:t>
      </w:r>
      <w:r>
        <w:rPr>
          <w:rFonts w:ascii="仿宋_GB2312" w:hAnsi="仿宋_GB2312" w:eastAsia="仿宋_GB2312" w:cs="仿宋_GB2312"/>
          <w:sz w:val="32"/>
          <w:szCs w:val="32"/>
        </w:rPr>
        <w:t>100%</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 </w:t>
      </w:r>
      <w:r>
        <w:rPr>
          <w:rFonts w:ascii="仿宋_GB2312" w:hAnsi="仿宋_GB2312" w:eastAsia="仿宋_GB2312" w:cs="仿宋_GB2312"/>
          <w:b/>
          <w:sz w:val="32"/>
          <w:szCs w:val="32"/>
        </w:rPr>
        <w:br w:type="textWrapping"/>
      </w:r>
      <w:r>
        <w:rPr>
          <w:rFonts w:ascii="仿宋_GB2312" w:hAnsi="仿宋_GB2312" w:eastAsia="仿宋_GB2312" w:cs="仿宋_GB2312"/>
          <w:b/>
          <w:sz w:val="32"/>
          <w:szCs w:val="32"/>
        </w:rPr>
        <w:t xml:space="preserve">    8.</w:t>
      </w:r>
      <w:r>
        <w:rPr>
          <w:rFonts w:hint="eastAsia" w:ascii="仿宋_GB2312" w:hAnsi="仿宋_GB2312" w:eastAsia="仿宋_GB2312" w:cs="仿宋_GB2312"/>
          <w:b/>
          <w:sz w:val="32"/>
          <w:szCs w:val="32"/>
        </w:rPr>
        <w:t>农林水支出（类）农业（款）其他农业支出（项）：</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年决算数为</w:t>
      </w:r>
      <w:r>
        <w:rPr>
          <w:rFonts w:ascii="仿宋_GB2312" w:hAnsi="仿宋_GB2312" w:eastAsia="仿宋_GB2312" w:cs="仿宋_GB2312"/>
          <w:sz w:val="32"/>
          <w:szCs w:val="32"/>
        </w:rPr>
        <w:t>9.59</w:t>
      </w:r>
      <w:r>
        <w:rPr>
          <w:rFonts w:hint="eastAsia" w:ascii="仿宋_GB2312" w:hAnsi="仿宋_GB2312" w:eastAsia="仿宋_GB2312" w:cs="仿宋_GB2312"/>
          <w:sz w:val="32"/>
          <w:szCs w:val="32"/>
        </w:rPr>
        <w:t>万元，完成预算</w:t>
      </w:r>
      <w:r>
        <w:rPr>
          <w:rFonts w:ascii="仿宋_GB2312" w:hAnsi="仿宋_GB2312" w:eastAsia="仿宋_GB2312" w:cs="仿宋_GB2312"/>
          <w:sz w:val="32"/>
          <w:szCs w:val="32"/>
        </w:rPr>
        <w:t>100%</w:t>
      </w:r>
      <w:r>
        <w:rPr>
          <w:rFonts w:hint="eastAsia" w:ascii="仿宋_GB2312" w:hAnsi="仿宋_GB2312" w:eastAsia="仿宋_GB2312" w:cs="仿宋_GB2312"/>
          <w:sz w:val="32"/>
          <w:szCs w:val="32"/>
        </w:rPr>
        <w:t>。</w:t>
      </w:r>
      <w:r>
        <w:rPr>
          <w:rFonts w:ascii="仿宋_GB2312" w:hAnsi="仿宋_GB2312" w:eastAsia="仿宋_GB2312" w:cs="仿宋_GB2312"/>
          <w:b/>
          <w:sz w:val="32"/>
          <w:szCs w:val="32"/>
        </w:rPr>
        <w:br w:type="textWrapping"/>
      </w:r>
      <w:r>
        <w:rPr>
          <w:rFonts w:ascii="仿宋_GB2312" w:hAnsi="仿宋_GB2312" w:eastAsia="仿宋_GB2312" w:cs="仿宋_GB2312"/>
          <w:b/>
          <w:sz w:val="32"/>
          <w:szCs w:val="32"/>
        </w:rPr>
        <w:t xml:space="preserve">    9.</w:t>
      </w:r>
      <w:r>
        <w:rPr>
          <w:rFonts w:hint="eastAsia" w:ascii="仿宋_GB2312" w:hAnsi="仿宋_GB2312" w:eastAsia="仿宋_GB2312" w:cs="仿宋_GB2312"/>
          <w:b/>
          <w:sz w:val="32"/>
          <w:szCs w:val="32"/>
        </w:rPr>
        <w:t>农林水支出（类）水利（款）行政运行（项）：</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年决算数为</w:t>
      </w:r>
      <w:r>
        <w:rPr>
          <w:rFonts w:ascii="仿宋_GB2312" w:hAnsi="仿宋_GB2312" w:eastAsia="仿宋_GB2312" w:cs="仿宋_GB2312"/>
          <w:sz w:val="32"/>
          <w:szCs w:val="32"/>
        </w:rPr>
        <w:t>407.23</w:t>
      </w:r>
      <w:r>
        <w:rPr>
          <w:rFonts w:hint="eastAsia" w:ascii="仿宋_GB2312" w:hAnsi="仿宋_GB2312" w:eastAsia="仿宋_GB2312" w:cs="仿宋_GB2312"/>
          <w:sz w:val="32"/>
          <w:szCs w:val="32"/>
        </w:rPr>
        <w:t>万元，完成预算</w:t>
      </w:r>
      <w:r>
        <w:rPr>
          <w:rFonts w:ascii="仿宋_GB2312" w:hAnsi="仿宋_GB2312" w:eastAsia="仿宋_GB2312" w:cs="仿宋_GB2312"/>
          <w:sz w:val="32"/>
          <w:szCs w:val="32"/>
        </w:rPr>
        <w:t>99.29%</w:t>
      </w:r>
      <w:r>
        <w:rPr>
          <w:rFonts w:hint="eastAsia" w:ascii="仿宋_GB2312" w:hAnsi="仿宋_GB2312" w:eastAsia="仿宋_GB2312" w:cs="仿宋_GB2312"/>
          <w:sz w:val="32"/>
          <w:szCs w:val="32"/>
        </w:rPr>
        <w:t>，决算数小于预算数的主要原因是</w:t>
      </w:r>
      <w:r>
        <w:rPr>
          <w:rFonts w:hint="eastAsia" w:ascii="仿宋_GB2312" w:hAnsi="仿宋_GB2312" w:eastAsia="仿宋_GB2312" w:cs="仿宋_GB2312"/>
          <w:color w:val="000000"/>
          <w:sz w:val="32"/>
          <w:szCs w:val="32"/>
        </w:rPr>
        <w:t>部门单位人员变动</w:t>
      </w:r>
      <w:r>
        <w:rPr>
          <w:rFonts w:hint="eastAsia" w:ascii="仿宋_GB2312" w:hAnsi="仿宋_GB2312" w:eastAsia="仿宋_GB2312" w:cs="仿宋_GB2312"/>
          <w:sz w:val="32"/>
          <w:szCs w:val="32"/>
        </w:rPr>
        <w:t>。</w:t>
      </w:r>
      <w:r>
        <w:rPr>
          <w:rFonts w:ascii="宋体" w:cs="宋体"/>
          <w:sz w:val="32"/>
          <w:szCs w:val="32"/>
        </w:rPr>
        <w:t> </w:t>
      </w:r>
      <w:r>
        <w:rPr>
          <w:rFonts w:ascii="仿宋_GB2312" w:hAnsi="仿宋_GB2312" w:eastAsia="仿宋_GB2312" w:cs="仿宋_GB2312"/>
          <w:sz w:val="32"/>
          <w:szCs w:val="32"/>
        </w:rPr>
        <w:br w:type="textWrapping"/>
      </w:r>
      <w:r>
        <w:rPr>
          <w:rFonts w:ascii="仿宋_GB2312" w:hAnsi="仿宋_GB2312" w:eastAsia="仿宋_GB2312" w:cs="仿宋_GB2312"/>
          <w:sz w:val="32"/>
          <w:szCs w:val="32"/>
        </w:rPr>
        <w:t xml:space="preserve">    </w:t>
      </w:r>
      <w:r>
        <w:rPr>
          <w:rFonts w:ascii="仿宋_GB2312" w:hAnsi="仿宋_GB2312" w:eastAsia="仿宋_GB2312" w:cs="仿宋_GB2312"/>
          <w:b/>
          <w:sz w:val="32"/>
          <w:szCs w:val="32"/>
        </w:rPr>
        <w:t>10.</w:t>
      </w:r>
      <w:r>
        <w:rPr>
          <w:rFonts w:hint="eastAsia" w:ascii="仿宋_GB2312" w:hAnsi="仿宋_GB2312" w:eastAsia="仿宋_GB2312" w:cs="仿宋_GB2312"/>
          <w:b/>
          <w:sz w:val="32"/>
          <w:szCs w:val="32"/>
        </w:rPr>
        <w:t>农林水支出（类）水利（款）水利行业业务管理（项）：</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年决算数为</w:t>
      </w:r>
      <w:r>
        <w:rPr>
          <w:rFonts w:ascii="仿宋_GB2312" w:hAnsi="仿宋_GB2312" w:eastAsia="仿宋_GB2312" w:cs="仿宋_GB2312"/>
          <w:sz w:val="32"/>
          <w:szCs w:val="32"/>
        </w:rPr>
        <w:t>1821.87</w:t>
      </w:r>
      <w:r>
        <w:rPr>
          <w:rFonts w:hint="eastAsia" w:ascii="仿宋_GB2312" w:hAnsi="仿宋_GB2312" w:eastAsia="仿宋_GB2312" w:cs="仿宋_GB2312"/>
          <w:sz w:val="32"/>
          <w:szCs w:val="32"/>
        </w:rPr>
        <w:t>万元，完成预算</w:t>
      </w:r>
      <w:r>
        <w:rPr>
          <w:rFonts w:ascii="仿宋_GB2312" w:hAnsi="仿宋_GB2312" w:eastAsia="仿宋_GB2312" w:cs="仿宋_GB2312"/>
          <w:sz w:val="32"/>
          <w:szCs w:val="32"/>
        </w:rPr>
        <w:t>99.07%</w:t>
      </w:r>
      <w:r>
        <w:rPr>
          <w:rFonts w:hint="eastAsia" w:ascii="仿宋_GB2312" w:hAnsi="仿宋_GB2312" w:eastAsia="仿宋_GB2312" w:cs="仿宋_GB2312"/>
          <w:sz w:val="32"/>
          <w:szCs w:val="32"/>
        </w:rPr>
        <w:t>，决算数小于预算数的主要原因是部门单位人员变动。</w:t>
      </w:r>
      <w:r>
        <w:rPr>
          <w:rFonts w:ascii="仿宋_GB2312" w:hAnsi="仿宋_GB2312" w:eastAsia="仿宋_GB2312" w:cs="仿宋_GB2312"/>
          <w:sz w:val="32"/>
          <w:szCs w:val="32"/>
        </w:rPr>
        <w:t> </w:t>
      </w:r>
      <w:r>
        <w:rPr>
          <w:rFonts w:ascii="仿宋_GB2312" w:hAnsi="仿宋_GB2312" w:eastAsia="仿宋_GB2312" w:cs="仿宋_GB2312"/>
          <w:b/>
          <w:sz w:val="32"/>
          <w:szCs w:val="32"/>
        </w:rPr>
        <w:br w:type="textWrapping"/>
      </w:r>
      <w:r>
        <w:rPr>
          <w:rFonts w:ascii="仿宋_GB2312" w:hAnsi="仿宋_GB2312" w:eastAsia="仿宋_GB2312" w:cs="仿宋_GB2312"/>
          <w:b/>
          <w:sz w:val="32"/>
          <w:szCs w:val="32"/>
        </w:rPr>
        <w:t xml:space="preserve">    11.</w:t>
      </w:r>
      <w:r>
        <w:rPr>
          <w:rFonts w:hint="eastAsia" w:ascii="仿宋_GB2312" w:hAnsi="仿宋_GB2312" w:eastAsia="仿宋_GB2312" w:cs="仿宋_GB2312"/>
          <w:b/>
          <w:sz w:val="32"/>
          <w:szCs w:val="32"/>
        </w:rPr>
        <w:t>农林水支出（类）水利（款）水利工程建设（项）：</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年决算数为</w:t>
      </w:r>
      <w:r>
        <w:rPr>
          <w:rFonts w:ascii="仿宋_GB2312" w:hAnsi="仿宋_GB2312" w:eastAsia="仿宋_GB2312" w:cs="仿宋_GB2312"/>
          <w:sz w:val="32"/>
          <w:szCs w:val="32"/>
        </w:rPr>
        <w:t>5945.99</w:t>
      </w:r>
      <w:r>
        <w:rPr>
          <w:rFonts w:hint="eastAsia" w:ascii="仿宋_GB2312" w:hAnsi="仿宋_GB2312" w:eastAsia="仿宋_GB2312" w:cs="仿宋_GB2312"/>
          <w:sz w:val="32"/>
          <w:szCs w:val="32"/>
        </w:rPr>
        <w:t>万元，完成预算</w:t>
      </w:r>
      <w:r>
        <w:rPr>
          <w:rFonts w:ascii="仿宋_GB2312" w:hAnsi="仿宋_GB2312" w:eastAsia="仿宋_GB2312" w:cs="仿宋_GB2312"/>
          <w:sz w:val="32"/>
          <w:szCs w:val="32"/>
        </w:rPr>
        <w:t>52.47%</w:t>
      </w:r>
      <w:r>
        <w:rPr>
          <w:rFonts w:hint="eastAsia" w:ascii="仿宋_GB2312" w:hAnsi="仿宋_GB2312" w:eastAsia="仿宋_GB2312" w:cs="仿宋_GB2312"/>
          <w:sz w:val="32"/>
          <w:szCs w:val="32"/>
        </w:rPr>
        <w:t>，决算数小于预算数的主要原因是青衣江续建配套及节水改造工程部分标段尚未完工。</w:t>
      </w:r>
      <w:r>
        <w:rPr>
          <w:rFonts w:ascii="仿宋_GB2312" w:hAnsi="仿宋_GB2312" w:eastAsia="仿宋_GB2312" w:cs="仿宋_GB2312"/>
          <w:sz w:val="32"/>
          <w:szCs w:val="32"/>
        </w:rPr>
        <w:t> </w:t>
      </w:r>
    </w:p>
    <w:p>
      <w:pPr>
        <w:spacing w:line="600" w:lineRule="exact"/>
        <w:ind w:firstLine="630" w:firstLineChars="196"/>
        <w:rPr>
          <w:rFonts w:ascii="仿宋_GB2312" w:hAnsi="仿宋_GB2312" w:eastAsia="仿宋_GB2312" w:cs="仿宋_GB2312"/>
          <w:sz w:val="32"/>
          <w:szCs w:val="32"/>
        </w:rPr>
      </w:pPr>
      <w:r>
        <w:rPr>
          <w:rFonts w:ascii="仿宋_GB2312" w:hAnsi="仿宋_GB2312" w:eastAsia="仿宋_GB2312" w:cs="仿宋_GB2312"/>
          <w:b/>
          <w:sz w:val="32"/>
          <w:szCs w:val="32"/>
        </w:rPr>
        <w:t>12.</w:t>
      </w:r>
      <w:r>
        <w:rPr>
          <w:rFonts w:hint="eastAsia" w:ascii="仿宋_GB2312" w:hAnsi="仿宋_GB2312" w:eastAsia="仿宋_GB2312" w:cs="仿宋_GB2312"/>
          <w:b/>
          <w:sz w:val="32"/>
          <w:szCs w:val="32"/>
        </w:rPr>
        <w:t>农林水支出（类）水利（款）水利前期工作（项）：</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年决算数为</w:t>
      </w:r>
      <w:r>
        <w:rPr>
          <w:rFonts w:ascii="仿宋_GB2312" w:hAnsi="仿宋_GB2312" w:eastAsia="仿宋_GB2312" w:cs="仿宋_GB2312"/>
          <w:sz w:val="32"/>
          <w:szCs w:val="32"/>
        </w:rPr>
        <w:t>9.98</w:t>
      </w:r>
      <w:r>
        <w:rPr>
          <w:rFonts w:hint="eastAsia" w:ascii="仿宋_GB2312" w:hAnsi="仿宋_GB2312" w:eastAsia="仿宋_GB2312" w:cs="仿宋_GB2312"/>
          <w:sz w:val="32"/>
          <w:szCs w:val="32"/>
        </w:rPr>
        <w:t>万元，完成预算</w:t>
      </w:r>
      <w:r>
        <w:rPr>
          <w:rFonts w:ascii="仿宋_GB2312" w:hAnsi="仿宋_GB2312" w:eastAsia="仿宋_GB2312" w:cs="仿宋_GB2312"/>
          <w:sz w:val="32"/>
          <w:szCs w:val="32"/>
        </w:rPr>
        <w:t>99.80%</w:t>
      </w:r>
      <w:r>
        <w:rPr>
          <w:rFonts w:hint="eastAsia" w:ascii="仿宋_GB2312" w:hAnsi="仿宋_GB2312" w:eastAsia="仿宋_GB2312" w:cs="仿宋_GB2312"/>
          <w:sz w:val="32"/>
          <w:szCs w:val="32"/>
        </w:rPr>
        <w:t>，决算数小于预算数的主要原因是乐山市市管河流及市属水利工程管理范围划定实施方案编制已完工，剩余资金为项目结余资金。</w:t>
      </w:r>
      <w:r>
        <w:rPr>
          <w:rFonts w:ascii="仿宋_GB2312" w:hAnsi="仿宋_GB2312" w:eastAsia="仿宋_GB2312" w:cs="仿宋_GB2312"/>
          <w:sz w:val="32"/>
          <w:szCs w:val="32"/>
        </w:rPr>
        <w:br w:type="textWrapping"/>
      </w:r>
      <w:r>
        <w:rPr>
          <w:rFonts w:ascii="仿宋_GB2312" w:hAnsi="仿宋_GB2312" w:eastAsia="仿宋_GB2312" w:cs="仿宋_GB2312"/>
          <w:sz w:val="32"/>
          <w:szCs w:val="32"/>
        </w:rPr>
        <w:t xml:space="preserve">    </w:t>
      </w:r>
      <w:r>
        <w:rPr>
          <w:rFonts w:ascii="仿宋_GB2312" w:hAnsi="仿宋_GB2312" w:eastAsia="仿宋_GB2312" w:cs="仿宋_GB2312"/>
          <w:b/>
          <w:sz w:val="32"/>
          <w:szCs w:val="32"/>
        </w:rPr>
        <w:t>13.</w:t>
      </w:r>
      <w:r>
        <w:rPr>
          <w:rFonts w:hint="eastAsia" w:ascii="仿宋_GB2312" w:hAnsi="仿宋_GB2312" w:eastAsia="仿宋_GB2312" w:cs="仿宋_GB2312"/>
          <w:b/>
          <w:sz w:val="32"/>
          <w:szCs w:val="32"/>
        </w:rPr>
        <w:t>农林水支出（类）水利（款）水土保持（项）：</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年决算数为</w:t>
      </w:r>
      <w:r>
        <w:rPr>
          <w:rFonts w:ascii="仿宋_GB2312" w:hAnsi="仿宋_GB2312" w:eastAsia="仿宋_GB2312" w:cs="仿宋_GB2312"/>
          <w:sz w:val="32"/>
          <w:szCs w:val="32"/>
        </w:rPr>
        <w:t>102.03</w:t>
      </w:r>
      <w:r>
        <w:rPr>
          <w:rFonts w:hint="eastAsia" w:ascii="仿宋_GB2312" w:hAnsi="仿宋_GB2312" w:eastAsia="仿宋_GB2312" w:cs="仿宋_GB2312"/>
          <w:sz w:val="32"/>
          <w:szCs w:val="32"/>
        </w:rPr>
        <w:t>万元，完成预算</w:t>
      </w:r>
      <w:r>
        <w:rPr>
          <w:rFonts w:ascii="仿宋_GB2312" w:hAnsi="仿宋_GB2312" w:eastAsia="仿宋_GB2312" w:cs="仿宋_GB2312"/>
          <w:sz w:val="32"/>
          <w:szCs w:val="32"/>
        </w:rPr>
        <w:t>87.21%</w:t>
      </w:r>
      <w:r>
        <w:rPr>
          <w:rFonts w:hint="eastAsia" w:ascii="仿宋_GB2312" w:hAnsi="仿宋_GB2312" w:eastAsia="仿宋_GB2312" w:cs="仿宋_GB2312"/>
          <w:sz w:val="32"/>
          <w:szCs w:val="32"/>
        </w:rPr>
        <w:t>，决算数小于预算数的主要原因是高中水库水土保持监测点建设跨年度实施，项目尚未完工。</w:t>
      </w:r>
      <w:r>
        <w:rPr>
          <w:rFonts w:ascii="仿宋_GB2312" w:hAnsi="仿宋_GB2312" w:eastAsia="仿宋_GB2312" w:cs="仿宋_GB2312"/>
          <w:sz w:val="32"/>
          <w:szCs w:val="32"/>
        </w:rPr>
        <w:t> </w:t>
      </w:r>
    </w:p>
    <w:p>
      <w:pPr>
        <w:spacing w:line="600" w:lineRule="exact"/>
        <w:ind w:firstLine="630" w:firstLineChars="196"/>
        <w:rPr>
          <w:rFonts w:ascii="仿宋_GB2312" w:hAnsi="仿宋_GB2312" w:eastAsia="仿宋_GB2312" w:cs="仿宋_GB2312"/>
          <w:sz w:val="32"/>
          <w:szCs w:val="32"/>
        </w:rPr>
      </w:pPr>
      <w:r>
        <w:rPr>
          <w:rFonts w:ascii="仿宋_GB2312" w:hAnsi="仿宋_GB2312" w:eastAsia="仿宋_GB2312" w:cs="仿宋_GB2312"/>
          <w:b/>
          <w:sz w:val="32"/>
          <w:szCs w:val="32"/>
        </w:rPr>
        <w:t>14.</w:t>
      </w:r>
      <w:r>
        <w:rPr>
          <w:rFonts w:hint="eastAsia" w:ascii="仿宋_GB2312" w:hAnsi="仿宋_GB2312" w:eastAsia="仿宋_GB2312" w:cs="仿宋_GB2312"/>
          <w:b/>
          <w:sz w:val="32"/>
          <w:szCs w:val="32"/>
        </w:rPr>
        <w:t>农林水支出（类）水利（款）水资源节约管理与保护（项）：</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年决算数</w:t>
      </w:r>
      <w:r>
        <w:rPr>
          <w:rFonts w:ascii="仿宋_GB2312" w:hAnsi="仿宋_GB2312" w:eastAsia="仿宋_GB2312" w:cs="仿宋_GB2312"/>
          <w:sz w:val="32"/>
          <w:szCs w:val="32"/>
        </w:rPr>
        <w:t>47.38</w:t>
      </w:r>
      <w:r>
        <w:rPr>
          <w:rFonts w:hint="eastAsia" w:ascii="仿宋_GB2312" w:hAnsi="仿宋_GB2312" w:eastAsia="仿宋_GB2312" w:cs="仿宋_GB2312"/>
          <w:sz w:val="32"/>
          <w:szCs w:val="32"/>
        </w:rPr>
        <w:t>万元，完成预算</w:t>
      </w:r>
      <w:r>
        <w:rPr>
          <w:rFonts w:ascii="仿宋_GB2312" w:hAnsi="仿宋_GB2312" w:eastAsia="仿宋_GB2312" w:cs="仿宋_GB2312"/>
          <w:sz w:val="32"/>
          <w:szCs w:val="32"/>
        </w:rPr>
        <w:t>100%</w:t>
      </w:r>
      <w:r>
        <w:rPr>
          <w:rFonts w:hint="eastAsia" w:ascii="仿宋_GB2312" w:hAnsi="仿宋_GB2312" w:eastAsia="仿宋_GB2312" w:cs="仿宋_GB2312"/>
          <w:sz w:val="32"/>
          <w:szCs w:val="32"/>
        </w:rPr>
        <w:t>。</w:t>
      </w:r>
      <w:r>
        <w:rPr>
          <w:rFonts w:ascii="仿宋_GB2312" w:hAnsi="仿宋_GB2312" w:eastAsia="仿宋_GB2312" w:cs="仿宋_GB2312"/>
          <w:sz w:val="32"/>
          <w:szCs w:val="32"/>
        </w:rPr>
        <w:br w:type="textWrapping"/>
      </w:r>
      <w:r>
        <w:rPr>
          <w:rFonts w:ascii="仿宋_GB2312" w:hAnsi="仿宋_GB2312" w:eastAsia="仿宋_GB2312" w:cs="仿宋_GB2312"/>
          <w:sz w:val="32"/>
          <w:szCs w:val="32"/>
        </w:rPr>
        <w:t xml:space="preserve">    </w:t>
      </w:r>
      <w:r>
        <w:rPr>
          <w:rFonts w:ascii="仿宋_GB2312" w:hAnsi="仿宋_GB2312" w:eastAsia="仿宋_GB2312" w:cs="仿宋_GB2312"/>
          <w:b/>
          <w:sz w:val="32"/>
          <w:szCs w:val="32"/>
        </w:rPr>
        <w:t>15.</w:t>
      </w:r>
      <w:r>
        <w:rPr>
          <w:rFonts w:hint="eastAsia" w:ascii="仿宋_GB2312" w:hAnsi="仿宋_GB2312" w:eastAsia="仿宋_GB2312" w:cs="仿宋_GB2312"/>
          <w:b/>
          <w:sz w:val="32"/>
          <w:szCs w:val="32"/>
        </w:rPr>
        <w:t>农林水支出（类）水利（款）水文测报（项）：</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年决算数为</w:t>
      </w:r>
      <w:r>
        <w:rPr>
          <w:rFonts w:ascii="仿宋_GB2312" w:hAnsi="仿宋_GB2312" w:eastAsia="仿宋_GB2312" w:cs="仿宋_GB2312"/>
          <w:sz w:val="32"/>
          <w:szCs w:val="32"/>
        </w:rPr>
        <w:t>86.11</w:t>
      </w:r>
      <w:r>
        <w:rPr>
          <w:rFonts w:hint="eastAsia" w:ascii="仿宋_GB2312" w:hAnsi="仿宋_GB2312" w:eastAsia="仿宋_GB2312" w:cs="仿宋_GB2312"/>
          <w:sz w:val="32"/>
          <w:szCs w:val="32"/>
        </w:rPr>
        <w:t>万元，完成预算</w:t>
      </w:r>
      <w:r>
        <w:rPr>
          <w:rFonts w:ascii="仿宋_GB2312" w:hAnsi="仿宋_GB2312" w:eastAsia="仿宋_GB2312" w:cs="仿宋_GB2312"/>
          <w:sz w:val="32"/>
          <w:szCs w:val="32"/>
        </w:rPr>
        <w:t>100%</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 </w:t>
      </w:r>
      <w:r>
        <w:rPr>
          <w:rFonts w:ascii="仿宋_GB2312" w:hAnsi="仿宋_GB2312" w:eastAsia="仿宋_GB2312" w:cs="仿宋_GB2312"/>
          <w:sz w:val="32"/>
          <w:szCs w:val="32"/>
        </w:rPr>
        <w:br w:type="textWrapping"/>
      </w:r>
      <w:r>
        <w:rPr>
          <w:rFonts w:ascii="仿宋_GB2312" w:hAnsi="仿宋_GB2312" w:eastAsia="仿宋_GB2312" w:cs="仿宋_GB2312"/>
          <w:b/>
          <w:sz w:val="32"/>
          <w:szCs w:val="32"/>
        </w:rPr>
        <w:t xml:space="preserve">    16.</w:t>
      </w:r>
      <w:r>
        <w:rPr>
          <w:rFonts w:hint="eastAsia" w:ascii="仿宋_GB2312" w:hAnsi="仿宋_GB2312" w:eastAsia="仿宋_GB2312" w:cs="仿宋_GB2312"/>
          <w:b/>
          <w:sz w:val="32"/>
          <w:szCs w:val="32"/>
        </w:rPr>
        <w:t>农林水支出（类）水利（款）防汛（项）：</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年决算数为</w:t>
      </w:r>
      <w:r>
        <w:rPr>
          <w:rFonts w:ascii="仿宋_GB2312" w:hAnsi="仿宋_GB2312" w:eastAsia="仿宋_GB2312" w:cs="仿宋_GB2312"/>
          <w:sz w:val="32"/>
          <w:szCs w:val="32"/>
        </w:rPr>
        <w:t>20</w:t>
      </w:r>
      <w:r>
        <w:rPr>
          <w:rFonts w:hint="eastAsia" w:ascii="仿宋_GB2312" w:hAnsi="仿宋_GB2312" w:eastAsia="仿宋_GB2312" w:cs="仿宋_GB2312"/>
          <w:sz w:val="32"/>
          <w:szCs w:val="32"/>
        </w:rPr>
        <w:t>万元，完成预算</w:t>
      </w:r>
      <w:r>
        <w:rPr>
          <w:rFonts w:ascii="仿宋_GB2312" w:hAnsi="仿宋_GB2312" w:eastAsia="仿宋_GB2312" w:cs="仿宋_GB2312"/>
          <w:sz w:val="32"/>
          <w:szCs w:val="32"/>
        </w:rPr>
        <w:t>100%</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 </w:t>
      </w:r>
      <w:r>
        <w:rPr>
          <w:rFonts w:ascii="仿宋_GB2312" w:hAnsi="仿宋_GB2312" w:eastAsia="仿宋_GB2312" w:cs="仿宋_GB2312"/>
          <w:sz w:val="32"/>
          <w:szCs w:val="32"/>
        </w:rPr>
        <w:br w:type="textWrapping"/>
      </w:r>
      <w:r>
        <w:rPr>
          <w:rFonts w:ascii="仿宋_GB2312" w:hAnsi="仿宋_GB2312" w:eastAsia="仿宋_GB2312" w:cs="仿宋_GB2312"/>
          <w:b/>
          <w:sz w:val="32"/>
          <w:szCs w:val="32"/>
        </w:rPr>
        <w:t xml:space="preserve">    17.</w:t>
      </w:r>
      <w:r>
        <w:rPr>
          <w:rFonts w:hint="eastAsia" w:ascii="仿宋_GB2312" w:hAnsi="仿宋_GB2312" w:eastAsia="仿宋_GB2312" w:cs="仿宋_GB2312"/>
          <w:b/>
          <w:sz w:val="32"/>
          <w:szCs w:val="32"/>
        </w:rPr>
        <w:t>农林水支出（类）水利（款）农田水利（项）：</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年决算数为</w:t>
      </w:r>
      <w:r>
        <w:rPr>
          <w:rFonts w:ascii="仿宋_GB2312" w:hAnsi="仿宋_GB2312" w:eastAsia="仿宋_GB2312" w:cs="仿宋_GB2312"/>
          <w:sz w:val="32"/>
          <w:szCs w:val="32"/>
        </w:rPr>
        <w:t>43.99</w:t>
      </w:r>
      <w:r>
        <w:rPr>
          <w:rFonts w:hint="eastAsia" w:ascii="仿宋_GB2312" w:hAnsi="仿宋_GB2312" w:eastAsia="仿宋_GB2312" w:cs="仿宋_GB2312"/>
          <w:sz w:val="32"/>
          <w:szCs w:val="32"/>
        </w:rPr>
        <w:t>万元，完成预算</w:t>
      </w:r>
      <w:r>
        <w:rPr>
          <w:rFonts w:ascii="仿宋_GB2312" w:hAnsi="仿宋_GB2312" w:eastAsia="仿宋_GB2312" w:cs="仿宋_GB2312"/>
          <w:sz w:val="32"/>
          <w:szCs w:val="32"/>
        </w:rPr>
        <w:t>100%</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 </w:t>
      </w:r>
    </w:p>
    <w:p>
      <w:pPr>
        <w:spacing w:line="600" w:lineRule="exact"/>
        <w:ind w:firstLine="630" w:firstLineChars="196"/>
        <w:rPr>
          <w:rFonts w:ascii="仿宋_GB2312" w:hAnsi="仿宋_GB2312" w:eastAsia="仿宋_GB2312" w:cs="仿宋_GB2312"/>
          <w:color w:val="000000"/>
          <w:sz w:val="32"/>
          <w:szCs w:val="32"/>
        </w:rPr>
      </w:pPr>
      <w:r>
        <w:rPr>
          <w:rFonts w:ascii="仿宋_GB2312" w:hAnsi="仿宋_GB2312" w:eastAsia="仿宋_GB2312" w:cs="仿宋_GB2312"/>
          <w:b/>
          <w:sz w:val="32"/>
          <w:szCs w:val="32"/>
        </w:rPr>
        <w:t>18.</w:t>
      </w:r>
      <w:r>
        <w:rPr>
          <w:rFonts w:hint="eastAsia" w:ascii="仿宋_GB2312" w:hAnsi="仿宋_GB2312" w:eastAsia="仿宋_GB2312" w:cs="仿宋_GB2312"/>
          <w:b/>
          <w:sz w:val="32"/>
          <w:szCs w:val="32"/>
        </w:rPr>
        <w:t>农林水支出（类）水利（款）江河湖库水系综合整治（项）</w:t>
      </w:r>
      <w:r>
        <w:rPr>
          <w:rFonts w:hint="eastAsia" w:ascii="仿宋_GB2312" w:hAnsi="仿宋_GB2312" w:eastAsia="仿宋_GB2312" w:cs="仿宋_GB2312"/>
          <w:b/>
          <w:color w:val="000000"/>
          <w:sz w:val="32"/>
          <w:szCs w:val="32"/>
        </w:rPr>
        <w:t>：</w:t>
      </w:r>
      <w:r>
        <w:rPr>
          <w:rFonts w:ascii="仿宋_GB2312" w:hAnsi="仿宋_GB2312" w:eastAsia="仿宋_GB2312" w:cs="仿宋_GB2312"/>
          <w:color w:val="000000"/>
          <w:sz w:val="32"/>
          <w:szCs w:val="32"/>
        </w:rPr>
        <w:t>2018</w:t>
      </w:r>
      <w:r>
        <w:rPr>
          <w:rFonts w:hint="eastAsia" w:ascii="仿宋_GB2312" w:hAnsi="仿宋_GB2312" w:eastAsia="仿宋_GB2312" w:cs="仿宋_GB2312"/>
          <w:color w:val="000000"/>
          <w:sz w:val="32"/>
          <w:szCs w:val="32"/>
        </w:rPr>
        <w:t>年决算数为</w:t>
      </w:r>
      <w:r>
        <w:rPr>
          <w:rFonts w:ascii="仿宋_GB2312" w:hAnsi="仿宋_GB2312" w:eastAsia="仿宋_GB2312" w:cs="仿宋_GB2312"/>
          <w:color w:val="000000"/>
          <w:sz w:val="32"/>
          <w:szCs w:val="32"/>
        </w:rPr>
        <w:t>21.5</w:t>
      </w:r>
      <w:r>
        <w:rPr>
          <w:rFonts w:hint="eastAsia" w:ascii="仿宋_GB2312" w:hAnsi="仿宋_GB2312" w:eastAsia="仿宋_GB2312" w:cs="仿宋_GB2312"/>
          <w:color w:val="000000"/>
          <w:sz w:val="32"/>
          <w:szCs w:val="32"/>
        </w:rPr>
        <w:t>万元，完成预算</w:t>
      </w:r>
      <w:r>
        <w:rPr>
          <w:rFonts w:ascii="仿宋_GB2312" w:hAnsi="仿宋_GB2312" w:eastAsia="仿宋_GB2312" w:cs="仿宋_GB2312"/>
          <w:color w:val="000000"/>
          <w:sz w:val="32"/>
          <w:szCs w:val="32"/>
        </w:rPr>
        <w:t>8.40%</w:t>
      </w:r>
      <w:r>
        <w:rPr>
          <w:rFonts w:hint="eastAsia" w:ascii="仿宋_GB2312" w:hAnsi="仿宋_GB2312" w:eastAsia="仿宋_GB2312" w:cs="仿宋_GB2312"/>
          <w:color w:val="000000"/>
          <w:sz w:val="32"/>
          <w:szCs w:val="32"/>
        </w:rPr>
        <w:t>，决算数小于预算数的主要原因是项目资金于</w:t>
      </w:r>
      <w:r>
        <w:rPr>
          <w:rFonts w:ascii="仿宋_GB2312" w:hAnsi="仿宋_GB2312" w:eastAsia="仿宋_GB2312" w:cs="仿宋_GB2312"/>
          <w:color w:val="000000"/>
          <w:sz w:val="32"/>
          <w:szCs w:val="32"/>
        </w:rPr>
        <w:t>12</w:t>
      </w:r>
      <w:r>
        <w:rPr>
          <w:rFonts w:hint="eastAsia" w:ascii="仿宋_GB2312" w:hAnsi="仿宋_GB2312" w:eastAsia="仿宋_GB2312" w:cs="仿宋_GB2312"/>
          <w:color w:val="000000"/>
          <w:sz w:val="32"/>
          <w:szCs w:val="32"/>
        </w:rPr>
        <w:t>月下达，项目采购程序较长且耗时，导致年度资金支付率较低。</w:t>
      </w:r>
    </w:p>
    <w:p>
      <w:pPr>
        <w:spacing w:line="600" w:lineRule="exact"/>
        <w:ind w:firstLine="627" w:firstLineChars="196"/>
        <w:rPr>
          <w:rFonts w:ascii="仿宋_GB2312" w:hAnsi="仿宋_GB2312" w:eastAsia="仿宋_GB2312" w:cs="仿宋_GB2312"/>
          <w:sz w:val="32"/>
          <w:szCs w:val="32"/>
        </w:rPr>
      </w:pPr>
      <w:r>
        <w:rPr>
          <w:rFonts w:ascii="仿宋_GB2312" w:hAnsi="仿宋_GB2312" w:eastAsia="仿宋_GB2312" w:cs="仿宋_GB2312"/>
          <w:sz w:val="32"/>
          <w:szCs w:val="32"/>
        </w:rPr>
        <w:t xml:space="preserve"> </w:t>
      </w:r>
      <w:r>
        <w:rPr>
          <w:rFonts w:ascii="仿宋_GB2312" w:hAnsi="仿宋_GB2312" w:eastAsia="仿宋_GB2312" w:cs="仿宋_GB2312"/>
          <w:b/>
          <w:sz w:val="32"/>
          <w:szCs w:val="32"/>
        </w:rPr>
        <w:t>19.</w:t>
      </w:r>
      <w:r>
        <w:rPr>
          <w:rFonts w:hint="eastAsia" w:ascii="仿宋_GB2312" w:hAnsi="仿宋_GB2312" w:eastAsia="仿宋_GB2312" w:cs="仿宋_GB2312"/>
          <w:b/>
          <w:sz w:val="32"/>
          <w:szCs w:val="32"/>
        </w:rPr>
        <w:t>农林水支出（类）水利（款）其他水利支出（项）：</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年决算数为</w:t>
      </w:r>
      <w:r>
        <w:rPr>
          <w:rFonts w:ascii="仿宋_GB2312" w:hAnsi="仿宋_GB2312" w:eastAsia="仿宋_GB2312" w:cs="仿宋_GB2312"/>
          <w:sz w:val="32"/>
          <w:szCs w:val="32"/>
        </w:rPr>
        <w:t>3963.97</w:t>
      </w:r>
      <w:r>
        <w:rPr>
          <w:rFonts w:hint="eastAsia" w:ascii="仿宋_GB2312" w:hAnsi="仿宋_GB2312" w:eastAsia="仿宋_GB2312" w:cs="仿宋_GB2312"/>
          <w:sz w:val="32"/>
          <w:szCs w:val="32"/>
        </w:rPr>
        <w:t>万元，完成预算</w:t>
      </w:r>
      <w:r>
        <w:rPr>
          <w:rFonts w:ascii="仿宋_GB2312" w:hAnsi="仿宋_GB2312" w:eastAsia="仿宋_GB2312" w:cs="仿宋_GB2312"/>
          <w:sz w:val="32"/>
          <w:szCs w:val="32"/>
        </w:rPr>
        <w:t>91.09%</w:t>
      </w:r>
      <w:r>
        <w:rPr>
          <w:rFonts w:hint="eastAsia" w:ascii="仿宋_GB2312" w:hAnsi="仿宋_GB2312" w:eastAsia="仿宋_GB2312" w:cs="仿宋_GB2312"/>
          <w:sz w:val="32"/>
          <w:szCs w:val="32"/>
        </w:rPr>
        <w:t>，决算数小于预算数的主要原因是部门跨年度实施的水利项目尚未完工。</w:t>
      </w:r>
    </w:p>
    <w:p>
      <w:pPr>
        <w:spacing w:line="600" w:lineRule="exact"/>
        <w:rPr>
          <w:rFonts w:ascii="仿宋_GB2312" w:hAnsi="仿宋_GB2312" w:eastAsia="仿宋_GB2312" w:cs="仿宋_GB2312"/>
          <w:color w:val="FF0000"/>
          <w:sz w:val="32"/>
          <w:szCs w:val="32"/>
        </w:rPr>
      </w:pPr>
      <w:r>
        <w:rPr>
          <w:rFonts w:ascii="仿宋_GB2312" w:hAnsi="仿宋_GB2312" w:eastAsia="仿宋_GB2312" w:cs="仿宋_GB2312"/>
          <w:b/>
          <w:sz w:val="32"/>
          <w:szCs w:val="32"/>
        </w:rPr>
        <w:t xml:space="preserve">    20.</w:t>
      </w:r>
      <w:r>
        <w:rPr>
          <w:rFonts w:hint="eastAsia" w:ascii="仿宋_GB2312" w:hAnsi="仿宋_GB2312" w:eastAsia="仿宋_GB2312" w:cs="仿宋_GB2312"/>
          <w:b/>
          <w:sz w:val="32"/>
          <w:szCs w:val="32"/>
        </w:rPr>
        <w:t>住房保障支出（类）住房改革支出（款）住房公积金（项）</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年决算数为</w:t>
      </w:r>
      <w:r>
        <w:rPr>
          <w:rFonts w:ascii="仿宋_GB2312" w:hAnsi="仿宋_GB2312" w:eastAsia="仿宋_GB2312" w:cs="仿宋_GB2312"/>
          <w:sz w:val="32"/>
          <w:szCs w:val="32"/>
        </w:rPr>
        <w:t>101.96</w:t>
      </w:r>
      <w:r>
        <w:rPr>
          <w:rFonts w:hint="eastAsia" w:ascii="仿宋_GB2312" w:hAnsi="仿宋_GB2312" w:eastAsia="仿宋_GB2312" w:cs="仿宋_GB2312"/>
          <w:sz w:val="32"/>
          <w:szCs w:val="32"/>
        </w:rPr>
        <w:t>万元，完成预算</w:t>
      </w:r>
      <w:r>
        <w:rPr>
          <w:rFonts w:ascii="仿宋_GB2312" w:hAnsi="仿宋_GB2312" w:eastAsia="仿宋_GB2312" w:cs="仿宋_GB2312"/>
          <w:sz w:val="32"/>
          <w:szCs w:val="32"/>
        </w:rPr>
        <w:t>100%</w:t>
      </w:r>
      <w:r>
        <w:rPr>
          <w:rFonts w:hint="eastAsia" w:ascii="仿宋_GB2312" w:hAnsi="仿宋_GB2312" w:eastAsia="仿宋_GB2312" w:cs="仿宋_GB2312"/>
          <w:sz w:val="32"/>
          <w:szCs w:val="32"/>
        </w:rPr>
        <w:t>。</w:t>
      </w:r>
      <w:r>
        <w:rPr>
          <w:rFonts w:ascii="仿宋_GB2312" w:hAnsi="仿宋_GB2312" w:eastAsia="仿宋_GB2312" w:cs="仿宋_GB2312"/>
          <w:b/>
          <w:sz w:val="32"/>
          <w:szCs w:val="32"/>
        </w:rPr>
        <w:t> </w:t>
      </w:r>
      <w:r>
        <w:rPr>
          <w:rFonts w:hint="eastAsia" w:ascii="仿宋_GB2312" w:hAnsi="仿宋_GB2312" w:eastAsia="仿宋_GB2312" w:cs="仿宋_GB2312"/>
          <w:sz w:val="32"/>
          <w:szCs w:val="32"/>
        </w:rPr>
        <w:t>。</w:t>
      </w:r>
    </w:p>
    <w:p>
      <w:pPr>
        <w:tabs>
          <w:tab w:val="right" w:pos="8306"/>
        </w:tabs>
        <w:spacing w:line="600" w:lineRule="exact"/>
        <w:ind w:firstLine="640"/>
        <w:outlineLvl w:val="1"/>
        <w:rPr>
          <w:rStyle w:val="20"/>
        </w:rPr>
      </w:pPr>
      <w:bookmarkStart w:id="40" w:name="_Toc15396608"/>
      <w:bookmarkStart w:id="41" w:name="_Toc15377214"/>
      <w:r>
        <w:rPr>
          <w:rFonts w:hint="eastAsia" w:ascii="黑体" w:eastAsia="黑体"/>
          <w:color w:val="000000"/>
          <w:sz w:val="32"/>
          <w:szCs w:val="32"/>
        </w:rPr>
        <w:t>六</w:t>
      </w:r>
      <w:r>
        <w:rPr>
          <w:rFonts w:hint="eastAsia" w:ascii="黑体" w:eastAsia="黑体"/>
          <w:b/>
          <w:color w:val="000000"/>
          <w:sz w:val="32"/>
          <w:szCs w:val="32"/>
        </w:rPr>
        <w:t>、</w:t>
      </w:r>
      <w:r>
        <w:rPr>
          <w:rFonts w:hint="eastAsia" w:ascii="黑体" w:hAnsi="黑体" w:eastAsia="黑体"/>
          <w:b/>
          <w:color w:val="000000"/>
          <w:sz w:val="32"/>
          <w:szCs w:val="32"/>
        </w:rPr>
        <w:t>一</w:t>
      </w:r>
      <w:r>
        <w:rPr>
          <w:rStyle w:val="20"/>
          <w:rFonts w:hint="eastAsia" w:ascii="黑体" w:hAnsi="黑体" w:eastAsia="黑体"/>
          <w:b w:val="0"/>
        </w:rPr>
        <w:t>般公共预算财政拨款基本支出决算情况说明</w:t>
      </w:r>
      <w:bookmarkEnd w:id="40"/>
      <w:bookmarkEnd w:id="41"/>
      <w:r>
        <w:rPr>
          <w:rStyle w:val="20"/>
          <w:rFonts w:ascii="黑体" w:hAnsi="黑体" w:eastAsia="黑体"/>
          <w:b w:val="0"/>
        </w:rPr>
        <w:tab/>
      </w:r>
    </w:p>
    <w:p>
      <w:pPr>
        <w:ind w:firstLine="640" w:firstLineChars="200"/>
        <w:rPr>
          <w:rFonts w:ascii="仿宋_GB2312" w:eastAsia="仿宋_GB2312"/>
          <w:color w:val="000000"/>
          <w:sz w:val="32"/>
          <w:szCs w:val="32"/>
        </w:rPr>
      </w:pPr>
      <w:r>
        <w:rPr>
          <w:rFonts w:ascii="仿宋_GB2312" w:eastAsia="仿宋_GB2312"/>
          <w:color w:val="000000"/>
          <w:sz w:val="32"/>
          <w:szCs w:val="32"/>
        </w:rPr>
        <w:t>2018</w:t>
      </w:r>
      <w:r>
        <w:rPr>
          <w:rFonts w:hint="eastAsia" w:ascii="仿宋_GB2312" w:eastAsia="仿宋_GB2312"/>
          <w:color w:val="000000"/>
          <w:sz w:val="32"/>
          <w:szCs w:val="32"/>
        </w:rPr>
        <w:t>年一般公共预算财政拨款基本支出</w:t>
      </w:r>
      <w:r>
        <w:rPr>
          <w:rFonts w:ascii="仿宋_GB2312" w:eastAsia="仿宋_GB2312"/>
          <w:color w:val="000000"/>
          <w:sz w:val="32"/>
          <w:szCs w:val="32"/>
        </w:rPr>
        <w:t>2743.23</w:t>
      </w:r>
      <w:r>
        <w:rPr>
          <w:rFonts w:hint="eastAsia" w:ascii="仿宋_GB2312" w:eastAsia="仿宋_GB2312"/>
          <w:color w:val="000000"/>
          <w:sz w:val="32"/>
          <w:szCs w:val="32"/>
        </w:rPr>
        <w:t>万元，其中：</w:t>
      </w:r>
    </w:p>
    <w:p>
      <w:pPr>
        <w:spacing w:line="600" w:lineRule="exact"/>
        <w:ind w:firstLine="645"/>
        <w:rPr>
          <w:rFonts w:ascii="仿宋_GB2312" w:eastAsia="仿宋_GB2312"/>
          <w:color w:val="000000"/>
          <w:sz w:val="32"/>
          <w:szCs w:val="32"/>
        </w:rPr>
      </w:pPr>
      <w:r>
        <w:rPr>
          <w:rFonts w:hint="eastAsia" w:ascii="仿宋_GB2312" w:eastAsia="仿宋_GB2312"/>
          <w:color w:val="000000"/>
          <w:sz w:val="32"/>
          <w:szCs w:val="32"/>
        </w:rPr>
        <w:t>人员经费</w:t>
      </w:r>
      <w:r>
        <w:rPr>
          <w:rFonts w:ascii="仿宋_GB2312" w:eastAsia="仿宋_GB2312"/>
          <w:color w:val="000000"/>
          <w:sz w:val="32"/>
          <w:szCs w:val="32"/>
        </w:rPr>
        <w:t>2584.25</w:t>
      </w:r>
      <w:r>
        <w:rPr>
          <w:rFonts w:hint="eastAsia" w:ascii="仿宋_GB2312" w:eastAsia="仿宋_GB2312"/>
          <w:color w:val="000000"/>
          <w:sz w:val="32"/>
          <w:szCs w:val="32"/>
        </w:rPr>
        <w:t>万元，主要包括：基本工资、津贴补贴、奖金、伙食补助费、绩效工资、机关事业单位基本养老保险缴费、职业年金缴费、职工基本医疗保险缴费、其他社会保障缴费、其他工资福利支出、离休费、抚恤金、生活补助、奖励金、住房公积金、其他对个人和家庭的补助支出。</w:t>
      </w:r>
      <w:r>
        <w:rPr>
          <w:rFonts w:ascii="仿宋_GB2312" w:eastAsia="仿宋_GB2312"/>
          <w:color w:val="000000"/>
          <w:sz w:val="32"/>
          <w:szCs w:val="32"/>
        </w:rPr>
        <w:br w:type="textWrapping"/>
      </w:r>
      <w:r>
        <w:rPr>
          <w:rFonts w:hint="eastAsia" w:ascii="仿宋_GB2312" w:eastAsia="仿宋_GB2312"/>
          <w:color w:val="000000"/>
          <w:sz w:val="32"/>
          <w:szCs w:val="32"/>
        </w:rPr>
        <w:t>　　公用经费</w:t>
      </w:r>
      <w:r>
        <w:rPr>
          <w:rFonts w:ascii="仿宋_GB2312" w:eastAsia="仿宋_GB2312"/>
          <w:color w:val="000000"/>
          <w:sz w:val="32"/>
          <w:szCs w:val="32"/>
        </w:rPr>
        <w:t>158.98</w:t>
      </w:r>
      <w:r>
        <w:rPr>
          <w:rFonts w:hint="eastAsia" w:ascii="仿宋_GB2312" w:eastAsia="仿宋_GB2312"/>
          <w:color w:val="000000"/>
          <w:sz w:val="32"/>
          <w:szCs w:val="32"/>
        </w:rPr>
        <w:t>万元，主要包括：办公费、印刷费、水费、电费、邮电费、物业管理费、差旅费、维修（护）费、租赁费、会议费、培训费、劳务费、委托业务费、工会经费、福利费、公务用车运行维护费、其他交通费、税金及附加费用、其他商品和服务支出、公务用车购置费。</w:t>
      </w:r>
    </w:p>
    <w:p>
      <w:pPr>
        <w:spacing w:line="600" w:lineRule="exact"/>
        <w:ind w:firstLine="640"/>
        <w:outlineLvl w:val="1"/>
        <w:rPr>
          <w:rStyle w:val="20"/>
          <w:rFonts w:ascii="黑体" w:hAnsi="黑体" w:eastAsia="黑体"/>
          <w:b w:val="0"/>
        </w:rPr>
      </w:pPr>
      <w:bookmarkStart w:id="42" w:name="_Toc15396609"/>
      <w:bookmarkStart w:id="43" w:name="_Toc15377215"/>
      <w:r>
        <w:rPr>
          <w:rFonts w:hint="eastAsia" w:ascii="黑体" w:eastAsia="黑体"/>
          <w:color w:val="000000"/>
          <w:sz w:val="32"/>
          <w:szCs w:val="32"/>
        </w:rPr>
        <w:t>七、</w:t>
      </w:r>
      <w:r>
        <w:rPr>
          <w:rStyle w:val="20"/>
          <w:rFonts w:hint="eastAsia" w:ascii="黑体" w:hAnsi="黑体" w:eastAsia="黑体"/>
        </w:rPr>
        <w:t>“</w:t>
      </w:r>
      <w:r>
        <w:rPr>
          <w:rStyle w:val="20"/>
          <w:rFonts w:hint="eastAsia" w:ascii="黑体" w:hAnsi="黑体" w:eastAsia="黑体"/>
          <w:b w:val="0"/>
        </w:rPr>
        <w:t>三公”经费财政拨款支出决算情况说明</w:t>
      </w:r>
      <w:bookmarkEnd w:id="42"/>
      <w:bookmarkEnd w:id="43"/>
    </w:p>
    <w:p>
      <w:pPr>
        <w:spacing w:line="600" w:lineRule="exact"/>
        <w:ind w:firstLine="640"/>
        <w:outlineLvl w:val="2"/>
        <w:rPr>
          <w:rFonts w:ascii="仿宋" w:hAnsi="仿宋" w:eastAsia="仿宋"/>
          <w:b/>
          <w:color w:val="000000"/>
          <w:sz w:val="32"/>
          <w:szCs w:val="32"/>
        </w:rPr>
      </w:pPr>
      <w:bookmarkStart w:id="44" w:name="_Toc15377216"/>
      <w:r>
        <w:rPr>
          <w:rFonts w:hint="eastAsia" w:ascii="仿宋" w:hAnsi="仿宋" w:eastAsia="仿宋"/>
          <w:b/>
          <w:color w:val="000000"/>
          <w:sz w:val="32"/>
          <w:szCs w:val="32"/>
        </w:rPr>
        <w:t>（一）“三公”经费财政拨款支出决算总体情况说明</w:t>
      </w:r>
      <w:bookmarkEnd w:id="44"/>
    </w:p>
    <w:p>
      <w:pPr>
        <w:spacing w:line="600" w:lineRule="exact"/>
        <w:ind w:firstLine="640"/>
        <w:rPr>
          <w:rFonts w:ascii="仿宋_GB2312" w:eastAsia="仿宋_GB2312"/>
          <w:color w:val="000000"/>
          <w:sz w:val="32"/>
          <w:szCs w:val="32"/>
        </w:rPr>
      </w:pPr>
      <w:r>
        <w:rPr>
          <w:rFonts w:ascii="仿宋_GB2312" w:eastAsia="仿宋_GB2312"/>
          <w:color w:val="000000"/>
          <w:sz w:val="32"/>
          <w:szCs w:val="32"/>
        </w:rPr>
        <w:t>2018</w:t>
      </w:r>
      <w:r>
        <w:rPr>
          <w:rFonts w:hint="eastAsia" w:ascii="仿宋_GB2312" w:eastAsia="仿宋_GB2312"/>
          <w:color w:val="000000"/>
          <w:sz w:val="32"/>
          <w:szCs w:val="32"/>
        </w:rPr>
        <w:t>年“三公”经费财政拨款支出决算为</w:t>
      </w:r>
      <w:r>
        <w:rPr>
          <w:rFonts w:ascii="仿宋_GB2312" w:eastAsia="仿宋_GB2312"/>
          <w:color w:val="000000"/>
          <w:sz w:val="32"/>
          <w:szCs w:val="32"/>
        </w:rPr>
        <w:t>83.34</w:t>
      </w:r>
      <w:r>
        <w:rPr>
          <w:rFonts w:hint="eastAsia" w:ascii="仿宋_GB2312" w:eastAsia="仿宋_GB2312"/>
          <w:color w:val="000000"/>
          <w:sz w:val="32"/>
          <w:szCs w:val="32"/>
        </w:rPr>
        <w:t>万元，完成预算</w:t>
      </w:r>
      <w:r>
        <w:rPr>
          <w:rFonts w:ascii="仿宋_GB2312" w:eastAsia="仿宋_GB2312"/>
          <w:color w:val="000000"/>
          <w:sz w:val="32"/>
          <w:szCs w:val="32"/>
        </w:rPr>
        <w:t>100%</w:t>
      </w:r>
      <w:r>
        <w:rPr>
          <w:rFonts w:hint="eastAsia" w:ascii="仿宋_GB2312" w:eastAsia="仿宋_GB2312"/>
          <w:color w:val="000000"/>
          <w:sz w:val="32"/>
          <w:szCs w:val="32"/>
        </w:rPr>
        <w:t>。</w:t>
      </w:r>
    </w:p>
    <w:p>
      <w:pPr>
        <w:spacing w:line="600" w:lineRule="exact"/>
        <w:ind w:firstLine="640"/>
        <w:outlineLvl w:val="2"/>
        <w:rPr>
          <w:rFonts w:ascii="仿宋" w:hAnsi="仿宋" w:eastAsia="仿宋"/>
          <w:b/>
          <w:color w:val="000000"/>
          <w:sz w:val="32"/>
          <w:szCs w:val="32"/>
        </w:rPr>
      </w:pPr>
      <w:bookmarkStart w:id="45" w:name="_Toc15377217"/>
      <w:r>
        <w:rPr>
          <w:rFonts w:hint="eastAsia" w:ascii="仿宋" w:hAnsi="仿宋" w:eastAsia="仿宋"/>
          <w:b/>
          <w:color w:val="000000"/>
          <w:sz w:val="32"/>
          <w:szCs w:val="32"/>
        </w:rPr>
        <w:t>（二）“三公”经费财政拨款支出决算具体情况说明</w:t>
      </w:r>
      <w:bookmarkEnd w:id="45"/>
    </w:p>
    <w:p>
      <w:pPr>
        <w:spacing w:line="600" w:lineRule="exact"/>
        <w:ind w:firstLine="640"/>
        <w:rPr>
          <w:rFonts w:ascii="仿宋_GB2312" w:eastAsia="仿宋_GB2312"/>
          <w:color w:val="000000"/>
          <w:sz w:val="32"/>
          <w:szCs w:val="32"/>
        </w:rPr>
      </w:pPr>
      <w:r>
        <w:rPr>
          <w:rFonts w:ascii="仿宋_GB2312" w:eastAsia="仿宋_GB2312"/>
          <w:color w:val="000000"/>
          <w:sz w:val="32"/>
          <w:szCs w:val="32"/>
        </w:rPr>
        <w:t>2018</w:t>
      </w:r>
      <w:r>
        <w:rPr>
          <w:rFonts w:hint="eastAsia" w:ascii="仿宋_GB2312" w:eastAsia="仿宋_GB2312"/>
          <w:color w:val="000000"/>
          <w:sz w:val="32"/>
          <w:szCs w:val="32"/>
        </w:rPr>
        <w:t>年“三公”经费财政拨款支出决算中，因公出国（境）费支出决算</w:t>
      </w:r>
      <w:r>
        <w:rPr>
          <w:rFonts w:ascii="仿宋_GB2312" w:eastAsia="仿宋_GB2312"/>
          <w:color w:val="000000"/>
          <w:sz w:val="32"/>
          <w:szCs w:val="32"/>
        </w:rPr>
        <w:t>0</w:t>
      </w:r>
      <w:r>
        <w:rPr>
          <w:rFonts w:hint="eastAsia" w:ascii="仿宋_GB2312" w:eastAsia="仿宋_GB2312"/>
          <w:color w:val="000000"/>
          <w:sz w:val="32"/>
          <w:szCs w:val="32"/>
        </w:rPr>
        <w:t>万元；公务用车购置及运行维护费支出决算</w:t>
      </w:r>
      <w:r>
        <w:rPr>
          <w:rFonts w:ascii="仿宋_GB2312" w:eastAsia="仿宋_GB2312"/>
          <w:color w:val="000000"/>
          <w:sz w:val="32"/>
          <w:szCs w:val="32"/>
        </w:rPr>
        <w:t>71.39</w:t>
      </w:r>
      <w:r>
        <w:rPr>
          <w:rFonts w:hint="eastAsia" w:ascii="仿宋_GB2312" w:eastAsia="仿宋_GB2312"/>
          <w:color w:val="000000"/>
          <w:sz w:val="32"/>
          <w:szCs w:val="32"/>
        </w:rPr>
        <w:t>万元，占</w:t>
      </w:r>
      <w:r>
        <w:rPr>
          <w:rFonts w:ascii="仿宋_GB2312" w:eastAsia="仿宋_GB2312"/>
          <w:color w:val="000000"/>
          <w:sz w:val="32"/>
          <w:szCs w:val="32"/>
        </w:rPr>
        <w:t>85.66%</w:t>
      </w:r>
      <w:r>
        <w:rPr>
          <w:rFonts w:hint="eastAsia" w:ascii="仿宋_GB2312" w:eastAsia="仿宋_GB2312"/>
          <w:color w:val="000000"/>
          <w:sz w:val="32"/>
          <w:szCs w:val="32"/>
        </w:rPr>
        <w:t>；公务接待费支出决算</w:t>
      </w:r>
      <w:r>
        <w:rPr>
          <w:rFonts w:ascii="仿宋_GB2312" w:eastAsia="仿宋_GB2312"/>
          <w:color w:val="000000"/>
          <w:sz w:val="32"/>
          <w:szCs w:val="32"/>
        </w:rPr>
        <w:t>11.95</w:t>
      </w:r>
      <w:r>
        <w:rPr>
          <w:rFonts w:hint="eastAsia" w:ascii="仿宋_GB2312" w:eastAsia="仿宋_GB2312"/>
          <w:color w:val="000000"/>
          <w:sz w:val="32"/>
          <w:szCs w:val="32"/>
        </w:rPr>
        <w:t>万元，占</w:t>
      </w:r>
      <w:r>
        <w:rPr>
          <w:rFonts w:ascii="仿宋_GB2312" w:eastAsia="仿宋_GB2312"/>
          <w:color w:val="000000"/>
          <w:sz w:val="32"/>
          <w:szCs w:val="32"/>
        </w:rPr>
        <w:t>14.34%</w:t>
      </w:r>
      <w:r>
        <w:rPr>
          <w:rFonts w:hint="eastAsia" w:ascii="仿宋_GB2312" w:eastAsia="仿宋_GB2312"/>
          <w:color w:val="000000"/>
          <w:sz w:val="32"/>
          <w:szCs w:val="32"/>
        </w:rPr>
        <w:t>。具体情况如下：</w:t>
      </w:r>
    </w:p>
    <w:p>
      <w:pPr>
        <w:widowControl/>
        <w:jc w:val="left"/>
        <w:rPr>
          <w:rFonts w:ascii="宋体" w:cs="宋体"/>
          <w:kern w:val="0"/>
          <w:sz w:val="24"/>
        </w:rPr>
      </w:pPr>
      <w:r>
        <w:rPr>
          <w:rFonts w:ascii="宋体" w:cs="宋体"/>
          <w:kern w:val="0"/>
          <w:sz w:val="24"/>
        </w:rPr>
        <w:pict>
          <v:shape id="_x0000_i1032" o:spt="75" type="#_x0000_t75" style="height:224.25pt;width:450pt;" filled="f" o:preferrelative="t" stroked="f" coordsize="21600,21600">
            <v:path/>
            <v:fill on="f" focussize="0,0"/>
            <v:stroke on="f" joinstyle="miter"/>
            <v:imagedata r:id="rId20" r:href="rId21" o:title=""/>
            <o:lock v:ext="edit" aspectratio="t"/>
            <w10:wrap type="none"/>
            <w10:anchorlock/>
          </v:shape>
        </w:pict>
      </w:r>
    </w:p>
    <w:p>
      <w:pPr>
        <w:spacing w:line="600" w:lineRule="exact"/>
        <w:ind w:firstLine="640"/>
        <w:rPr>
          <w:rFonts w:hint="default" w:ascii="仿宋_GB2312" w:eastAsia="仿宋"/>
          <w:b/>
          <w:color w:val="000000"/>
          <w:sz w:val="32"/>
          <w:szCs w:val="32"/>
          <w:lang w:val="en-US" w:eastAsia="zh-CN"/>
        </w:rPr>
      </w:pPr>
      <w:r>
        <w:rPr>
          <w:rFonts w:ascii="仿宋_GB2312" w:eastAsia="仿宋_GB2312"/>
          <w:b/>
          <w:color w:val="000000"/>
          <w:sz w:val="32"/>
          <w:szCs w:val="32"/>
        </w:rPr>
        <w:t>1.</w:t>
      </w:r>
      <w:r>
        <w:rPr>
          <w:rFonts w:hint="eastAsia" w:ascii="仿宋_GB2312" w:eastAsia="仿宋_GB2312"/>
          <w:b/>
          <w:color w:val="000000"/>
          <w:sz w:val="32"/>
          <w:szCs w:val="32"/>
        </w:rPr>
        <w:t>因公出国（境）经费支出</w:t>
      </w:r>
      <w:r>
        <w:rPr>
          <w:rFonts w:ascii="仿宋_GB2312" w:eastAsia="仿宋_GB2312"/>
          <w:color w:val="000000"/>
          <w:sz w:val="32"/>
          <w:szCs w:val="32"/>
        </w:rPr>
        <w:t>0</w:t>
      </w:r>
      <w:r>
        <w:rPr>
          <w:rFonts w:hint="eastAsia" w:ascii="仿宋_GB2312" w:eastAsia="仿宋_GB2312"/>
          <w:color w:val="000000"/>
          <w:sz w:val="32"/>
          <w:szCs w:val="32"/>
        </w:rPr>
        <w:t>万元</w:t>
      </w:r>
      <w:r>
        <w:rPr>
          <w:rStyle w:val="15"/>
          <w:rFonts w:hint="eastAsia" w:ascii="仿宋" w:hAnsi="仿宋" w:eastAsia="仿宋"/>
          <w:b w:val="0"/>
          <w:bCs/>
          <w:color w:val="000000"/>
          <w:sz w:val="32"/>
          <w:szCs w:val="32"/>
        </w:rPr>
        <w:t>。</w:t>
      </w:r>
      <w:r>
        <w:rPr>
          <w:rStyle w:val="15"/>
          <w:rFonts w:hint="eastAsia" w:ascii="仿宋" w:hAnsi="仿宋" w:eastAsia="仿宋"/>
          <w:b w:val="0"/>
          <w:bCs/>
          <w:color w:val="000000"/>
          <w:sz w:val="32"/>
          <w:szCs w:val="32"/>
          <w:lang w:eastAsia="zh-CN"/>
        </w:rPr>
        <w:t>全年安排因公出国（境）团组</w:t>
      </w:r>
      <w:r>
        <w:rPr>
          <w:rStyle w:val="15"/>
          <w:rFonts w:hint="eastAsia" w:ascii="仿宋" w:hAnsi="仿宋" w:eastAsia="仿宋"/>
          <w:b w:val="0"/>
          <w:bCs/>
          <w:color w:val="000000"/>
          <w:sz w:val="32"/>
          <w:szCs w:val="32"/>
          <w:lang w:val="en-US" w:eastAsia="zh-CN"/>
        </w:rPr>
        <w:t>0次，出国（境）0人。</w:t>
      </w:r>
      <w:r>
        <w:rPr>
          <w:rStyle w:val="15"/>
          <w:rFonts w:hint="eastAsia" w:ascii="仿宋" w:hAnsi="仿宋" w:eastAsia="仿宋"/>
          <w:b w:val="0"/>
          <w:bCs/>
          <w:color w:val="000000"/>
          <w:sz w:val="32"/>
          <w:szCs w:val="32"/>
          <w:lang w:eastAsia="zh-CN"/>
        </w:rPr>
        <w:t>因公出国（境）支出决算较</w:t>
      </w:r>
      <w:r>
        <w:rPr>
          <w:rStyle w:val="15"/>
          <w:rFonts w:hint="eastAsia" w:ascii="仿宋" w:hAnsi="仿宋" w:eastAsia="仿宋"/>
          <w:b w:val="0"/>
          <w:bCs/>
          <w:color w:val="000000"/>
          <w:sz w:val="32"/>
          <w:szCs w:val="32"/>
          <w:lang w:val="en-US" w:eastAsia="zh-CN"/>
        </w:rPr>
        <w:t>2017年无变化。</w:t>
      </w:r>
    </w:p>
    <w:p>
      <w:pPr>
        <w:spacing w:line="600" w:lineRule="exact"/>
        <w:ind w:firstLine="640"/>
        <w:rPr>
          <w:rFonts w:ascii="仿宋_GB2312" w:eastAsia="仿宋_GB2312"/>
          <w:b/>
          <w:color w:val="000000"/>
          <w:sz w:val="32"/>
          <w:szCs w:val="32"/>
        </w:rPr>
      </w:pPr>
      <w:r>
        <w:rPr>
          <w:rFonts w:ascii="仿宋_GB2312" w:eastAsia="仿宋_GB2312"/>
          <w:b/>
          <w:color w:val="000000"/>
          <w:sz w:val="32"/>
          <w:szCs w:val="32"/>
        </w:rPr>
        <w:t>2.</w:t>
      </w:r>
      <w:r>
        <w:rPr>
          <w:rFonts w:hint="eastAsia" w:ascii="仿宋_GB2312" w:eastAsia="仿宋_GB2312"/>
          <w:b/>
          <w:color w:val="000000"/>
          <w:sz w:val="32"/>
          <w:szCs w:val="32"/>
        </w:rPr>
        <w:t>公务用车购置及运行维护费支出</w:t>
      </w:r>
      <w:r>
        <w:rPr>
          <w:rFonts w:ascii="仿宋_GB2312" w:eastAsia="仿宋_GB2312"/>
          <w:color w:val="000000"/>
          <w:sz w:val="32"/>
          <w:szCs w:val="32"/>
        </w:rPr>
        <w:t>71.39</w:t>
      </w:r>
      <w:r>
        <w:rPr>
          <w:rFonts w:hint="eastAsia" w:ascii="仿宋_GB2312" w:eastAsia="仿宋_GB2312"/>
          <w:color w:val="000000"/>
          <w:sz w:val="32"/>
          <w:szCs w:val="32"/>
        </w:rPr>
        <w:t>万元</w:t>
      </w:r>
      <w:r>
        <w:rPr>
          <w:rFonts w:ascii="仿宋_GB2312" w:eastAsia="仿宋_GB2312"/>
          <w:color w:val="000000"/>
          <w:sz w:val="32"/>
          <w:szCs w:val="32"/>
        </w:rPr>
        <w:t>,</w:t>
      </w:r>
      <w:r>
        <w:rPr>
          <w:rFonts w:hint="eastAsia" w:ascii="仿宋_GB2312" w:eastAsia="仿宋_GB2312"/>
          <w:color w:val="000000"/>
          <w:sz w:val="32"/>
          <w:szCs w:val="32"/>
        </w:rPr>
        <w:t>完成预算</w:t>
      </w:r>
      <w:r>
        <w:rPr>
          <w:rFonts w:ascii="仿宋_GB2312" w:eastAsia="仿宋_GB2312"/>
          <w:color w:val="000000"/>
          <w:sz w:val="32"/>
          <w:szCs w:val="32"/>
        </w:rPr>
        <w:t>100%</w:t>
      </w:r>
      <w:r>
        <w:rPr>
          <w:rFonts w:hint="eastAsia" w:ascii="仿宋_GB2312" w:eastAsia="仿宋_GB2312"/>
          <w:color w:val="000000"/>
          <w:sz w:val="32"/>
          <w:szCs w:val="32"/>
        </w:rPr>
        <w:t>。公务用车购置及运行维护费支出决算比</w:t>
      </w:r>
      <w:r>
        <w:rPr>
          <w:rFonts w:ascii="仿宋_GB2312" w:eastAsia="仿宋_GB2312"/>
          <w:color w:val="000000"/>
          <w:sz w:val="32"/>
          <w:szCs w:val="32"/>
        </w:rPr>
        <w:t>2017</w:t>
      </w:r>
      <w:r>
        <w:rPr>
          <w:rFonts w:hint="eastAsia" w:ascii="仿宋_GB2312" w:eastAsia="仿宋_GB2312"/>
          <w:color w:val="000000"/>
          <w:sz w:val="32"/>
          <w:szCs w:val="32"/>
        </w:rPr>
        <w:t>年增加</w:t>
      </w:r>
      <w:r>
        <w:rPr>
          <w:rFonts w:ascii="仿宋_GB2312" w:eastAsia="仿宋_GB2312"/>
          <w:color w:val="000000"/>
          <w:sz w:val="32"/>
          <w:szCs w:val="32"/>
        </w:rPr>
        <w:t>27.19</w:t>
      </w:r>
      <w:r>
        <w:rPr>
          <w:rFonts w:hint="eastAsia" w:ascii="仿宋_GB2312" w:eastAsia="仿宋_GB2312"/>
          <w:color w:val="000000"/>
          <w:sz w:val="32"/>
          <w:szCs w:val="32"/>
        </w:rPr>
        <w:t>万元，增长</w:t>
      </w:r>
      <w:r>
        <w:rPr>
          <w:rFonts w:ascii="仿宋_GB2312" w:eastAsia="仿宋_GB2312"/>
          <w:color w:val="000000"/>
          <w:sz w:val="32"/>
          <w:szCs w:val="32"/>
        </w:rPr>
        <w:t>61.52%</w:t>
      </w:r>
      <w:r>
        <w:rPr>
          <w:rFonts w:hint="eastAsia" w:ascii="仿宋_GB2312" w:eastAsia="仿宋_GB2312"/>
          <w:color w:val="000000"/>
          <w:sz w:val="32"/>
          <w:szCs w:val="32"/>
        </w:rPr>
        <w:t>。主要原因是</w:t>
      </w:r>
      <w:r>
        <w:rPr>
          <w:rFonts w:ascii="仿宋_GB2312" w:eastAsia="仿宋_GB2312"/>
          <w:color w:val="000000"/>
          <w:sz w:val="32"/>
          <w:szCs w:val="32"/>
        </w:rPr>
        <w:t>2018</w:t>
      </w:r>
      <w:r>
        <w:rPr>
          <w:rFonts w:hint="eastAsia" w:ascii="仿宋_GB2312" w:eastAsia="仿宋_GB2312"/>
          <w:color w:val="000000"/>
          <w:sz w:val="32"/>
          <w:szCs w:val="32"/>
        </w:rPr>
        <w:t>年机关购置了一台公务用车。</w:t>
      </w:r>
    </w:p>
    <w:p>
      <w:pPr>
        <w:spacing w:line="60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其中：</w:t>
      </w:r>
      <w:r>
        <w:rPr>
          <w:rFonts w:hint="eastAsia" w:ascii="仿宋_GB2312" w:eastAsia="仿宋_GB2312"/>
          <w:b/>
          <w:color w:val="000000"/>
          <w:sz w:val="32"/>
          <w:szCs w:val="32"/>
        </w:rPr>
        <w:t>公务用车购置支出</w:t>
      </w:r>
      <w:r>
        <w:rPr>
          <w:rFonts w:ascii="仿宋_GB2312" w:eastAsia="仿宋_GB2312"/>
          <w:color w:val="000000"/>
          <w:sz w:val="32"/>
          <w:szCs w:val="32"/>
        </w:rPr>
        <w:t>34.24</w:t>
      </w:r>
      <w:r>
        <w:rPr>
          <w:rFonts w:hint="eastAsia" w:ascii="仿宋_GB2312" w:eastAsia="仿宋_GB2312"/>
          <w:color w:val="000000"/>
          <w:sz w:val="32"/>
          <w:szCs w:val="32"/>
        </w:rPr>
        <w:t>万元。全年按规定更新购置公务用车</w:t>
      </w:r>
      <w:r>
        <w:rPr>
          <w:rFonts w:ascii="仿宋_GB2312" w:eastAsia="仿宋_GB2312"/>
          <w:color w:val="000000"/>
          <w:sz w:val="32"/>
          <w:szCs w:val="32"/>
        </w:rPr>
        <w:t>1</w:t>
      </w:r>
      <w:r>
        <w:rPr>
          <w:rFonts w:hint="eastAsia" w:ascii="仿宋_GB2312" w:eastAsia="仿宋_GB2312"/>
          <w:color w:val="000000"/>
          <w:sz w:val="32"/>
          <w:szCs w:val="32"/>
        </w:rPr>
        <w:t>辆，其中：越野车</w:t>
      </w:r>
      <w:r>
        <w:rPr>
          <w:rFonts w:ascii="仿宋_GB2312" w:eastAsia="仿宋_GB2312"/>
          <w:color w:val="000000"/>
          <w:sz w:val="32"/>
          <w:szCs w:val="32"/>
        </w:rPr>
        <w:t>1</w:t>
      </w:r>
      <w:r>
        <w:rPr>
          <w:rFonts w:hint="eastAsia" w:ascii="仿宋_GB2312" w:eastAsia="仿宋_GB2312"/>
          <w:color w:val="000000"/>
          <w:sz w:val="32"/>
          <w:szCs w:val="32"/>
        </w:rPr>
        <w:t>辆、金额</w:t>
      </w:r>
      <w:r>
        <w:rPr>
          <w:rFonts w:ascii="仿宋_GB2312" w:eastAsia="仿宋_GB2312"/>
          <w:color w:val="000000"/>
          <w:sz w:val="32"/>
          <w:szCs w:val="32"/>
        </w:rPr>
        <w:t>34.24</w:t>
      </w:r>
      <w:r>
        <w:rPr>
          <w:rFonts w:hint="eastAsia" w:ascii="仿宋_GB2312" w:eastAsia="仿宋_GB2312"/>
          <w:color w:val="000000"/>
          <w:sz w:val="32"/>
          <w:szCs w:val="32"/>
        </w:rPr>
        <w:t>万元。截至</w:t>
      </w:r>
      <w:r>
        <w:rPr>
          <w:rFonts w:ascii="仿宋_GB2312" w:eastAsia="仿宋_GB2312"/>
          <w:color w:val="000000"/>
          <w:sz w:val="32"/>
          <w:szCs w:val="32"/>
        </w:rPr>
        <w:t>2018</w:t>
      </w:r>
      <w:r>
        <w:rPr>
          <w:rFonts w:hint="eastAsia" w:ascii="仿宋_GB2312" w:eastAsia="仿宋_GB2312"/>
          <w:color w:val="000000"/>
          <w:sz w:val="32"/>
          <w:szCs w:val="32"/>
        </w:rPr>
        <w:t>年</w:t>
      </w:r>
      <w:r>
        <w:rPr>
          <w:rFonts w:ascii="仿宋_GB2312" w:eastAsia="仿宋_GB2312"/>
          <w:color w:val="000000"/>
          <w:sz w:val="32"/>
          <w:szCs w:val="32"/>
        </w:rPr>
        <w:t>12</w:t>
      </w:r>
      <w:r>
        <w:rPr>
          <w:rFonts w:hint="eastAsia" w:ascii="仿宋_GB2312" w:eastAsia="仿宋_GB2312"/>
          <w:color w:val="000000"/>
          <w:sz w:val="32"/>
          <w:szCs w:val="32"/>
        </w:rPr>
        <w:t>月底，部门一般公务用车</w:t>
      </w:r>
      <w:r>
        <w:rPr>
          <w:rFonts w:ascii="仿宋_GB2312" w:eastAsia="仿宋_GB2312"/>
          <w:color w:val="000000"/>
          <w:sz w:val="32"/>
          <w:szCs w:val="32"/>
        </w:rPr>
        <w:t>13</w:t>
      </w:r>
      <w:r>
        <w:rPr>
          <w:rFonts w:hint="eastAsia" w:ascii="仿宋_GB2312" w:eastAsia="仿宋_GB2312"/>
          <w:color w:val="000000"/>
          <w:sz w:val="32"/>
          <w:szCs w:val="32"/>
        </w:rPr>
        <w:t>辆、特种专业技术用车</w:t>
      </w:r>
      <w:r>
        <w:rPr>
          <w:rFonts w:ascii="仿宋_GB2312" w:eastAsia="仿宋_GB2312"/>
          <w:color w:val="000000"/>
          <w:sz w:val="32"/>
          <w:szCs w:val="32"/>
        </w:rPr>
        <w:t>3</w:t>
      </w:r>
      <w:r>
        <w:rPr>
          <w:rFonts w:hint="eastAsia" w:ascii="仿宋_GB2312" w:eastAsia="仿宋_GB2312"/>
          <w:color w:val="000000"/>
          <w:sz w:val="32"/>
          <w:szCs w:val="32"/>
        </w:rPr>
        <w:t>辆，其中：轿车</w:t>
      </w:r>
      <w:r>
        <w:rPr>
          <w:rFonts w:ascii="仿宋_GB2312" w:eastAsia="仿宋_GB2312"/>
          <w:color w:val="000000"/>
          <w:sz w:val="32"/>
          <w:szCs w:val="32"/>
        </w:rPr>
        <w:t>8</w:t>
      </w:r>
      <w:r>
        <w:rPr>
          <w:rFonts w:hint="eastAsia" w:ascii="仿宋_GB2312" w:eastAsia="仿宋_GB2312"/>
          <w:color w:val="000000"/>
          <w:sz w:val="32"/>
          <w:szCs w:val="32"/>
        </w:rPr>
        <w:t>辆、越野车</w:t>
      </w:r>
      <w:r>
        <w:rPr>
          <w:rFonts w:ascii="仿宋_GB2312" w:eastAsia="仿宋_GB2312"/>
          <w:color w:val="000000"/>
          <w:sz w:val="32"/>
          <w:szCs w:val="32"/>
        </w:rPr>
        <w:t>6</w:t>
      </w:r>
      <w:r>
        <w:rPr>
          <w:rFonts w:hint="eastAsia" w:ascii="仿宋_GB2312" w:eastAsia="仿宋_GB2312"/>
          <w:color w:val="000000"/>
          <w:sz w:val="32"/>
          <w:szCs w:val="32"/>
        </w:rPr>
        <w:t>辆、其他车辆</w:t>
      </w:r>
      <w:r>
        <w:rPr>
          <w:rFonts w:ascii="仿宋_GB2312" w:eastAsia="仿宋_GB2312"/>
          <w:color w:val="000000"/>
          <w:sz w:val="32"/>
          <w:szCs w:val="32"/>
        </w:rPr>
        <w:t>2</w:t>
      </w:r>
      <w:r>
        <w:rPr>
          <w:rFonts w:hint="eastAsia" w:ascii="仿宋_GB2312" w:eastAsia="仿宋_GB2312"/>
          <w:color w:val="000000"/>
          <w:sz w:val="32"/>
          <w:szCs w:val="32"/>
        </w:rPr>
        <w:t>辆。</w:t>
      </w:r>
    </w:p>
    <w:p>
      <w:pPr>
        <w:spacing w:line="600" w:lineRule="exact"/>
        <w:ind w:firstLine="640"/>
        <w:rPr>
          <w:rFonts w:ascii="仿宋_GB2312" w:eastAsia="仿宋_GB2312"/>
          <w:color w:val="000000"/>
          <w:sz w:val="32"/>
          <w:szCs w:val="32"/>
        </w:rPr>
      </w:pPr>
      <w:r>
        <w:rPr>
          <w:rFonts w:hint="eastAsia" w:ascii="仿宋_GB2312" w:eastAsia="仿宋_GB2312"/>
          <w:b/>
          <w:color w:val="000000"/>
          <w:sz w:val="32"/>
          <w:szCs w:val="32"/>
        </w:rPr>
        <w:t>公务用车运行维护费支出</w:t>
      </w:r>
      <w:r>
        <w:rPr>
          <w:rFonts w:ascii="仿宋_GB2312" w:eastAsia="仿宋_GB2312"/>
          <w:color w:val="000000"/>
          <w:sz w:val="32"/>
          <w:szCs w:val="32"/>
        </w:rPr>
        <w:t>37.15</w:t>
      </w:r>
      <w:r>
        <w:rPr>
          <w:rFonts w:hint="eastAsia" w:ascii="仿宋_GB2312" w:eastAsia="仿宋_GB2312"/>
          <w:color w:val="000000"/>
          <w:sz w:val="32"/>
          <w:szCs w:val="32"/>
        </w:rPr>
        <w:t>万元。主要用于</w:t>
      </w:r>
      <w:r>
        <w:rPr>
          <w:rFonts w:hint="eastAsia" w:ascii="仿宋_GB2312" w:eastAsia="仿宋_GB2312"/>
          <w:sz w:val="32"/>
          <w:szCs w:val="32"/>
        </w:rPr>
        <w:t>水利项目监督检查、河长制建设、防汛抗旱</w:t>
      </w:r>
      <w:r>
        <w:rPr>
          <w:rFonts w:hint="eastAsia" w:ascii="仿宋_GB2312" w:eastAsia="仿宋_GB2312"/>
          <w:color w:val="000000"/>
          <w:sz w:val="32"/>
          <w:szCs w:val="32"/>
        </w:rPr>
        <w:t>等所需的公务用车燃料费、维修费、过路过桥费、保险费等支出。</w:t>
      </w:r>
    </w:p>
    <w:p>
      <w:pPr>
        <w:spacing w:line="600" w:lineRule="exact"/>
        <w:ind w:firstLine="640"/>
        <w:rPr>
          <w:rFonts w:ascii="仿宋_GB2312" w:eastAsia="仿宋_GB2312"/>
          <w:color w:val="000000"/>
          <w:sz w:val="32"/>
          <w:szCs w:val="32"/>
        </w:rPr>
      </w:pPr>
      <w:r>
        <w:rPr>
          <w:rFonts w:ascii="仿宋_GB2312" w:eastAsia="仿宋_GB2312"/>
          <w:b/>
          <w:color w:val="000000"/>
          <w:sz w:val="32"/>
          <w:szCs w:val="32"/>
        </w:rPr>
        <w:t>3.</w:t>
      </w:r>
      <w:r>
        <w:rPr>
          <w:rFonts w:hint="eastAsia" w:ascii="仿宋_GB2312" w:eastAsia="仿宋_GB2312"/>
          <w:b/>
          <w:color w:val="000000"/>
          <w:sz w:val="32"/>
          <w:szCs w:val="32"/>
        </w:rPr>
        <w:t>公务接待费支出</w:t>
      </w:r>
      <w:r>
        <w:rPr>
          <w:rFonts w:ascii="仿宋_GB2312" w:eastAsia="仿宋_GB2312"/>
          <w:color w:val="000000"/>
          <w:sz w:val="32"/>
          <w:szCs w:val="32"/>
        </w:rPr>
        <w:t>11.95</w:t>
      </w:r>
      <w:r>
        <w:rPr>
          <w:rFonts w:hint="eastAsia" w:ascii="仿宋_GB2312" w:eastAsia="仿宋_GB2312"/>
          <w:color w:val="000000"/>
          <w:sz w:val="32"/>
          <w:szCs w:val="32"/>
        </w:rPr>
        <w:t>万元，完成预算</w:t>
      </w:r>
      <w:r>
        <w:rPr>
          <w:rFonts w:ascii="仿宋_GB2312" w:eastAsia="仿宋_GB2312"/>
          <w:color w:val="000000"/>
          <w:sz w:val="32"/>
          <w:szCs w:val="32"/>
        </w:rPr>
        <w:t>100%</w:t>
      </w:r>
      <w:r>
        <w:rPr>
          <w:rFonts w:hint="eastAsia" w:ascii="仿宋_GB2312" w:eastAsia="仿宋_GB2312"/>
          <w:color w:val="000000"/>
          <w:sz w:val="32"/>
          <w:szCs w:val="32"/>
        </w:rPr>
        <w:t>。公务接待费支出决算比</w:t>
      </w:r>
      <w:r>
        <w:rPr>
          <w:rFonts w:ascii="仿宋_GB2312" w:eastAsia="仿宋_GB2312"/>
          <w:color w:val="000000"/>
          <w:sz w:val="32"/>
          <w:szCs w:val="32"/>
        </w:rPr>
        <w:t>2017</w:t>
      </w:r>
      <w:r>
        <w:rPr>
          <w:rFonts w:hint="eastAsia" w:ascii="仿宋_GB2312" w:eastAsia="仿宋_GB2312"/>
          <w:color w:val="000000"/>
          <w:sz w:val="32"/>
          <w:szCs w:val="32"/>
        </w:rPr>
        <w:t>年减少</w:t>
      </w:r>
      <w:r>
        <w:rPr>
          <w:rFonts w:ascii="仿宋_GB2312" w:eastAsia="仿宋_GB2312"/>
          <w:color w:val="000000"/>
          <w:sz w:val="32"/>
          <w:szCs w:val="32"/>
        </w:rPr>
        <w:t>0.48</w:t>
      </w:r>
      <w:r>
        <w:rPr>
          <w:rFonts w:hint="eastAsia" w:ascii="仿宋_GB2312" w:eastAsia="仿宋_GB2312"/>
          <w:color w:val="000000"/>
          <w:sz w:val="32"/>
          <w:szCs w:val="32"/>
        </w:rPr>
        <w:t>万元，下降</w:t>
      </w:r>
      <w:r>
        <w:rPr>
          <w:rFonts w:ascii="仿宋_GB2312" w:eastAsia="仿宋_GB2312"/>
          <w:color w:val="000000"/>
          <w:sz w:val="32"/>
          <w:szCs w:val="32"/>
        </w:rPr>
        <w:t>3.86%</w:t>
      </w:r>
      <w:r>
        <w:rPr>
          <w:rFonts w:hint="eastAsia" w:ascii="仿宋_GB2312" w:eastAsia="仿宋_GB2312"/>
          <w:color w:val="000000"/>
          <w:sz w:val="32"/>
          <w:szCs w:val="32"/>
        </w:rPr>
        <w:t>。主要原因是</w:t>
      </w:r>
      <w:r>
        <w:rPr>
          <w:rFonts w:hint="eastAsia" w:ascii="仿宋_GB2312" w:eastAsia="仿宋_GB2312"/>
          <w:sz w:val="32"/>
          <w:szCs w:val="32"/>
        </w:rPr>
        <w:t>部门各单位积极贯彻落实中央八项规定和省委省政府十项规定，严格控制接待数量和标准，减少接待费支出</w:t>
      </w:r>
      <w:r>
        <w:rPr>
          <w:rFonts w:hint="eastAsia" w:ascii="仿宋_GB2312" w:eastAsia="仿宋_GB2312"/>
          <w:color w:val="000000"/>
          <w:sz w:val="32"/>
          <w:szCs w:val="32"/>
        </w:rPr>
        <w:t>。</w:t>
      </w:r>
    </w:p>
    <w:p>
      <w:pPr>
        <w:spacing w:line="600" w:lineRule="exact"/>
        <w:ind w:firstLine="640" w:firstLineChars="200"/>
        <w:rPr>
          <w:rFonts w:ascii="仿宋_GB2312" w:eastAsia="仿宋_GB2312"/>
          <w:sz w:val="32"/>
          <w:szCs w:val="32"/>
        </w:rPr>
      </w:pPr>
      <w:r>
        <w:rPr>
          <w:rFonts w:hint="eastAsia" w:ascii="仿宋_GB2312" w:eastAsia="仿宋_GB2312"/>
          <w:color w:val="000000"/>
          <w:sz w:val="32"/>
          <w:szCs w:val="32"/>
        </w:rPr>
        <w:t>主要用于执行公务、开展业务活动开支的</w:t>
      </w:r>
      <w:r>
        <w:rPr>
          <w:rFonts w:hint="eastAsia" w:ascii="仿宋_GB2312" w:eastAsia="仿宋_GB2312"/>
          <w:sz w:val="32"/>
          <w:szCs w:val="32"/>
        </w:rPr>
        <w:t>执行公务、开展业务活动开支的</w:t>
      </w:r>
      <w:r>
        <w:rPr>
          <w:rFonts w:hint="eastAsia" w:ascii="仿宋_GB2312" w:eastAsia="仿宋_GB2312"/>
          <w:color w:val="000000"/>
          <w:sz w:val="32"/>
          <w:szCs w:val="32"/>
        </w:rPr>
        <w:t>用餐费。国内公务接待</w:t>
      </w:r>
      <w:r>
        <w:rPr>
          <w:rFonts w:ascii="仿宋_GB2312" w:eastAsia="仿宋_GB2312"/>
          <w:color w:val="000000"/>
          <w:sz w:val="32"/>
          <w:szCs w:val="32"/>
        </w:rPr>
        <w:t>189</w:t>
      </w:r>
      <w:r>
        <w:rPr>
          <w:rFonts w:hint="eastAsia" w:ascii="仿宋_GB2312" w:eastAsia="仿宋_GB2312"/>
          <w:color w:val="000000"/>
          <w:sz w:val="32"/>
          <w:szCs w:val="32"/>
        </w:rPr>
        <w:t>批次，</w:t>
      </w:r>
      <w:r>
        <w:rPr>
          <w:rFonts w:ascii="仿宋_GB2312" w:eastAsia="仿宋_GB2312"/>
          <w:color w:val="000000"/>
          <w:sz w:val="32"/>
          <w:szCs w:val="32"/>
        </w:rPr>
        <w:t>1634</w:t>
      </w:r>
      <w:r>
        <w:rPr>
          <w:rFonts w:hint="eastAsia" w:ascii="仿宋_GB2312" w:eastAsia="仿宋_GB2312"/>
          <w:color w:val="000000"/>
          <w:sz w:val="32"/>
          <w:szCs w:val="32"/>
        </w:rPr>
        <w:t>人次，共计支出</w:t>
      </w:r>
      <w:r>
        <w:rPr>
          <w:rFonts w:ascii="仿宋_GB2312" w:eastAsia="仿宋_GB2312"/>
          <w:color w:val="000000"/>
          <w:sz w:val="32"/>
          <w:szCs w:val="32"/>
        </w:rPr>
        <w:t>11.95</w:t>
      </w:r>
      <w:r>
        <w:rPr>
          <w:rFonts w:hint="eastAsia" w:ascii="仿宋_GB2312" w:eastAsia="仿宋_GB2312"/>
          <w:color w:val="000000"/>
          <w:sz w:val="32"/>
          <w:szCs w:val="32"/>
        </w:rPr>
        <w:t>万元，具体内容包括：</w:t>
      </w:r>
      <w:r>
        <w:rPr>
          <w:rFonts w:hint="eastAsia" w:ascii="仿宋_GB2312" w:eastAsia="仿宋_GB2312"/>
          <w:sz w:val="32"/>
          <w:szCs w:val="32"/>
        </w:rPr>
        <w:t>防汛监督检查</w:t>
      </w:r>
      <w:r>
        <w:rPr>
          <w:rFonts w:ascii="仿宋_GB2312" w:eastAsia="仿宋_GB2312"/>
          <w:sz w:val="32"/>
          <w:szCs w:val="32"/>
        </w:rPr>
        <w:t>3.76</w:t>
      </w:r>
      <w:r>
        <w:rPr>
          <w:rFonts w:hint="eastAsia" w:ascii="仿宋_GB2312" w:eastAsia="仿宋_GB2312"/>
          <w:sz w:val="32"/>
          <w:szCs w:val="32"/>
        </w:rPr>
        <w:t>万元、水土保持项目调研</w:t>
      </w:r>
      <w:r>
        <w:rPr>
          <w:rFonts w:ascii="仿宋_GB2312" w:eastAsia="仿宋_GB2312"/>
          <w:sz w:val="32"/>
          <w:szCs w:val="32"/>
        </w:rPr>
        <w:t>0.24</w:t>
      </w:r>
      <w:r>
        <w:rPr>
          <w:rFonts w:hint="eastAsia" w:ascii="仿宋_GB2312" w:eastAsia="仿宋_GB2312"/>
          <w:sz w:val="32"/>
          <w:szCs w:val="32"/>
        </w:rPr>
        <w:t>万元、水生态文明城市验收</w:t>
      </w:r>
      <w:r>
        <w:rPr>
          <w:rFonts w:ascii="仿宋_GB2312" w:eastAsia="仿宋_GB2312"/>
          <w:sz w:val="32"/>
          <w:szCs w:val="32"/>
        </w:rPr>
        <w:t>0.24</w:t>
      </w:r>
      <w:r>
        <w:rPr>
          <w:rFonts w:hint="eastAsia" w:ascii="仿宋_GB2312" w:eastAsia="仿宋_GB2312"/>
          <w:sz w:val="32"/>
          <w:szCs w:val="32"/>
        </w:rPr>
        <w:t>万元、水政执法检查</w:t>
      </w:r>
      <w:r>
        <w:rPr>
          <w:rFonts w:ascii="仿宋_GB2312" w:eastAsia="仿宋_GB2312"/>
          <w:sz w:val="32"/>
          <w:szCs w:val="32"/>
        </w:rPr>
        <w:t>0.28</w:t>
      </w:r>
      <w:r>
        <w:rPr>
          <w:rFonts w:hint="eastAsia" w:ascii="仿宋_GB2312" w:eastAsia="仿宋_GB2312"/>
          <w:sz w:val="32"/>
          <w:szCs w:val="32"/>
        </w:rPr>
        <w:t>万元、河长制建设</w:t>
      </w:r>
      <w:r>
        <w:rPr>
          <w:rFonts w:ascii="仿宋_GB2312" w:eastAsia="仿宋_GB2312"/>
          <w:sz w:val="32"/>
          <w:szCs w:val="32"/>
        </w:rPr>
        <w:t>0.33</w:t>
      </w:r>
      <w:r>
        <w:rPr>
          <w:rFonts w:hint="eastAsia" w:ascii="仿宋_GB2312" w:eastAsia="仿宋_GB2312"/>
          <w:sz w:val="32"/>
          <w:szCs w:val="32"/>
        </w:rPr>
        <w:t>万元、小水电站建设检查</w:t>
      </w:r>
      <w:r>
        <w:rPr>
          <w:rFonts w:ascii="仿宋_GB2312" w:eastAsia="仿宋_GB2312"/>
          <w:sz w:val="32"/>
          <w:szCs w:val="32"/>
        </w:rPr>
        <w:t>0.41</w:t>
      </w:r>
      <w:r>
        <w:rPr>
          <w:rFonts w:hint="eastAsia" w:ascii="仿宋_GB2312" w:eastAsia="仿宋_GB2312"/>
          <w:sz w:val="32"/>
          <w:szCs w:val="32"/>
        </w:rPr>
        <w:t>万元、河流水系项目踏勘调研</w:t>
      </w:r>
      <w:r>
        <w:rPr>
          <w:rFonts w:ascii="仿宋_GB2312" w:eastAsia="仿宋_GB2312"/>
          <w:sz w:val="32"/>
          <w:szCs w:val="32"/>
        </w:rPr>
        <w:t>0.35</w:t>
      </w:r>
      <w:r>
        <w:rPr>
          <w:rFonts w:hint="eastAsia" w:ascii="仿宋_GB2312" w:eastAsia="仿宋_GB2312"/>
          <w:sz w:val="32"/>
          <w:szCs w:val="32"/>
        </w:rPr>
        <w:t>万元、对口帮扶及乡村振兴调研</w:t>
      </w:r>
      <w:r>
        <w:rPr>
          <w:rFonts w:ascii="仿宋_GB2312" w:eastAsia="仿宋_GB2312"/>
          <w:sz w:val="32"/>
          <w:szCs w:val="32"/>
        </w:rPr>
        <w:t>0.27</w:t>
      </w:r>
      <w:r>
        <w:rPr>
          <w:rFonts w:hint="eastAsia" w:ascii="仿宋_GB2312" w:eastAsia="仿宋_GB2312"/>
          <w:sz w:val="32"/>
          <w:szCs w:val="32"/>
        </w:rPr>
        <w:t>万元、高效节水与水价改革检查</w:t>
      </w:r>
      <w:r>
        <w:rPr>
          <w:rFonts w:ascii="仿宋_GB2312" w:eastAsia="仿宋_GB2312"/>
          <w:sz w:val="32"/>
          <w:szCs w:val="32"/>
        </w:rPr>
        <w:t>0.46</w:t>
      </w:r>
      <w:r>
        <w:rPr>
          <w:rFonts w:hint="eastAsia" w:ascii="仿宋_GB2312" w:eastAsia="仿宋_GB2312"/>
          <w:sz w:val="32"/>
          <w:szCs w:val="32"/>
        </w:rPr>
        <w:t>万元、高中水库管理处接待费</w:t>
      </w:r>
      <w:r>
        <w:rPr>
          <w:rFonts w:ascii="仿宋_GB2312" w:eastAsia="仿宋_GB2312"/>
          <w:sz w:val="32"/>
          <w:szCs w:val="32"/>
        </w:rPr>
        <w:t>0.58</w:t>
      </w:r>
      <w:r>
        <w:rPr>
          <w:rFonts w:hint="eastAsia" w:ascii="仿宋_GB2312" w:eastAsia="仿宋_GB2312"/>
          <w:sz w:val="32"/>
          <w:szCs w:val="32"/>
        </w:rPr>
        <w:t>万元、沫江堰管理处接待费</w:t>
      </w:r>
      <w:r>
        <w:rPr>
          <w:rFonts w:ascii="仿宋_GB2312" w:eastAsia="仿宋_GB2312"/>
          <w:sz w:val="32"/>
          <w:szCs w:val="32"/>
        </w:rPr>
        <w:t>0.78</w:t>
      </w:r>
      <w:r>
        <w:rPr>
          <w:rFonts w:hint="eastAsia" w:ascii="仿宋_GB2312" w:eastAsia="仿宋_GB2312"/>
          <w:sz w:val="32"/>
          <w:szCs w:val="32"/>
        </w:rPr>
        <w:t>万元、跃进渠管理处接待费</w:t>
      </w:r>
      <w:r>
        <w:rPr>
          <w:rFonts w:ascii="仿宋_GB2312" w:eastAsia="仿宋_GB2312"/>
          <w:sz w:val="32"/>
          <w:szCs w:val="32"/>
        </w:rPr>
        <w:t>0.18</w:t>
      </w:r>
      <w:r>
        <w:rPr>
          <w:rFonts w:hint="eastAsia" w:ascii="仿宋_GB2312" w:eastAsia="仿宋_GB2312"/>
          <w:sz w:val="32"/>
          <w:szCs w:val="32"/>
        </w:rPr>
        <w:t>万元；其他国内公务接待支出</w:t>
      </w:r>
      <w:r>
        <w:rPr>
          <w:rFonts w:ascii="仿宋_GB2312" w:eastAsia="仿宋_GB2312"/>
          <w:sz w:val="32"/>
          <w:szCs w:val="32"/>
        </w:rPr>
        <w:t>4.07</w:t>
      </w:r>
      <w:r>
        <w:rPr>
          <w:rFonts w:hint="eastAsia" w:ascii="仿宋_GB2312" w:eastAsia="仿宋_GB2312"/>
          <w:color w:val="000000"/>
          <w:sz w:val="32"/>
          <w:szCs w:val="32"/>
        </w:rPr>
        <w:t>万元</w:t>
      </w:r>
      <w:r>
        <w:rPr>
          <w:rFonts w:hint="eastAsia" w:ascii="仿宋_GB2312" w:eastAsia="仿宋_GB2312"/>
          <w:sz w:val="32"/>
          <w:szCs w:val="32"/>
        </w:rPr>
        <w:t>；无外事接待支出</w:t>
      </w:r>
      <w:r>
        <w:rPr>
          <w:rFonts w:hint="eastAsia" w:ascii="仿宋_GB2312" w:eastAsia="仿宋_GB2312"/>
          <w:color w:val="000000"/>
          <w:sz w:val="32"/>
          <w:szCs w:val="32"/>
        </w:rPr>
        <w:t>。</w:t>
      </w:r>
    </w:p>
    <w:p>
      <w:pPr>
        <w:spacing w:line="600" w:lineRule="exact"/>
        <w:ind w:firstLine="640"/>
        <w:outlineLvl w:val="1"/>
        <w:rPr>
          <w:rStyle w:val="20"/>
          <w:rFonts w:ascii="黑体" w:hAnsi="黑体" w:eastAsia="黑体"/>
        </w:rPr>
      </w:pPr>
      <w:bookmarkStart w:id="46" w:name="_Toc15377218"/>
      <w:bookmarkStart w:id="47" w:name="_Toc15396610"/>
      <w:r>
        <w:rPr>
          <w:rFonts w:hint="eastAsia" w:ascii="黑体" w:eastAsia="黑体"/>
          <w:color w:val="000000"/>
          <w:sz w:val="32"/>
          <w:szCs w:val="32"/>
        </w:rPr>
        <w:t>八、</w:t>
      </w:r>
      <w:r>
        <w:rPr>
          <w:rStyle w:val="20"/>
          <w:rFonts w:hint="eastAsia" w:ascii="黑体" w:hAnsi="黑体" w:eastAsia="黑体"/>
          <w:b w:val="0"/>
        </w:rPr>
        <w:t>政府性基金预算支出决算情况说明</w:t>
      </w:r>
      <w:bookmarkEnd w:id="46"/>
      <w:bookmarkEnd w:id="47"/>
    </w:p>
    <w:p>
      <w:pPr>
        <w:spacing w:line="600" w:lineRule="exact"/>
        <w:ind w:firstLine="640"/>
        <w:rPr>
          <w:rFonts w:ascii="仿宋_GB2312" w:eastAsia="仿宋_GB2312"/>
          <w:color w:val="000000"/>
          <w:sz w:val="32"/>
          <w:szCs w:val="32"/>
        </w:rPr>
      </w:pPr>
      <w:r>
        <w:rPr>
          <w:rFonts w:ascii="仿宋_GB2312" w:eastAsia="仿宋_GB2312"/>
          <w:color w:val="000000"/>
          <w:sz w:val="32"/>
          <w:szCs w:val="32"/>
        </w:rPr>
        <w:t>2018</w:t>
      </w:r>
      <w:r>
        <w:rPr>
          <w:rFonts w:hint="eastAsia" w:ascii="仿宋_GB2312" w:eastAsia="仿宋_GB2312"/>
          <w:color w:val="000000"/>
          <w:sz w:val="32"/>
          <w:szCs w:val="32"/>
        </w:rPr>
        <w:t>年政府性基金预算拨款支出</w:t>
      </w:r>
      <w:r>
        <w:rPr>
          <w:rFonts w:ascii="仿宋_GB2312" w:eastAsia="仿宋_GB2312"/>
          <w:color w:val="000000"/>
          <w:sz w:val="32"/>
          <w:szCs w:val="32"/>
        </w:rPr>
        <w:t>0</w:t>
      </w:r>
      <w:r>
        <w:rPr>
          <w:rFonts w:hint="eastAsia" w:ascii="仿宋_GB2312" w:eastAsia="仿宋_GB2312"/>
          <w:color w:val="000000"/>
          <w:sz w:val="32"/>
          <w:szCs w:val="32"/>
        </w:rPr>
        <w:t>万元。</w:t>
      </w:r>
    </w:p>
    <w:p>
      <w:pPr>
        <w:numPr>
          <w:ilvl w:val="0"/>
          <w:numId w:val="2"/>
        </w:numPr>
        <w:spacing w:line="600" w:lineRule="exact"/>
        <w:ind w:firstLine="640"/>
        <w:outlineLvl w:val="1"/>
        <w:rPr>
          <w:rStyle w:val="20"/>
          <w:rFonts w:ascii="黑体" w:hAnsi="黑体" w:eastAsia="黑体"/>
          <w:b w:val="0"/>
        </w:rPr>
      </w:pPr>
      <w:bookmarkStart w:id="48" w:name="_Toc15377219"/>
      <w:bookmarkStart w:id="49" w:name="_Toc15396611"/>
      <w:r>
        <w:rPr>
          <w:rStyle w:val="20"/>
          <w:rFonts w:hint="eastAsia" w:ascii="黑体" w:hAnsi="黑体" w:eastAsia="黑体"/>
          <w:b w:val="0"/>
        </w:rPr>
        <w:t>国有资本经营预算支出决算情况说明</w:t>
      </w:r>
      <w:bookmarkEnd w:id="48"/>
      <w:bookmarkEnd w:id="49"/>
    </w:p>
    <w:p>
      <w:pPr>
        <w:spacing w:line="600" w:lineRule="exact"/>
        <w:ind w:firstLine="640"/>
        <w:rPr>
          <w:rFonts w:ascii="仿宋_GB2312" w:eastAsia="仿宋_GB2312"/>
          <w:color w:val="000000"/>
          <w:sz w:val="32"/>
          <w:szCs w:val="32"/>
        </w:rPr>
      </w:pPr>
      <w:r>
        <w:rPr>
          <w:rFonts w:ascii="仿宋_GB2312" w:eastAsia="仿宋_GB2312"/>
          <w:color w:val="000000"/>
          <w:sz w:val="32"/>
          <w:szCs w:val="32"/>
        </w:rPr>
        <w:t>2018</w:t>
      </w:r>
      <w:r>
        <w:rPr>
          <w:rFonts w:hint="eastAsia" w:ascii="仿宋_GB2312" w:eastAsia="仿宋_GB2312"/>
          <w:color w:val="000000"/>
          <w:sz w:val="32"/>
          <w:szCs w:val="32"/>
        </w:rPr>
        <w:t>年国有资本经营预算拨款支出</w:t>
      </w:r>
      <w:r>
        <w:rPr>
          <w:rFonts w:ascii="仿宋_GB2312" w:eastAsia="仿宋_GB2312"/>
          <w:color w:val="000000"/>
          <w:sz w:val="32"/>
          <w:szCs w:val="32"/>
        </w:rPr>
        <w:t>0</w:t>
      </w:r>
      <w:r>
        <w:rPr>
          <w:rFonts w:hint="eastAsia" w:ascii="仿宋_GB2312" w:eastAsia="仿宋_GB2312"/>
          <w:color w:val="000000"/>
          <w:sz w:val="32"/>
          <w:szCs w:val="32"/>
        </w:rPr>
        <w:t>万元。</w:t>
      </w:r>
    </w:p>
    <w:p>
      <w:pPr>
        <w:pStyle w:val="29"/>
        <w:numPr>
          <w:ilvl w:val="0"/>
          <w:numId w:val="3"/>
        </w:numPr>
        <w:spacing w:line="580" w:lineRule="exact"/>
        <w:ind w:firstLineChars="0"/>
        <w:rPr>
          <w:rStyle w:val="20"/>
          <w:rFonts w:ascii="黑体" w:hAnsi="黑体" w:eastAsia="黑体"/>
          <w:b w:val="0"/>
        </w:rPr>
      </w:pPr>
      <w:r>
        <w:rPr>
          <w:rStyle w:val="20"/>
          <w:rFonts w:hint="eastAsia" w:ascii="黑体" w:hAnsi="黑体" w:eastAsia="黑体"/>
          <w:b w:val="0"/>
        </w:rPr>
        <w:t>预算绩效情况说明</w:t>
      </w:r>
    </w:p>
    <w:p>
      <w:pPr>
        <w:numPr>
          <w:ilvl w:val="0"/>
          <w:numId w:val="4"/>
        </w:numPr>
        <w:spacing w:line="580" w:lineRule="exact"/>
        <w:ind w:firstLine="643" w:firstLineChars="200"/>
        <w:rPr>
          <w:rFonts w:ascii="仿宋" w:hAnsi="仿宋" w:eastAsia="仿宋" w:cs="楷体_GB2312"/>
          <w:b/>
          <w:bCs/>
          <w:sz w:val="32"/>
          <w:szCs w:val="32"/>
        </w:rPr>
      </w:pPr>
      <w:r>
        <w:rPr>
          <w:rFonts w:hint="eastAsia" w:ascii="仿宋" w:hAnsi="仿宋" w:eastAsia="仿宋" w:cs="楷体_GB2312"/>
          <w:b/>
          <w:bCs/>
          <w:sz w:val="32"/>
          <w:szCs w:val="32"/>
        </w:rPr>
        <w:t>预算绩效管理工作开展情况。</w:t>
      </w:r>
    </w:p>
    <w:p>
      <w:pPr>
        <w:spacing w:line="58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sz w:val="32"/>
          <w:szCs w:val="32"/>
        </w:rPr>
        <w:t>根据预算绩效管理要求，本部门在年初预算编制阶段，对</w:t>
      </w:r>
      <w:r>
        <w:rPr>
          <w:rFonts w:ascii="仿宋_GB2312" w:hAnsi="仿宋_GB2312" w:eastAsia="仿宋_GB2312" w:cs="仿宋_GB2312"/>
          <w:sz w:val="32"/>
          <w:szCs w:val="32"/>
        </w:rPr>
        <w:t>23</w:t>
      </w:r>
      <w:r>
        <w:rPr>
          <w:rFonts w:hint="eastAsia" w:ascii="仿宋_GB2312" w:hAnsi="仿宋_GB2312" w:eastAsia="仿宋_GB2312" w:cs="仿宋_GB2312"/>
          <w:sz w:val="32"/>
          <w:szCs w:val="32"/>
        </w:rPr>
        <w:t>个项目编制了部门整体绩效目标，预算执行过程中，选取</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个重大项目开展绩效监控，年终执行完毕后，</w:t>
      </w:r>
      <w:r>
        <w:rPr>
          <w:rFonts w:hint="eastAsia" w:ascii="仿宋_GB2312" w:hAnsi="仿宋_GB2312" w:eastAsia="仿宋_GB2312" w:cs="仿宋_GB2312"/>
          <w:color w:val="000000"/>
          <w:sz w:val="32"/>
          <w:szCs w:val="32"/>
        </w:rPr>
        <w:t>对</w:t>
      </w:r>
      <w:r>
        <w:rPr>
          <w:rFonts w:ascii="仿宋_GB2312" w:hAnsi="仿宋_GB2312" w:eastAsia="仿宋_GB2312" w:cs="仿宋_GB2312"/>
          <w:color w:val="000000"/>
          <w:sz w:val="32"/>
          <w:szCs w:val="32"/>
        </w:rPr>
        <w:t>2</w:t>
      </w:r>
      <w:r>
        <w:rPr>
          <w:rFonts w:hint="eastAsia" w:ascii="仿宋_GB2312" w:hAnsi="仿宋_GB2312" w:eastAsia="仿宋_GB2312" w:cs="仿宋_GB2312"/>
          <w:color w:val="000000"/>
          <w:sz w:val="32"/>
          <w:szCs w:val="32"/>
        </w:rPr>
        <w:t>个重大项目开展了绩效目标完成情况梳理填报。</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本部门按要求对</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年部门整体支出开展绩效自评，从评价情况来看部门预（决）算编制合理，</w:t>
      </w:r>
      <w:r>
        <w:rPr>
          <w:rFonts w:hint="eastAsia" w:ascii="仿宋_GB2312" w:eastAsia="仿宋_GB2312"/>
          <w:color w:val="000000"/>
          <w:sz w:val="32"/>
          <w:szCs w:val="32"/>
          <w:shd w:val="clear" w:color="auto" w:fill="FFFFFF"/>
        </w:rPr>
        <w:t>项目支出提前细化，项目建设进程加快，预算执行情况总体良好，同时按照省、市厉行节约的要求严格控制“三公”经费支出，压缩各项预算，部门三公经费支出压减比例达到预期目标，绩效目标完成率较高，部门绩效管理水平进一步提升</w:t>
      </w:r>
      <w:r>
        <w:rPr>
          <w:rFonts w:hint="eastAsia" w:ascii="仿宋_GB2312" w:hAnsi="仿宋_GB2312" w:eastAsia="仿宋_GB2312" w:cs="仿宋_GB2312"/>
          <w:sz w:val="32"/>
          <w:szCs w:val="32"/>
        </w:rPr>
        <w:t>；本部门还自行组织了</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个项目绩效评价，从评价情况来看项目预算执行率较高，年度完成质量较高，评价指标科学完整，取得了较好的经济和社会效益，群众满意度较高。</w:t>
      </w:r>
    </w:p>
    <w:p>
      <w:pPr>
        <w:numPr>
          <w:ilvl w:val="0"/>
          <w:numId w:val="4"/>
        </w:numPr>
        <w:spacing w:line="580" w:lineRule="exact"/>
        <w:ind w:firstLine="643" w:firstLineChars="200"/>
        <w:rPr>
          <w:rFonts w:ascii="仿宋_GB2312" w:hAnsi="仿宋_GB2312" w:eastAsia="仿宋_GB2312" w:cs="仿宋_GB2312"/>
          <w:sz w:val="32"/>
          <w:szCs w:val="32"/>
        </w:rPr>
      </w:pPr>
      <w:r>
        <w:rPr>
          <w:rFonts w:hint="eastAsia" w:ascii="仿宋" w:hAnsi="仿宋" w:eastAsia="仿宋" w:cs="楷体_GB2312"/>
          <w:b/>
          <w:bCs/>
          <w:sz w:val="32"/>
          <w:szCs w:val="32"/>
        </w:rPr>
        <w:t>项目绩效目标完成情况。</w:t>
      </w:r>
      <w:r>
        <w:rPr>
          <w:rFonts w:ascii="楷体_GB2312" w:hAnsi="楷体_GB2312" w:eastAsia="楷体_GB2312" w:cs="楷体_GB2312"/>
          <w:b/>
          <w:bCs/>
          <w:sz w:val="32"/>
          <w:szCs w:val="32"/>
        </w:rPr>
        <w:br w:type="textWrapping"/>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本部门在</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年度部门决算中反映“</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年防汛物资采购”“青衣江灌区现代化改造规划”</w:t>
      </w:r>
      <w:r>
        <w:rPr>
          <w:rFonts w:ascii="仿宋_GB2312" w:hAnsi="仿宋_GB2312" w:eastAsia="仿宋_GB2312" w:cs="仿宋_GB2312"/>
          <w:sz w:val="32"/>
          <w:szCs w:val="32"/>
        </w:rPr>
        <w:t xml:space="preserve"> 2</w:t>
      </w:r>
      <w:r>
        <w:rPr>
          <w:rFonts w:hint="eastAsia" w:ascii="仿宋_GB2312" w:hAnsi="仿宋_GB2312" w:eastAsia="仿宋_GB2312" w:cs="仿宋_GB2312"/>
          <w:sz w:val="32"/>
          <w:szCs w:val="32"/>
        </w:rPr>
        <w:t>个项目绩效目标实际完成情况。</w:t>
      </w:r>
    </w:p>
    <w:p>
      <w:pPr>
        <w:numPr>
          <w:ilvl w:val="0"/>
          <w:numId w:val="5"/>
        </w:numPr>
        <w:spacing w:line="58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年度防汛物资采购项目绩效目标完成情况综述。项目全年预算数</w:t>
      </w:r>
      <w:r>
        <w:rPr>
          <w:rFonts w:ascii="仿宋_GB2312" w:hAnsi="仿宋_GB2312" w:eastAsia="仿宋_GB2312" w:cs="仿宋_GB2312"/>
          <w:sz w:val="32"/>
          <w:szCs w:val="32"/>
        </w:rPr>
        <w:t>50</w:t>
      </w:r>
      <w:r>
        <w:rPr>
          <w:rFonts w:hint="eastAsia" w:ascii="仿宋_GB2312" w:hAnsi="仿宋_GB2312" w:eastAsia="仿宋_GB2312" w:cs="仿宋_GB2312"/>
          <w:sz w:val="32"/>
          <w:szCs w:val="32"/>
        </w:rPr>
        <w:t>万元，执行数为</w:t>
      </w:r>
      <w:r>
        <w:rPr>
          <w:rFonts w:ascii="仿宋_GB2312" w:hAnsi="仿宋_GB2312" w:eastAsia="仿宋_GB2312" w:cs="仿宋_GB2312"/>
          <w:sz w:val="32"/>
          <w:szCs w:val="32"/>
        </w:rPr>
        <w:t>49.85</w:t>
      </w:r>
      <w:r>
        <w:rPr>
          <w:rFonts w:hint="eastAsia" w:ascii="仿宋_GB2312" w:hAnsi="仿宋_GB2312" w:eastAsia="仿宋_GB2312" w:cs="仿宋_GB2312"/>
          <w:sz w:val="32"/>
          <w:szCs w:val="32"/>
        </w:rPr>
        <w:t>万元，完成预算的</w:t>
      </w:r>
      <w:r>
        <w:rPr>
          <w:rFonts w:ascii="仿宋_GB2312" w:hAnsi="仿宋_GB2312" w:eastAsia="仿宋_GB2312" w:cs="仿宋_GB2312"/>
          <w:sz w:val="32"/>
          <w:szCs w:val="32"/>
        </w:rPr>
        <w:t>99.7%</w:t>
      </w:r>
      <w:r>
        <w:rPr>
          <w:rFonts w:hint="eastAsia" w:ascii="仿宋_GB2312" w:hAnsi="仿宋_GB2312" w:eastAsia="仿宋_GB2312" w:cs="仿宋_GB2312"/>
          <w:sz w:val="32"/>
          <w:szCs w:val="32"/>
        </w:rPr>
        <w:t>。通过项目实施，储备一定量常用防汛应急保障抢险物资，确保防汛工作正常进行，保证防汛设备物资储备和调度，为全市水利行业防汛抢险提供应急救援保障，保障人民财产安全和群众生命安全。主要问题：防汛物资储备种类、数量还稍显不足，只能满足局部小范围的应急救援抢险工作。下一步改进措施：积极向省水利厅争取防汛物资调拨，加强与应急局部门联动，保证在发生较大及以上险情时能及时向灾区调度应急救灾物资。</w:t>
      </w:r>
    </w:p>
    <w:tbl>
      <w:tblPr>
        <w:tblStyle w:val="13"/>
        <w:tblpPr w:leftFromText="180" w:rightFromText="180" w:vertAnchor="text" w:horzAnchor="page" w:tblpXSpec="center" w:tblpY="423"/>
        <w:tblOverlap w:val="never"/>
        <w:tblW w:w="5000" w:type="pct"/>
        <w:tblInd w:w="0" w:type="dxa"/>
        <w:tblLayout w:type="autofit"/>
        <w:tblCellMar>
          <w:top w:w="0" w:type="dxa"/>
          <w:left w:w="0" w:type="dxa"/>
          <w:bottom w:w="0" w:type="dxa"/>
          <w:right w:w="0" w:type="dxa"/>
        </w:tblCellMar>
      </w:tblPr>
      <w:tblGrid>
        <w:gridCol w:w="390"/>
        <w:gridCol w:w="1132"/>
        <w:gridCol w:w="846"/>
        <w:gridCol w:w="2062"/>
        <w:gridCol w:w="1922"/>
        <w:gridCol w:w="1990"/>
      </w:tblGrid>
      <w:tr>
        <w:tblPrEx>
          <w:tblCellMar>
            <w:top w:w="0" w:type="dxa"/>
            <w:left w:w="0" w:type="dxa"/>
            <w:bottom w:w="0" w:type="dxa"/>
            <w:right w:w="0" w:type="dxa"/>
          </w:tblCellMar>
        </w:tblPrEx>
        <w:trPr>
          <w:trHeight w:val="1034" w:hRule="atLeast"/>
        </w:trPr>
        <w:tc>
          <w:tcPr>
            <w:tcW w:w="5000" w:type="pct"/>
            <w:gridSpan w:val="6"/>
            <w:tcMar>
              <w:top w:w="15" w:type="dxa"/>
              <w:left w:w="15" w:type="dxa"/>
              <w:bottom w:w="0" w:type="dxa"/>
              <w:right w:w="15" w:type="dxa"/>
            </w:tcMar>
            <w:vAlign w:val="center"/>
          </w:tcPr>
          <w:p>
            <w:pPr>
              <w:pStyle w:val="29"/>
              <w:widowControl/>
              <w:ind w:firstLine="1677" w:firstLineChars="466"/>
              <w:textAlignment w:val="center"/>
              <w:rPr>
                <w:rFonts w:ascii="黑体" w:hAnsi="黑体" w:eastAsia="黑体" w:cs="宋体"/>
                <w:bCs/>
                <w:color w:val="000000"/>
                <w:kern w:val="0"/>
                <w:sz w:val="36"/>
                <w:szCs w:val="36"/>
              </w:rPr>
            </w:pPr>
            <w:r>
              <w:rPr>
                <w:rFonts w:hint="eastAsia" w:ascii="黑体" w:hAnsi="黑体" w:eastAsia="黑体" w:cs="宋体"/>
                <w:bCs/>
                <w:color w:val="000000"/>
                <w:kern w:val="0"/>
                <w:sz w:val="36"/>
                <w:szCs w:val="36"/>
              </w:rPr>
              <w:t>项目支出绩效目标完成情况表</w:t>
            </w:r>
          </w:p>
          <w:p>
            <w:pPr>
              <w:pStyle w:val="29"/>
              <w:widowControl/>
              <w:ind w:firstLine="3117" w:firstLineChars="866"/>
              <w:textAlignment w:val="center"/>
              <w:rPr>
                <w:rFonts w:ascii="宋体" w:cs="宋体"/>
                <w:color w:val="000000"/>
                <w:sz w:val="36"/>
                <w:szCs w:val="36"/>
              </w:rPr>
            </w:pPr>
            <w:r>
              <w:rPr>
                <w:rFonts w:ascii="宋体" w:hAnsi="宋体" w:cs="宋体"/>
                <w:color w:val="000000"/>
                <w:kern w:val="0"/>
                <w:sz w:val="36"/>
                <w:szCs w:val="36"/>
              </w:rPr>
              <w:t xml:space="preserve">(2018 </w:t>
            </w:r>
            <w:r>
              <w:rPr>
                <w:rFonts w:hint="eastAsia" w:ascii="宋体" w:hAnsi="宋体" w:cs="宋体"/>
                <w:color w:val="000000"/>
                <w:kern w:val="0"/>
                <w:sz w:val="36"/>
                <w:szCs w:val="36"/>
              </w:rPr>
              <w:t>年度</w:t>
            </w:r>
            <w:r>
              <w:rPr>
                <w:rFonts w:ascii="宋体" w:hAnsi="宋体" w:cs="宋体"/>
                <w:color w:val="000000"/>
                <w:kern w:val="0"/>
                <w:sz w:val="36"/>
                <w:szCs w:val="36"/>
              </w:rPr>
              <w:t>)</w:t>
            </w:r>
          </w:p>
        </w:tc>
      </w:tr>
      <w:tr>
        <w:tblPrEx>
          <w:tblCellMar>
            <w:top w:w="0" w:type="dxa"/>
            <w:left w:w="0" w:type="dxa"/>
            <w:bottom w:w="0" w:type="dxa"/>
            <w:right w:w="0" w:type="dxa"/>
          </w:tblCellMar>
        </w:tblPrEx>
        <w:trPr>
          <w:trHeight w:val="276" w:hRule="atLeast"/>
        </w:trPr>
        <w:tc>
          <w:tcPr>
            <w:tcW w:w="1397" w:type="pct"/>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项目名称</w:t>
            </w:r>
          </w:p>
        </w:tc>
        <w:tc>
          <w:tcPr>
            <w:tcW w:w="3603" w:type="pct"/>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2018</w:t>
            </w:r>
            <w:r>
              <w:rPr>
                <w:rFonts w:hint="eastAsia" w:ascii="宋体" w:cs="宋体"/>
                <w:color w:val="000000"/>
                <w:sz w:val="24"/>
              </w:rPr>
              <w:t>年度防汛物资采购</w:t>
            </w:r>
          </w:p>
        </w:tc>
      </w:tr>
      <w:tr>
        <w:tblPrEx>
          <w:tblCellMar>
            <w:top w:w="0" w:type="dxa"/>
            <w:left w:w="0" w:type="dxa"/>
            <w:bottom w:w="0" w:type="dxa"/>
            <w:right w:w="0" w:type="dxa"/>
          </w:tblCellMar>
        </w:tblPrEx>
        <w:trPr>
          <w:trHeight w:val="276" w:hRule="atLeast"/>
        </w:trPr>
        <w:tc>
          <w:tcPr>
            <w:tcW w:w="1397" w:type="pct"/>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预算单位</w:t>
            </w:r>
          </w:p>
        </w:tc>
        <w:tc>
          <w:tcPr>
            <w:tcW w:w="3603" w:type="pct"/>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乐山市水务局</w:t>
            </w:r>
          </w:p>
        </w:tc>
      </w:tr>
      <w:tr>
        <w:tblPrEx>
          <w:tblCellMar>
            <w:top w:w="0" w:type="dxa"/>
            <w:left w:w="0" w:type="dxa"/>
            <w:bottom w:w="0" w:type="dxa"/>
            <w:right w:w="0" w:type="dxa"/>
          </w:tblCellMar>
        </w:tblPrEx>
        <w:trPr>
          <w:trHeight w:val="276" w:hRule="atLeast"/>
        </w:trPr>
        <w:tc>
          <w:tcPr>
            <w:tcW w:w="196" w:type="pct"/>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预算执行情况</w:t>
            </w:r>
            <w:r>
              <w:rPr>
                <w:rFonts w:ascii="宋体" w:hAnsi="宋体" w:cs="宋体"/>
                <w:color w:val="000000"/>
                <w:kern w:val="0"/>
                <w:sz w:val="24"/>
              </w:rPr>
              <w:t>(</w:t>
            </w:r>
            <w:r>
              <w:rPr>
                <w:rFonts w:hint="eastAsia" w:ascii="宋体" w:hAnsi="宋体" w:cs="宋体"/>
                <w:color w:val="000000"/>
                <w:kern w:val="0"/>
                <w:sz w:val="24"/>
              </w:rPr>
              <w:t>万元</w:t>
            </w:r>
            <w:r>
              <w:rPr>
                <w:rFonts w:ascii="宋体" w:hAnsi="宋体" w:cs="宋体"/>
                <w:color w:val="000000"/>
                <w:kern w:val="0"/>
                <w:sz w:val="24"/>
              </w:rPr>
              <w:t>)</w:t>
            </w:r>
          </w:p>
        </w:tc>
        <w:tc>
          <w:tcPr>
            <w:tcW w:w="1201" w:type="pct"/>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预算数</w:t>
            </w:r>
            <w:r>
              <w:rPr>
                <w:rFonts w:ascii="宋体" w:hAnsi="宋体" w:cs="宋体"/>
                <w:color w:val="000000"/>
                <w:kern w:val="0"/>
                <w:sz w:val="24"/>
              </w:rPr>
              <w:t>:</w:t>
            </w:r>
          </w:p>
        </w:tc>
        <w:tc>
          <w:tcPr>
            <w:tcW w:w="1244"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50</w:t>
            </w:r>
            <w:r>
              <w:rPr>
                <w:rFonts w:hint="eastAsia" w:ascii="宋体" w:cs="宋体"/>
                <w:color w:val="000000"/>
                <w:sz w:val="24"/>
              </w:rPr>
              <w:t>万元</w:t>
            </w:r>
          </w:p>
        </w:tc>
        <w:tc>
          <w:tcPr>
            <w:tcW w:w="1159"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执行数</w:t>
            </w:r>
            <w:r>
              <w:rPr>
                <w:rFonts w:ascii="宋体" w:hAnsi="宋体" w:cs="宋体"/>
                <w:color w:val="000000"/>
                <w:kern w:val="0"/>
                <w:sz w:val="24"/>
              </w:rPr>
              <w:t>:</w:t>
            </w:r>
          </w:p>
        </w:tc>
        <w:tc>
          <w:tcPr>
            <w:tcW w:w="1201"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49.85</w:t>
            </w:r>
            <w:r>
              <w:rPr>
                <w:rFonts w:hint="eastAsia" w:ascii="宋体" w:cs="宋体"/>
                <w:color w:val="000000"/>
                <w:sz w:val="24"/>
              </w:rPr>
              <w:t>万元</w:t>
            </w:r>
          </w:p>
        </w:tc>
      </w:tr>
      <w:tr>
        <w:tblPrEx>
          <w:tblCellMar>
            <w:top w:w="0" w:type="dxa"/>
            <w:left w:w="0" w:type="dxa"/>
            <w:bottom w:w="0" w:type="dxa"/>
            <w:right w:w="0" w:type="dxa"/>
          </w:tblCellMar>
        </w:tblPrEx>
        <w:trPr>
          <w:trHeight w:val="276" w:hRule="atLeast"/>
        </w:trPr>
        <w:tc>
          <w:tcPr>
            <w:tcW w:w="196"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201" w:type="pct"/>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其中</w:t>
            </w:r>
            <w:r>
              <w:rPr>
                <w:rFonts w:ascii="宋体" w:cs="宋体"/>
                <w:color w:val="000000"/>
                <w:kern w:val="0"/>
                <w:sz w:val="24"/>
              </w:rPr>
              <w:t>-</w:t>
            </w:r>
            <w:r>
              <w:rPr>
                <w:rFonts w:hint="eastAsia" w:ascii="宋体" w:hAnsi="宋体" w:cs="宋体"/>
                <w:color w:val="000000"/>
                <w:kern w:val="0"/>
                <w:sz w:val="24"/>
              </w:rPr>
              <w:t>财政拨款</w:t>
            </w:r>
            <w:r>
              <w:rPr>
                <w:rFonts w:ascii="宋体" w:hAnsi="宋体" w:cs="宋体"/>
                <w:color w:val="000000"/>
                <w:kern w:val="0"/>
                <w:sz w:val="24"/>
              </w:rPr>
              <w:t>:</w:t>
            </w:r>
          </w:p>
        </w:tc>
        <w:tc>
          <w:tcPr>
            <w:tcW w:w="1244"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50</w:t>
            </w:r>
            <w:r>
              <w:rPr>
                <w:rFonts w:hint="eastAsia" w:ascii="宋体" w:cs="宋体"/>
                <w:color w:val="000000"/>
                <w:sz w:val="24"/>
              </w:rPr>
              <w:t>万元</w:t>
            </w:r>
          </w:p>
        </w:tc>
        <w:tc>
          <w:tcPr>
            <w:tcW w:w="1159"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其中</w:t>
            </w:r>
            <w:r>
              <w:rPr>
                <w:rFonts w:ascii="宋体" w:cs="宋体"/>
                <w:color w:val="000000"/>
                <w:kern w:val="0"/>
                <w:sz w:val="24"/>
              </w:rPr>
              <w:t>-</w:t>
            </w:r>
            <w:r>
              <w:rPr>
                <w:rFonts w:hint="eastAsia" w:ascii="宋体" w:hAnsi="宋体" w:cs="宋体"/>
                <w:color w:val="000000"/>
                <w:kern w:val="0"/>
                <w:sz w:val="24"/>
              </w:rPr>
              <w:t>财政拨款</w:t>
            </w:r>
            <w:r>
              <w:rPr>
                <w:rFonts w:ascii="宋体" w:hAnsi="宋体" w:cs="宋体"/>
                <w:color w:val="000000"/>
                <w:kern w:val="0"/>
                <w:sz w:val="24"/>
              </w:rPr>
              <w:t>:</w:t>
            </w:r>
          </w:p>
        </w:tc>
        <w:tc>
          <w:tcPr>
            <w:tcW w:w="1201"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49.85</w:t>
            </w:r>
            <w:r>
              <w:rPr>
                <w:rFonts w:hint="eastAsia" w:ascii="宋体" w:cs="宋体"/>
                <w:color w:val="000000"/>
                <w:sz w:val="24"/>
              </w:rPr>
              <w:t>万元</w:t>
            </w:r>
          </w:p>
        </w:tc>
      </w:tr>
      <w:tr>
        <w:tblPrEx>
          <w:tblCellMar>
            <w:top w:w="0" w:type="dxa"/>
            <w:left w:w="0" w:type="dxa"/>
            <w:bottom w:w="0" w:type="dxa"/>
            <w:right w:w="0" w:type="dxa"/>
          </w:tblCellMar>
        </w:tblPrEx>
        <w:trPr>
          <w:trHeight w:val="1511" w:hRule="atLeast"/>
        </w:trPr>
        <w:tc>
          <w:tcPr>
            <w:tcW w:w="196"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201" w:type="pct"/>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其它资金</w:t>
            </w:r>
            <w:r>
              <w:rPr>
                <w:rFonts w:ascii="宋体" w:hAnsi="宋体" w:cs="宋体"/>
                <w:color w:val="000000"/>
                <w:kern w:val="0"/>
                <w:sz w:val="24"/>
              </w:rPr>
              <w:t>:</w:t>
            </w:r>
          </w:p>
        </w:tc>
        <w:tc>
          <w:tcPr>
            <w:tcW w:w="1244"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kern w:val="0"/>
                <w:sz w:val="24"/>
              </w:rPr>
              <w:t>0</w:t>
            </w:r>
          </w:p>
        </w:tc>
        <w:tc>
          <w:tcPr>
            <w:tcW w:w="1159"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其它资金</w:t>
            </w:r>
            <w:r>
              <w:rPr>
                <w:rFonts w:ascii="宋体" w:hAnsi="宋体" w:cs="宋体"/>
                <w:color w:val="000000"/>
                <w:kern w:val="0"/>
                <w:sz w:val="24"/>
              </w:rPr>
              <w:t>:</w:t>
            </w:r>
          </w:p>
        </w:tc>
        <w:tc>
          <w:tcPr>
            <w:tcW w:w="1201"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cs="宋体"/>
                <w:color w:val="000000"/>
                <w:sz w:val="24"/>
              </w:rPr>
            </w:pPr>
            <w:r>
              <w:rPr>
                <w:rFonts w:ascii="宋体" w:cs="宋体"/>
                <w:color w:val="000000"/>
                <w:sz w:val="24"/>
              </w:rPr>
              <w:t>0</w:t>
            </w:r>
          </w:p>
        </w:tc>
      </w:tr>
      <w:tr>
        <w:tblPrEx>
          <w:tblCellMar>
            <w:top w:w="0" w:type="dxa"/>
            <w:left w:w="0" w:type="dxa"/>
            <w:bottom w:w="0" w:type="dxa"/>
            <w:right w:w="0" w:type="dxa"/>
          </w:tblCellMar>
        </w:tblPrEx>
        <w:trPr>
          <w:trHeight w:val="276" w:hRule="atLeast"/>
        </w:trPr>
        <w:tc>
          <w:tcPr>
            <w:tcW w:w="196" w:type="pct"/>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年度目标完成情况</w:t>
            </w:r>
          </w:p>
        </w:tc>
        <w:tc>
          <w:tcPr>
            <w:tcW w:w="2445" w:type="pct"/>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预期目标</w:t>
            </w:r>
          </w:p>
        </w:tc>
        <w:tc>
          <w:tcPr>
            <w:tcW w:w="2359" w:type="pct"/>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实际完成目标</w:t>
            </w:r>
          </w:p>
        </w:tc>
      </w:tr>
      <w:tr>
        <w:tblPrEx>
          <w:tblCellMar>
            <w:top w:w="0" w:type="dxa"/>
            <w:left w:w="0" w:type="dxa"/>
            <w:bottom w:w="0" w:type="dxa"/>
            <w:right w:w="0" w:type="dxa"/>
          </w:tblCellMar>
        </w:tblPrEx>
        <w:trPr>
          <w:trHeight w:val="1159" w:hRule="atLeast"/>
        </w:trPr>
        <w:tc>
          <w:tcPr>
            <w:tcW w:w="196"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2445" w:type="pct"/>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cs="宋体"/>
                <w:color w:val="000000"/>
                <w:sz w:val="24"/>
              </w:rPr>
            </w:pPr>
            <w:r>
              <w:rPr>
                <w:rFonts w:hint="eastAsia" w:ascii="宋体" w:cs="宋体"/>
                <w:color w:val="000000"/>
                <w:sz w:val="24"/>
              </w:rPr>
              <w:t>储备一定量常用防汛应急保障抢险物资，确保防汛工作正常进行，保证防汛设备物资储备和调度，为全市水利行业防汛抢险提供应急救援保障，保障人民财产安全和群众生命安全。</w:t>
            </w:r>
          </w:p>
        </w:tc>
        <w:tc>
          <w:tcPr>
            <w:tcW w:w="2359" w:type="pct"/>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left"/>
              <w:textAlignment w:val="center"/>
              <w:rPr>
                <w:rFonts w:ascii="宋体" w:cs="宋体"/>
                <w:color w:val="000000"/>
                <w:sz w:val="24"/>
              </w:rPr>
            </w:pPr>
            <w:r>
              <w:rPr>
                <w:rFonts w:hint="eastAsia" w:ascii="宋体" w:cs="宋体"/>
                <w:color w:val="000000"/>
                <w:sz w:val="24"/>
              </w:rPr>
              <w:t>储备一定量常用防汛应急保障抢险物资，确保防汛工作正常进行，保证防汛设备物资储备和调度，为全市水利行业防汛抢险提供应急救援保障，保障人民财产安全和群众生命安全。</w:t>
            </w:r>
          </w:p>
        </w:tc>
      </w:tr>
      <w:tr>
        <w:tblPrEx>
          <w:tblCellMar>
            <w:top w:w="0" w:type="dxa"/>
            <w:left w:w="0" w:type="dxa"/>
            <w:bottom w:w="0" w:type="dxa"/>
            <w:right w:w="0" w:type="dxa"/>
          </w:tblCellMar>
        </w:tblPrEx>
        <w:trPr>
          <w:trHeight w:val="1042" w:hRule="atLeast"/>
        </w:trPr>
        <w:tc>
          <w:tcPr>
            <w:tcW w:w="196" w:type="pct"/>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绩效指标完成情况</w:t>
            </w:r>
          </w:p>
        </w:tc>
        <w:tc>
          <w:tcPr>
            <w:tcW w:w="686"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一级指标</w:t>
            </w:r>
          </w:p>
        </w:tc>
        <w:tc>
          <w:tcPr>
            <w:tcW w:w="515"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二级指标</w:t>
            </w:r>
          </w:p>
        </w:tc>
        <w:tc>
          <w:tcPr>
            <w:tcW w:w="1244"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三级指标</w:t>
            </w:r>
          </w:p>
        </w:tc>
        <w:tc>
          <w:tcPr>
            <w:tcW w:w="1159"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预期指标值</w:t>
            </w:r>
            <w:r>
              <w:rPr>
                <w:rFonts w:ascii="宋体" w:hAnsi="宋体" w:cs="宋体"/>
                <w:color w:val="000000"/>
                <w:kern w:val="0"/>
                <w:sz w:val="24"/>
              </w:rPr>
              <w:t>(</w:t>
            </w:r>
            <w:r>
              <w:rPr>
                <w:rFonts w:hint="eastAsia" w:ascii="宋体" w:hAnsi="宋体" w:cs="宋体"/>
                <w:color w:val="000000"/>
                <w:kern w:val="0"/>
                <w:sz w:val="24"/>
              </w:rPr>
              <w:t>包含数字及文字描述</w:t>
            </w:r>
            <w:r>
              <w:rPr>
                <w:rFonts w:ascii="宋体" w:hAnsi="宋体" w:cs="宋体"/>
                <w:color w:val="000000"/>
                <w:kern w:val="0"/>
                <w:sz w:val="24"/>
              </w:rPr>
              <w:t>)</w:t>
            </w:r>
          </w:p>
        </w:tc>
        <w:tc>
          <w:tcPr>
            <w:tcW w:w="1201"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实际完成指标值</w:t>
            </w:r>
            <w:r>
              <w:rPr>
                <w:rFonts w:ascii="宋体" w:hAnsi="宋体" w:cs="宋体"/>
                <w:color w:val="000000"/>
                <w:kern w:val="0"/>
                <w:sz w:val="24"/>
              </w:rPr>
              <w:t>(</w:t>
            </w:r>
            <w:r>
              <w:rPr>
                <w:rFonts w:hint="eastAsia" w:ascii="宋体" w:hAnsi="宋体" w:cs="宋体"/>
                <w:color w:val="000000"/>
                <w:kern w:val="0"/>
                <w:sz w:val="24"/>
              </w:rPr>
              <w:t>包含数字及文字描述</w:t>
            </w:r>
            <w:r>
              <w:rPr>
                <w:rFonts w:ascii="宋体" w:hAnsi="宋体" w:cs="宋体"/>
                <w:color w:val="000000"/>
                <w:kern w:val="0"/>
                <w:sz w:val="24"/>
              </w:rPr>
              <w:t>)</w:t>
            </w:r>
          </w:p>
        </w:tc>
      </w:tr>
      <w:tr>
        <w:tblPrEx>
          <w:tblCellMar>
            <w:top w:w="0" w:type="dxa"/>
            <w:left w:w="0" w:type="dxa"/>
            <w:bottom w:w="0" w:type="dxa"/>
            <w:right w:w="0" w:type="dxa"/>
          </w:tblCellMar>
        </w:tblPrEx>
        <w:trPr>
          <w:trHeight w:val="668" w:hRule="atLeast"/>
        </w:trPr>
        <w:tc>
          <w:tcPr>
            <w:tcW w:w="196"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686" w:type="pct"/>
            <w:vMerge w:val="restart"/>
            <w:tcBorders>
              <w:top w:val="single" w:color="000000" w:sz="4" w:space="0"/>
              <w:left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项</w:t>
            </w:r>
          </w:p>
          <w:p>
            <w:pPr>
              <w:widowControl/>
              <w:jc w:val="center"/>
              <w:textAlignment w:val="center"/>
              <w:rPr>
                <w:rFonts w:ascii="宋体" w:cs="宋体"/>
                <w:color w:val="000000"/>
                <w:sz w:val="24"/>
              </w:rPr>
            </w:pPr>
            <w:r>
              <w:rPr>
                <w:rFonts w:hint="eastAsia" w:ascii="宋体" w:cs="宋体"/>
                <w:color w:val="000000"/>
                <w:sz w:val="24"/>
              </w:rPr>
              <w:t>目</w:t>
            </w:r>
          </w:p>
          <w:p>
            <w:pPr>
              <w:widowControl/>
              <w:jc w:val="center"/>
              <w:textAlignment w:val="center"/>
              <w:rPr>
                <w:rFonts w:ascii="宋体" w:cs="宋体"/>
                <w:color w:val="000000"/>
                <w:sz w:val="24"/>
              </w:rPr>
            </w:pPr>
            <w:r>
              <w:rPr>
                <w:rFonts w:hint="eastAsia" w:ascii="宋体" w:cs="宋体"/>
                <w:color w:val="000000"/>
                <w:sz w:val="24"/>
              </w:rPr>
              <w:t>完</w:t>
            </w:r>
          </w:p>
          <w:p>
            <w:pPr>
              <w:widowControl/>
              <w:jc w:val="center"/>
              <w:textAlignment w:val="center"/>
              <w:rPr>
                <w:rFonts w:ascii="宋体" w:cs="宋体"/>
                <w:color w:val="000000"/>
                <w:sz w:val="24"/>
              </w:rPr>
            </w:pPr>
            <w:r>
              <w:rPr>
                <w:rFonts w:hint="eastAsia" w:ascii="宋体" w:cs="宋体"/>
                <w:color w:val="000000"/>
                <w:sz w:val="24"/>
              </w:rPr>
              <w:t>成</w:t>
            </w:r>
          </w:p>
          <w:p>
            <w:pPr>
              <w:widowControl/>
              <w:jc w:val="center"/>
              <w:textAlignment w:val="center"/>
              <w:rPr>
                <w:rFonts w:ascii="宋体" w:cs="宋体"/>
                <w:color w:val="000000"/>
                <w:sz w:val="24"/>
              </w:rPr>
            </w:pPr>
            <w:r>
              <w:rPr>
                <w:rFonts w:hint="eastAsia" w:ascii="宋体" w:cs="宋体"/>
                <w:color w:val="000000"/>
                <w:sz w:val="24"/>
              </w:rPr>
              <w:t>指</w:t>
            </w:r>
          </w:p>
          <w:p>
            <w:pPr>
              <w:widowControl/>
              <w:jc w:val="center"/>
              <w:textAlignment w:val="center"/>
              <w:rPr>
                <w:rFonts w:ascii="宋体" w:cs="宋体"/>
                <w:color w:val="000000"/>
                <w:sz w:val="24"/>
              </w:rPr>
            </w:pPr>
            <w:r>
              <w:rPr>
                <w:rFonts w:hint="eastAsia" w:ascii="宋体" w:cs="宋体"/>
                <w:color w:val="000000"/>
                <w:sz w:val="24"/>
              </w:rPr>
              <w:t>标</w:t>
            </w:r>
          </w:p>
        </w:tc>
        <w:tc>
          <w:tcPr>
            <w:tcW w:w="515" w:type="pct"/>
            <w:vMerge w:val="restart"/>
            <w:tcBorders>
              <w:top w:val="single" w:color="000000" w:sz="4" w:space="0"/>
              <w:left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数量指标</w:t>
            </w:r>
          </w:p>
        </w:tc>
        <w:tc>
          <w:tcPr>
            <w:tcW w:w="1244"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雨鞋</w:t>
            </w:r>
          </w:p>
        </w:tc>
        <w:tc>
          <w:tcPr>
            <w:tcW w:w="1159"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100</w:t>
            </w:r>
            <w:r>
              <w:rPr>
                <w:rFonts w:hint="eastAsia" w:ascii="宋体" w:cs="宋体"/>
                <w:color w:val="000000"/>
                <w:sz w:val="24"/>
              </w:rPr>
              <w:t>双</w:t>
            </w:r>
          </w:p>
        </w:tc>
        <w:tc>
          <w:tcPr>
            <w:tcW w:w="1201"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100</w:t>
            </w:r>
            <w:r>
              <w:rPr>
                <w:rFonts w:hint="eastAsia" w:ascii="宋体" w:cs="宋体"/>
                <w:color w:val="000000"/>
                <w:sz w:val="24"/>
              </w:rPr>
              <w:t>双</w:t>
            </w:r>
          </w:p>
        </w:tc>
      </w:tr>
      <w:tr>
        <w:tblPrEx>
          <w:tblCellMar>
            <w:top w:w="0" w:type="dxa"/>
            <w:left w:w="0" w:type="dxa"/>
            <w:bottom w:w="0" w:type="dxa"/>
            <w:right w:w="0" w:type="dxa"/>
          </w:tblCellMar>
        </w:tblPrEx>
        <w:trPr>
          <w:trHeight w:val="678" w:hRule="atLeast"/>
        </w:trPr>
        <w:tc>
          <w:tcPr>
            <w:tcW w:w="196"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686" w:type="pct"/>
            <w:vMerge w:val="continue"/>
            <w:tcBorders>
              <w:left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515" w:type="pct"/>
            <w:vMerge w:val="continue"/>
            <w:tcBorders>
              <w:left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1244"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吸水膨胀袋</w:t>
            </w:r>
          </w:p>
        </w:tc>
        <w:tc>
          <w:tcPr>
            <w:tcW w:w="1159"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2000</w:t>
            </w:r>
            <w:r>
              <w:rPr>
                <w:rFonts w:hint="eastAsia" w:ascii="宋体" w:cs="宋体"/>
                <w:color w:val="000000"/>
                <w:sz w:val="24"/>
              </w:rPr>
              <w:t>个</w:t>
            </w:r>
          </w:p>
        </w:tc>
        <w:tc>
          <w:tcPr>
            <w:tcW w:w="1201"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2000</w:t>
            </w:r>
            <w:r>
              <w:rPr>
                <w:rFonts w:hint="eastAsia" w:ascii="宋体" w:cs="宋体"/>
                <w:color w:val="000000"/>
                <w:sz w:val="24"/>
              </w:rPr>
              <w:t>个</w:t>
            </w:r>
          </w:p>
        </w:tc>
      </w:tr>
      <w:tr>
        <w:tblPrEx>
          <w:tblCellMar>
            <w:top w:w="0" w:type="dxa"/>
            <w:left w:w="0" w:type="dxa"/>
            <w:bottom w:w="0" w:type="dxa"/>
            <w:right w:w="0" w:type="dxa"/>
          </w:tblCellMar>
        </w:tblPrEx>
        <w:trPr>
          <w:trHeight w:val="547" w:hRule="atLeast"/>
        </w:trPr>
        <w:tc>
          <w:tcPr>
            <w:tcW w:w="196"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686" w:type="pct"/>
            <w:vMerge w:val="continue"/>
            <w:tcBorders>
              <w:left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515" w:type="pct"/>
            <w:vMerge w:val="continue"/>
            <w:tcBorders>
              <w:left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1244"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吨袋</w:t>
            </w:r>
          </w:p>
        </w:tc>
        <w:tc>
          <w:tcPr>
            <w:tcW w:w="1159"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100</w:t>
            </w:r>
            <w:r>
              <w:rPr>
                <w:rFonts w:hint="eastAsia" w:ascii="宋体" w:cs="宋体"/>
                <w:color w:val="000000"/>
                <w:sz w:val="24"/>
              </w:rPr>
              <w:t>根</w:t>
            </w:r>
          </w:p>
        </w:tc>
        <w:tc>
          <w:tcPr>
            <w:tcW w:w="1201"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100</w:t>
            </w:r>
            <w:r>
              <w:rPr>
                <w:rFonts w:hint="eastAsia" w:ascii="宋体" w:cs="宋体"/>
                <w:color w:val="000000"/>
                <w:sz w:val="24"/>
              </w:rPr>
              <w:t>根</w:t>
            </w:r>
          </w:p>
        </w:tc>
      </w:tr>
      <w:tr>
        <w:tblPrEx>
          <w:tblCellMar>
            <w:top w:w="0" w:type="dxa"/>
            <w:left w:w="0" w:type="dxa"/>
            <w:bottom w:w="0" w:type="dxa"/>
            <w:right w:w="0" w:type="dxa"/>
          </w:tblCellMar>
        </w:tblPrEx>
        <w:trPr>
          <w:trHeight w:val="561" w:hRule="atLeast"/>
        </w:trPr>
        <w:tc>
          <w:tcPr>
            <w:tcW w:w="196"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686" w:type="pct"/>
            <w:vMerge w:val="continue"/>
            <w:tcBorders>
              <w:left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kern w:val="0"/>
                <w:sz w:val="24"/>
              </w:rPr>
            </w:pPr>
          </w:p>
        </w:tc>
        <w:tc>
          <w:tcPr>
            <w:tcW w:w="515" w:type="pct"/>
            <w:vMerge w:val="continue"/>
            <w:tcBorders>
              <w:left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1244"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编织袋</w:t>
            </w:r>
          </w:p>
        </w:tc>
        <w:tc>
          <w:tcPr>
            <w:tcW w:w="1159"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20000</w:t>
            </w:r>
            <w:r>
              <w:rPr>
                <w:rFonts w:hint="eastAsia" w:ascii="宋体" w:cs="宋体"/>
                <w:color w:val="000000"/>
                <w:sz w:val="24"/>
              </w:rPr>
              <w:t>根</w:t>
            </w:r>
          </w:p>
        </w:tc>
        <w:tc>
          <w:tcPr>
            <w:tcW w:w="1201"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20000</w:t>
            </w:r>
            <w:r>
              <w:rPr>
                <w:rFonts w:hint="eastAsia" w:ascii="宋体" w:cs="宋体"/>
                <w:color w:val="000000"/>
                <w:sz w:val="24"/>
              </w:rPr>
              <w:t>根</w:t>
            </w:r>
          </w:p>
        </w:tc>
      </w:tr>
      <w:tr>
        <w:tblPrEx>
          <w:tblCellMar>
            <w:top w:w="0" w:type="dxa"/>
            <w:left w:w="0" w:type="dxa"/>
            <w:bottom w:w="0" w:type="dxa"/>
            <w:right w:w="0" w:type="dxa"/>
          </w:tblCellMar>
        </w:tblPrEx>
        <w:trPr>
          <w:trHeight w:val="588" w:hRule="atLeast"/>
        </w:trPr>
        <w:tc>
          <w:tcPr>
            <w:tcW w:w="196"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686" w:type="pct"/>
            <w:vMerge w:val="continue"/>
            <w:tcBorders>
              <w:left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515" w:type="pct"/>
            <w:vMerge w:val="continue"/>
            <w:tcBorders>
              <w:left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1244"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复合土工布</w:t>
            </w:r>
          </w:p>
        </w:tc>
        <w:tc>
          <w:tcPr>
            <w:tcW w:w="1159"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4500</w:t>
            </w:r>
            <w:r>
              <w:rPr>
                <w:rFonts w:hint="eastAsia" w:ascii="宋体" w:cs="宋体"/>
                <w:color w:val="000000"/>
                <w:sz w:val="24"/>
              </w:rPr>
              <w:t>平方米</w:t>
            </w:r>
          </w:p>
        </w:tc>
        <w:tc>
          <w:tcPr>
            <w:tcW w:w="1201"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4500</w:t>
            </w:r>
            <w:r>
              <w:rPr>
                <w:rFonts w:hint="eastAsia" w:ascii="宋体" w:cs="宋体"/>
                <w:color w:val="000000"/>
                <w:sz w:val="24"/>
              </w:rPr>
              <w:t>平方米</w:t>
            </w:r>
          </w:p>
        </w:tc>
      </w:tr>
      <w:tr>
        <w:tblPrEx>
          <w:tblCellMar>
            <w:top w:w="0" w:type="dxa"/>
            <w:left w:w="0" w:type="dxa"/>
            <w:bottom w:w="0" w:type="dxa"/>
            <w:right w:w="0" w:type="dxa"/>
          </w:tblCellMar>
        </w:tblPrEx>
        <w:trPr>
          <w:trHeight w:val="648" w:hRule="atLeast"/>
        </w:trPr>
        <w:tc>
          <w:tcPr>
            <w:tcW w:w="196"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686" w:type="pct"/>
            <w:vMerge w:val="continue"/>
            <w:tcBorders>
              <w:left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515" w:type="pct"/>
            <w:vMerge w:val="continue"/>
            <w:tcBorders>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1244"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铅丝笼</w:t>
            </w:r>
          </w:p>
        </w:tc>
        <w:tc>
          <w:tcPr>
            <w:tcW w:w="1159"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3000</w:t>
            </w:r>
            <w:r>
              <w:rPr>
                <w:rFonts w:hint="eastAsia" w:ascii="宋体" w:cs="宋体"/>
                <w:color w:val="000000"/>
                <w:sz w:val="24"/>
              </w:rPr>
              <w:t>个</w:t>
            </w:r>
          </w:p>
        </w:tc>
        <w:tc>
          <w:tcPr>
            <w:tcW w:w="1201"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3000</w:t>
            </w:r>
            <w:r>
              <w:rPr>
                <w:rFonts w:hint="eastAsia" w:ascii="宋体" w:cs="宋体"/>
                <w:color w:val="000000"/>
                <w:sz w:val="24"/>
              </w:rPr>
              <w:t>个</w:t>
            </w:r>
          </w:p>
        </w:tc>
      </w:tr>
      <w:tr>
        <w:tblPrEx>
          <w:tblCellMar>
            <w:top w:w="0" w:type="dxa"/>
            <w:left w:w="0" w:type="dxa"/>
            <w:bottom w:w="0" w:type="dxa"/>
            <w:right w:w="0" w:type="dxa"/>
          </w:tblCellMar>
        </w:tblPrEx>
        <w:trPr>
          <w:trHeight w:val="648" w:hRule="atLeast"/>
        </w:trPr>
        <w:tc>
          <w:tcPr>
            <w:tcW w:w="196"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686" w:type="pct"/>
            <w:vMerge w:val="continue"/>
            <w:tcBorders>
              <w:left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515" w:type="pct"/>
            <w:tcBorders>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质量指标</w:t>
            </w:r>
          </w:p>
        </w:tc>
        <w:tc>
          <w:tcPr>
            <w:tcW w:w="1244"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成立验收小组保障</w:t>
            </w:r>
          </w:p>
          <w:p>
            <w:pPr>
              <w:widowControl/>
              <w:jc w:val="center"/>
              <w:textAlignment w:val="center"/>
              <w:rPr>
                <w:rFonts w:ascii="宋体" w:cs="宋体"/>
                <w:color w:val="000000"/>
                <w:sz w:val="24"/>
              </w:rPr>
            </w:pPr>
            <w:r>
              <w:rPr>
                <w:rFonts w:hint="eastAsia" w:ascii="宋体" w:cs="宋体"/>
                <w:color w:val="000000"/>
                <w:sz w:val="24"/>
              </w:rPr>
              <w:t>采购物资数量和质量</w:t>
            </w:r>
          </w:p>
        </w:tc>
        <w:tc>
          <w:tcPr>
            <w:tcW w:w="1159"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数量真实、质量可靠</w:t>
            </w:r>
          </w:p>
        </w:tc>
        <w:tc>
          <w:tcPr>
            <w:tcW w:w="1201"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成立验收小组以随机抽样检查保障数量、质量可靠</w:t>
            </w:r>
          </w:p>
        </w:tc>
      </w:tr>
      <w:tr>
        <w:tblPrEx>
          <w:tblCellMar>
            <w:top w:w="0" w:type="dxa"/>
            <w:left w:w="0" w:type="dxa"/>
            <w:bottom w:w="0" w:type="dxa"/>
            <w:right w:w="0" w:type="dxa"/>
          </w:tblCellMar>
        </w:tblPrEx>
        <w:trPr>
          <w:trHeight w:val="648" w:hRule="atLeast"/>
        </w:trPr>
        <w:tc>
          <w:tcPr>
            <w:tcW w:w="196"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686" w:type="pct"/>
            <w:vMerge w:val="continue"/>
            <w:tcBorders>
              <w:left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515" w:type="pct"/>
            <w:tcBorders>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时效指标</w:t>
            </w:r>
          </w:p>
        </w:tc>
        <w:tc>
          <w:tcPr>
            <w:tcW w:w="1244"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按照政府采购法在资金下达后及时采购</w:t>
            </w:r>
          </w:p>
        </w:tc>
        <w:tc>
          <w:tcPr>
            <w:tcW w:w="1159"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资金下达</w:t>
            </w:r>
            <w:r>
              <w:rPr>
                <w:rFonts w:ascii="宋体" w:cs="宋体"/>
                <w:color w:val="000000"/>
                <w:sz w:val="24"/>
              </w:rPr>
              <w:t>1</w:t>
            </w:r>
            <w:r>
              <w:rPr>
                <w:rFonts w:hint="eastAsia" w:ascii="宋体" w:cs="宋体"/>
                <w:color w:val="000000"/>
                <w:sz w:val="24"/>
              </w:rPr>
              <w:t>个月内完成</w:t>
            </w:r>
          </w:p>
        </w:tc>
        <w:tc>
          <w:tcPr>
            <w:tcW w:w="1201"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按时完成项目采购</w:t>
            </w:r>
          </w:p>
        </w:tc>
      </w:tr>
      <w:tr>
        <w:tblPrEx>
          <w:tblCellMar>
            <w:top w:w="0" w:type="dxa"/>
            <w:left w:w="0" w:type="dxa"/>
            <w:bottom w:w="0" w:type="dxa"/>
            <w:right w:w="0" w:type="dxa"/>
          </w:tblCellMar>
        </w:tblPrEx>
        <w:trPr>
          <w:trHeight w:val="648" w:hRule="atLeast"/>
        </w:trPr>
        <w:tc>
          <w:tcPr>
            <w:tcW w:w="196"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686" w:type="pct"/>
            <w:vMerge w:val="continue"/>
            <w:tcBorders>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515" w:type="pct"/>
            <w:tcBorders>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成本指标</w:t>
            </w:r>
          </w:p>
        </w:tc>
        <w:tc>
          <w:tcPr>
            <w:tcW w:w="1244"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严格执行资金预算管理</w:t>
            </w:r>
          </w:p>
        </w:tc>
        <w:tc>
          <w:tcPr>
            <w:tcW w:w="1159"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在预算内完成项目采购</w:t>
            </w:r>
          </w:p>
        </w:tc>
        <w:tc>
          <w:tcPr>
            <w:tcW w:w="1201"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预算内完成项目采购</w:t>
            </w:r>
          </w:p>
        </w:tc>
      </w:tr>
      <w:tr>
        <w:tblPrEx>
          <w:tblCellMar>
            <w:top w:w="0" w:type="dxa"/>
            <w:left w:w="0" w:type="dxa"/>
            <w:bottom w:w="0" w:type="dxa"/>
            <w:right w:w="0" w:type="dxa"/>
          </w:tblCellMar>
        </w:tblPrEx>
        <w:trPr>
          <w:trHeight w:val="1042" w:hRule="atLeast"/>
        </w:trPr>
        <w:tc>
          <w:tcPr>
            <w:tcW w:w="196"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686" w:type="pct"/>
            <w:vMerge w:val="restart"/>
            <w:tcBorders>
              <w:top w:val="single" w:color="000000" w:sz="4" w:space="0"/>
              <w:left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kern w:val="0"/>
                <w:sz w:val="24"/>
              </w:rPr>
            </w:pPr>
            <w:r>
              <w:rPr>
                <w:rFonts w:hint="eastAsia" w:ascii="宋体" w:hAnsi="宋体" w:cs="宋体"/>
                <w:color w:val="000000"/>
                <w:kern w:val="0"/>
                <w:sz w:val="24"/>
              </w:rPr>
              <w:t>效</w:t>
            </w:r>
          </w:p>
          <w:p>
            <w:pPr>
              <w:widowControl/>
              <w:jc w:val="center"/>
              <w:textAlignment w:val="center"/>
              <w:rPr>
                <w:rFonts w:ascii="宋体" w:cs="宋体"/>
                <w:color w:val="000000"/>
                <w:kern w:val="0"/>
                <w:sz w:val="24"/>
              </w:rPr>
            </w:pPr>
            <w:r>
              <w:rPr>
                <w:rFonts w:hint="eastAsia" w:ascii="宋体" w:hAnsi="宋体" w:cs="宋体"/>
                <w:color w:val="000000"/>
                <w:kern w:val="0"/>
                <w:sz w:val="24"/>
              </w:rPr>
              <w:t>益</w:t>
            </w:r>
          </w:p>
          <w:p>
            <w:pPr>
              <w:widowControl/>
              <w:jc w:val="center"/>
              <w:textAlignment w:val="center"/>
              <w:rPr>
                <w:rFonts w:ascii="宋体" w:cs="宋体"/>
                <w:color w:val="000000"/>
                <w:kern w:val="0"/>
                <w:sz w:val="24"/>
              </w:rPr>
            </w:pPr>
            <w:r>
              <w:rPr>
                <w:rFonts w:hint="eastAsia" w:ascii="宋体" w:hAnsi="宋体" w:cs="宋体"/>
                <w:color w:val="000000"/>
                <w:kern w:val="0"/>
                <w:sz w:val="24"/>
              </w:rPr>
              <w:t>指</w:t>
            </w:r>
          </w:p>
          <w:p>
            <w:pPr>
              <w:widowControl/>
              <w:jc w:val="center"/>
              <w:textAlignment w:val="center"/>
              <w:rPr>
                <w:rFonts w:ascii="宋体" w:cs="宋体"/>
                <w:color w:val="000000"/>
                <w:kern w:val="0"/>
                <w:sz w:val="24"/>
              </w:rPr>
            </w:pPr>
            <w:r>
              <w:rPr>
                <w:rFonts w:hint="eastAsia" w:ascii="宋体" w:hAnsi="宋体" w:cs="宋体"/>
                <w:color w:val="000000"/>
                <w:kern w:val="0"/>
                <w:sz w:val="24"/>
              </w:rPr>
              <w:t>标</w:t>
            </w:r>
          </w:p>
          <w:p>
            <w:pPr>
              <w:widowControl/>
              <w:jc w:val="center"/>
              <w:textAlignment w:val="center"/>
              <w:rPr>
                <w:rFonts w:ascii="宋体" w:cs="宋体"/>
                <w:color w:val="000000"/>
                <w:sz w:val="24"/>
              </w:rPr>
            </w:pPr>
          </w:p>
        </w:tc>
        <w:tc>
          <w:tcPr>
            <w:tcW w:w="515"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经济效益指标</w:t>
            </w:r>
          </w:p>
        </w:tc>
        <w:tc>
          <w:tcPr>
            <w:tcW w:w="1244"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防汛减灾得当取得的减灾效益</w:t>
            </w:r>
          </w:p>
        </w:tc>
        <w:tc>
          <w:tcPr>
            <w:tcW w:w="1159"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减灾</w:t>
            </w:r>
            <w:r>
              <w:rPr>
                <w:rFonts w:ascii="宋体" w:cs="宋体"/>
                <w:color w:val="000000"/>
                <w:sz w:val="24"/>
              </w:rPr>
              <w:t>12</w:t>
            </w:r>
            <w:r>
              <w:rPr>
                <w:rFonts w:hint="eastAsia" w:ascii="宋体" w:cs="宋体"/>
                <w:color w:val="000000"/>
                <w:sz w:val="24"/>
              </w:rPr>
              <w:t>亿元</w:t>
            </w:r>
          </w:p>
        </w:tc>
        <w:tc>
          <w:tcPr>
            <w:tcW w:w="1201"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减灾</w:t>
            </w:r>
            <w:r>
              <w:rPr>
                <w:rFonts w:ascii="宋体" w:cs="宋体"/>
                <w:color w:val="000000"/>
                <w:sz w:val="24"/>
              </w:rPr>
              <w:t>24.43</w:t>
            </w:r>
            <w:r>
              <w:rPr>
                <w:rFonts w:hint="eastAsia" w:ascii="宋体" w:cs="宋体"/>
                <w:color w:val="000000"/>
                <w:sz w:val="24"/>
              </w:rPr>
              <w:t>亿元</w:t>
            </w:r>
          </w:p>
        </w:tc>
      </w:tr>
      <w:tr>
        <w:tblPrEx>
          <w:tblCellMar>
            <w:top w:w="0" w:type="dxa"/>
            <w:left w:w="0" w:type="dxa"/>
            <w:bottom w:w="0" w:type="dxa"/>
            <w:right w:w="0" w:type="dxa"/>
          </w:tblCellMar>
        </w:tblPrEx>
        <w:trPr>
          <w:trHeight w:val="1297" w:hRule="atLeast"/>
        </w:trPr>
        <w:tc>
          <w:tcPr>
            <w:tcW w:w="196"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686" w:type="pct"/>
            <w:vMerge w:val="continue"/>
            <w:tcBorders>
              <w:left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515"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社会效益指标</w:t>
            </w:r>
          </w:p>
        </w:tc>
        <w:tc>
          <w:tcPr>
            <w:tcW w:w="1244"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汛期因洪涝灾害人员伤亡</w:t>
            </w:r>
          </w:p>
        </w:tc>
        <w:tc>
          <w:tcPr>
            <w:tcW w:w="1159"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零伤亡</w:t>
            </w:r>
          </w:p>
        </w:tc>
        <w:tc>
          <w:tcPr>
            <w:tcW w:w="1201"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实现零伤亡</w:t>
            </w:r>
          </w:p>
        </w:tc>
      </w:tr>
      <w:tr>
        <w:tblPrEx>
          <w:tblCellMar>
            <w:top w:w="0" w:type="dxa"/>
            <w:left w:w="0" w:type="dxa"/>
            <w:bottom w:w="0" w:type="dxa"/>
            <w:right w:w="0" w:type="dxa"/>
          </w:tblCellMar>
        </w:tblPrEx>
        <w:trPr>
          <w:trHeight w:val="1297" w:hRule="atLeast"/>
        </w:trPr>
        <w:tc>
          <w:tcPr>
            <w:tcW w:w="196"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686" w:type="pct"/>
            <w:vMerge w:val="continue"/>
            <w:tcBorders>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kern w:val="0"/>
                <w:sz w:val="24"/>
              </w:rPr>
            </w:pPr>
          </w:p>
        </w:tc>
        <w:tc>
          <w:tcPr>
            <w:tcW w:w="515"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生态效益指标</w:t>
            </w:r>
          </w:p>
        </w:tc>
        <w:tc>
          <w:tcPr>
            <w:tcW w:w="1244"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汛期因洪涝灾害造成化工原料泄漏污染江河</w:t>
            </w:r>
          </w:p>
        </w:tc>
        <w:tc>
          <w:tcPr>
            <w:tcW w:w="1159"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无泄漏</w:t>
            </w:r>
          </w:p>
        </w:tc>
        <w:tc>
          <w:tcPr>
            <w:tcW w:w="1201"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实现无泄漏</w:t>
            </w:r>
          </w:p>
        </w:tc>
      </w:tr>
      <w:tr>
        <w:tblPrEx>
          <w:tblCellMar>
            <w:top w:w="0" w:type="dxa"/>
            <w:left w:w="0" w:type="dxa"/>
            <w:bottom w:w="0" w:type="dxa"/>
            <w:right w:w="0" w:type="dxa"/>
          </w:tblCellMar>
        </w:tblPrEx>
        <w:trPr>
          <w:trHeight w:val="1050" w:hRule="atLeast"/>
        </w:trPr>
        <w:tc>
          <w:tcPr>
            <w:tcW w:w="196"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686"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满意度指标</w:t>
            </w:r>
          </w:p>
        </w:tc>
        <w:tc>
          <w:tcPr>
            <w:tcW w:w="515"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满意度指标</w:t>
            </w:r>
          </w:p>
        </w:tc>
        <w:tc>
          <w:tcPr>
            <w:tcW w:w="1244"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防汛减灾工作满意率</w:t>
            </w:r>
          </w:p>
        </w:tc>
        <w:tc>
          <w:tcPr>
            <w:tcW w:w="1159"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90%</w:t>
            </w:r>
          </w:p>
        </w:tc>
        <w:tc>
          <w:tcPr>
            <w:tcW w:w="1201"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95%</w:t>
            </w:r>
          </w:p>
        </w:tc>
      </w:tr>
    </w:tbl>
    <w:p>
      <w:pPr>
        <w:spacing w:line="580" w:lineRule="exact"/>
        <w:rPr>
          <w:rFonts w:ascii="仿宋_GB2312" w:hAnsi="仿宋_GB2312" w:eastAsia="仿宋_GB2312" w:cs="仿宋_GB2312"/>
          <w:sz w:val="32"/>
          <w:szCs w:val="32"/>
        </w:rPr>
      </w:pPr>
    </w:p>
    <w:p>
      <w:pPr>
        <w:numPr>
          <w:ilvl w:val="0"/>
          <w:numId w:val="5"/>
        </w:num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青衣江灌区现代化改造规划项目绩效目标完成情况综述。项目全年预算数</w:t>
      </w:r>
      <w:r>
        <w:rPr>
          <w:rFonts w:ascii="仿宋_GB2312" w:hAnsi="仿宋_GB2312" w:eastAsia="仿宋_GB2312" w:cs="仿宋_GB2312"/>
          <w:sz w:val="32"/>
          <w:szCs w:val="32"/>
        </w:rPr>
        <w:t>100</w:t>
      </w:r>
      <w:r>
        <w:rPr>
          <w:rFonts w:hint="eastAsia" w:ascii="仿宋_GB2312" w:hAnsi="仿宋_GB2312" w:eastAsia="仿宋_GB2312" w:cs="仿宋_GB2312"/>
          <w:sz w:val="32"/>
          <w:szCs w:val="32"/>
        </w:rPr>
        <w:t>万元，执行数为</w:t>
      </w:r>
      <w:r>
        <w:rPr>
          <w:rFonts w:ascii="仿宋_GB2312" w:hAnsi="仿宋_GB2312" w:eastAsia="仿宋_GB2312" w:cs="仿宋_GB2312"/>
          <w:sz w:val="32"/>
          <w:szCs w:val="32"/>
        </w:rPr>
        <w:t>100</w:t>
      </w:r>
      <w:r>
        <w:rPr>
          <w:rFonts w:hint="eastAsia" w:ascii="仿宋_GB2312" w:hAnsi="仿宋_GB2312" w:eastAsia="仿宋_GB2312" w:cs="仿宋_GB2312"/>
          <w:sz w:val="32"/>
          <w:szCs w:val="32"/>
        </w:rPr>
        <w:t>万元，完成预算的</w:t>
      </w:r>
      <w:r>
        <w:rPr>
          <w:rFonts w:ascii="仿宋_GB2312" w:hAnsi="仿宋_GB2312" w:eastAsia="仿宋_GB2312" w:cs="仿宋_GB2312"/>
          <w:sz w:val="32"/>
          <w:szCs w:val="32"/>
        </w:rPr>
        <w:t>100%</w:t>
      </w:r>
      <w:r>
        <w:rPr>
          <w:rFonts w:hint="eastAsia" w:ascii="仿宋_GB2312" w:hAnsi="仿宋_GB2312" w:eastAsia="仿宋_GB2312" w:cs="仿宋_GB2312"/>
          <w:sz w:val="32"/>
          <w:szCs w:val="32"/>
        </w:rPr>
        <w:t>。通过科学编制青衣江灌区现代化改造规划，有利于争取现代化灌区改造项目资金，项目实施后将实现年节水</w:t>
      </w:r>
      <w:r>
        <w:rPr>
          <w:rFonts w:ascii="仿宋_GB2312" w:hAnsi="仿宋_GB2312" w:eastAsia="仿宋_GB2312" w:cs="仿宋_GB2312"/>
          <w:sz w:val="32"/>
          <w:szCs w:val="32"/>
        </w:rPr>
        <w:t>8636</w:t>
      </w:r>
      <w:r>
        <w:rPr>
          <w:rFonts w:hint="eastAsia" w:ascii="仿宋_GB2312" w:hAnsi="仿宋_GB2312" w:eastAsia="仿宋_GB2312" w:cs="仿宋_GB2312"/>
          <w:sz w:val="32"/>
          <w:szCs w:val="32"/>
        </w:rPr>
        <w:t>万</w:t>
      </w:r>
      <w:r>
        <w:rPr>
          <w:rFonts w:ascii="仿宋_GB2312" w:hAnsi="仿宋_GB2312" w:eastAsia="仿宋_GB2312" w:cs="仿宋_GB2312"/>
          <w:sz w:val="32"/>
          <w:szCs w:val="32"/>
        </w:rPr>
        <w:t>m</w:t>
      </w:r>
      <w:r>
        <w:rPr>
          <w:rFonts w:ascii="仿宋_GB2312" w:hAnsi="仿宋_GB2312" w:eastAsia="仿宋_GB2312" w:cs="仿宋_GB2312"/>
          <w:sz w:val="32"/>
          <w:szCs w:val="32"/>
          <w:vertAlign w:val="superscript"/>
        </w:rPr>
        <w:t>3</w:t>
      </w:r>
      <w:r>
        <w:rPr>
          <w:rFonts w:hint="eastAsia" w:ascii="仿宋_GB2312" w:hAnsi="仿宋_GB2312" w:eastAsia="仿宋_GB2312" w:cs="仿宋_GB2312"/>
          <w:sz w:val="32"/>
          <w:szCs w:val="32"/>
        </w:rPr>
        <w:t>；改善、恢复和新增灌溉面积</w:t>
      </w:r>
      <w:r>
        <w:rPr>
          <w:rFonts w:ascii="仿宋_GB2312" w:hAnsi="仿宋_GB2312" w:eastAsia="仿宋_GB2312" w:cs="仿宋_GB2312"/>
          <w:sz w:val="32"/>
          <w:szCs w:val="32"/>
        </w:rPr>
        <w:t>6.2</w:t>
      </w:r>
      <w:r>
        <w:rPr>
          <w:rFonts w:hint="eastAsia" w:ascii="仿宋_GB2312" w:hAnsi="仿宋_GB2312" w:eastAsia="仿宋_GB2312" w:cs="仿宋_GB2312"/>
          <w:sz w:val="32"/>
          <w:szCs w:val="32"/>
        </w:rPr>
        <w:t>万亩；支撑灌区发展</w:t>
      </w:r>
      <w:r>
        <w:rPr>
          <w:rFonts w:ascii="仿宋_GB2312" w:hAnsi="仿宋_GB2312" w:eastAsia="仿宋_GB2312" w:cs="仿宋_GB2312"/>
          <w:sz w:val="32"/>
          <w:szCs w:val="32"/>
        </w:rPr>
        <w:t>15</w:t>
      </w:r>
      <w:r>
        <w:rPr>
          <w:rFonts w:hint="eastAsia" w:ascii="仿宋_GB2312" w:hAnsi="仿宋_GB2312" w:eastAsia="仿宋_GB2312" w:cs="仿宋_GB2312"/>
          <w:sz w:val="32"/>
          <w:szCs w:val="32"/>
        </w:rPr>
        <w:t>万亩高效节水灌溉面积；实现灌区量测控自动化和管理智能化；实现青衣江灌区高效、智慧、生态、人文的现代化建设目标。</w:t>
      </w:r>
    </w:p>
    <w:tbl>
      <w:tblPr>
        <w:tblStyle w:val="13"/>
        <w:tblpPr w:leftFromText="180" w:rightFromText="180" w:vertAnchor="text" w:horzAnchor="page" w:tblpXSpec="center" w:tblpY="423"/>
        <w:tblOverlap w:val="never"/>
        <w:tblW w:w="5000" w:type="pct"/>
        <w:tblInd w:w="0" w:type="dxa"/>
        <w:tblLayout w:type="autofit"/>
        <w:tblCellMar>
          <w:top w:w="0" w:type="dxa"/>
          <w:left w:w="0" w:type="dxa"/>
          <w:bottom w:w="0" w:type="dxa"/>
          <w:right w:w="0" w:type="dxa"/>
        </w:tblCellMar>
      </w:tblPr>
      <w:tblGrid>
        <w:gridCol w:w="677"/>
        <w:gridCol w:w="797"/>
        <w:gridCol w:w="1178"/>
        <w:gridCol w:w="1685"/>
        <w:gridCol w:w="2005"/>
        <w:gridCol w:w="2000"/>
      </w:tblGrid>
      <w:tr>
        <w:tblPrEx>
          <w:tblCellMar>
            <w:top w:w="0" w:type="dxa"/>
            <w:left w:w="0" w:type="dxa"/>
            <w:bottom w:w="0" w:type="dxa"/>
            <w:right w:w="0" w:type="dxa"/>
          </w:tblCellMar>
        </w:tblPrEx>
        <w:trPr>
          <w:trHeight w:val="1393" w:hRule="atLeast"/>
        </w:trPr>
        <w:tc>
          <w:tcPr>
            <w:tcW w:w="5000" w:type="pct"/>
            <w:gridSpan w:val="6"/>
            <w:tcMar>
              <w:top w:w="15" w:type="dxa"/>
              <w:left w:w="15" w:type="dxa"/>
              <w:bottom w:w="0" w:type="dxa"/>
              <w:right w:w="15" w:type="dxa"/>
            </w:tcMar>
            <w:vAlign w:val="center"/>
          </w:tcPr>
          <w:p>
            <w:pPr>
              <w:pStyle w:val="29"/>
              <w:widowControl/>
              <w:ind w:left="3246" w:leftChars="860" w:hanging="1440" w:hangingChars="400"/>
              <w:textAlignment w:val="center"/>
              <w:rPr>
                <w:rFonts w:ascii="宋体" w:cs="宋体"/>
                <w:color w:val="000000"/>
                <w:sz w:val="36"/>
                <w:szCs w:val="36"/>
              </w:rPr>
            </w:pPr>
            <w:r>
              <w:rPr>
                <w:rFonts w:hint="eastAsia" w:ascii="黑体" w:hAnsi="黑体" w:eastAsia="黑体" w:cs="宋体"/>
                <w:bCs/>
                <w:color w:val="000000"/>
                <w:kern w:val="0"/>
                <w:sz w:val="36"/>
                <w:szCs w:val="36"/>
              </w:rPr>
              <w:t>项目支出绩效目标完成情况表</w:t>
            </w:r>
            <w:r>
              <w:rPr>
                <w:rFonts w:ascii="宋体" w:cs="宋体"/>
                <w:b/>
                <w:bCs/>
                <w:color w:val="000000"/>
                <w:kern w:val="0"/>
                <w:sz w:val="36"/>
                <w:szCs w:val="36"/>
              </w:rPr>
              <w:br w:type="textWrapping"/>
            </w:r>
            <w:r>
              <w:rPr>
                <w:rFonts w:ascii="宋体" w:hAnsi="宋体" w:cs="宋体"/>
                <w:color w:val="000000"/>
                <w:kern w:val="0"/>
                <w:sz w:val="36"/>
                <w:szCs w:val="36"/>
              </w:rPr>
              <w:t xml:space="preserve">(2018 </w:t>
            </w:r>
            <w:r>
              <w:rPr>
                <w:rFonts w:hint="eastAsia" w:ascii="宋体" w:hAnsi="宋体" w:cs="宋体"/>
                <w:color w:val="000000"/>
                <w:kern w:val="0"/>
                <w:sz w:val="36"/>
                <w:szCs w:val="36"/>
              </w:rPr>
              <w:t>年度</w:t>
            </w:r>
            <w:r>
              <w:rPr>
                <w:rFonts w:ascii="宋体" w:hAnsi="宋体" w:cs="宋体"/>
                <w:color w:val="000000"/>
                <w:kern w:val="0"/>
                <w:sz w:val="36"/>
                <w:szCs w:val="36"/>
              </w:rPr>
              <w:t>)</w:t>
            </w:r>
          </w:p>
        </w:tc>
      </w:tr>
      <w:tr>
        <w:tblPrEx>
          <w:tblCellMar>
            <w:top w:w="0" w:type="dxa"/>
            <w:left w:w="0" w:type="dxa"/>
            <w:bottom w:w="0" w:type="dxa"/>
            <w:right w:w="0" w:type="dxa"/>
          </w:tblCellMar>
        </w:tblPrEx>
        <w:trPr>
          <w:trHeight w:val="339" w:hRule="atLeast"/>
        </w:trPr>
        <w:tc>
          <w:tcPr>
            <w:tcW w:w="1590" w:type="pct"/>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项目名称</w:t>
            </w:r>
          </w:p>
        </w:tc>
        <w:tc>
          <w:tcPr>
            <w:tcW w:w="3410" w:type="pct"/>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青衣江灌区现代化改造规划</w:t>
            </w:r>
          </w:p>
        </w:tc>
      </w:tr>
      <w:tr>
        <w:tblPrEx>
          <w:tblCellMar>
            <w:top w:w="0" w:type="dxa"/>
            <w:left w:w="0" w:type="dxa"/>
            <w:bottom w:w="0" w:type="dxa"/>
            <w:right w:w="0" w:type="dxa"/>
          </w:tblCellMar>
        </w:tblPrEx>
        <w:trPr>
          <w:trHeight w:val="339" w:hRule="atLeast"/>
        </w:trPr>
        <w:tc>
          <w:tcPr>
            <w:tcW w:w="1590" w:type="pct"/>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预算单位</w:t>
            </w:r>
          </w:p>
        </w:tc>
        <w:tc>
          <w:tcPr>
            <w:tcW w:w="3410" w:type="pct"/>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四川省青衣江乐山灌区（流域）管理局</w:t>
            </w:r>
          </w:p>
        </w:tc>
      </w:tr>
      <w:tr>
        <w:tblPrEx>
          <w:tblCellMar>
            <w:top w:w="0" w:type="dxa"/>
            <w:left w:w="0" w:type="dxa"/>
            <w:bottom w:w="0" w:type="dxa"/>
            <w:right w:w="0" w:type="dxa"/>
          </w:tblCellMar>
        </w:tblPrEx>
        <w:trPr>
          <w:trHeight w:val="339" w:hRule="atLeast"/>
        </w:trPr>
        <w:tc>
          <w:tcPr>
            <w:tcW w:w="406" w:type="pct"/>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预算执行情况</w:t>
            </w:r>
            <w:r>
              <w:rPr>
                <w:rFonts w:ascii="宋体" w:hAnsi="宋体" w:cs="宋体"/>
                <w:color w:val="000000"/>
                <w:kern w:val="0"/>
                <w:sz w:val="24"/>
              </w:rPr>
              <w:t>(</w:t>
            </w:r>
            <w:r>
              <w:rPr>
                <w:rFonts w:hint="eastAsia" w:ascii="宋体" w:hAnsi="宋体" w:cs="宋体"/>
                <w:color w:val="000000"/>
                <w:kern w:val="0"/>
                <w:sz w:val="24"/>
              </w:rPr>
              <w:t>万元</w:t>
            </w:r>
            <w:r>
              <w:rPr>
                <w:rFonts w:ascii="宋体" w:hAnsi="宋体" w:cs="宋体"/>
                <w:color w:val="000000"/>
                <w:kern w:val="0"/>
                <w:sz w:val="24"/>
              </w:rPr>
              <w:t>)</w:t>
            </w:r>
          </w:p>
        </w:tc>
        <w:tc>
          <w:tcPr>
            <w:tcW w:w="1184" w:type="pct"/>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预算数</w:t>
            </w:r>
            <w:r>
              <w:rPr>
                <w:rFonts w:ascii="宋体" w:hAnsi="宋体" w:cs="宋体"/>
                <w:color w:val="000000"/>
                <w:kern w:val="0"/>
                <w:sz w:val="24"/>
              </w:rPr>
              <w:t>:</w:t>
            </w:r>
          </w:p>
        </w:tc>
        <w:tc>
          <w:tcPr>
            <w:tcW w:w="1010"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100</w:t>
            </w:r>
          </w:p>
        </w:tc>
        <w:tc>
          <w:tcPr>
            <w:tcW w:w="1202"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执行数</w:t>
            </w:r>
            <w:r>
              <w:rPr>
                <w:rFonts w:ascii="宋体" w:hAnsi="宋体" w:cs="宋体"/>
                <w:color w:val="000000"/>
                <w:kern w:val="0"/>
                <w:sz w:val="24"/>
              </w:rPr>
              <w:t>:</w:t>
            </w:r>
          </w:p>
        </w:tc>
        <w:tc>
          <w:tcPr>
            <w:tcW w:w="1198"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100</w:t>
            </w:r>
          </w:p>
        </w:tc>
      </w:tr>
      <w:tr>
        <w:tblPrEx>
          <w:tblCellMar>
            <w:top w:w="0" w:type="dxa"/>
            <w:left w:w="0" w:type="dxa"/>
            <w:bottom w:w="0" w:type="dxa"/>
            <w:right w:w="0" w:type="dxa"/>
          </w:tblCellMar>
        </w:tblPrEx>
        <w:trPr>
          <w:trHeight w:val="653" w:hRule="atLeast"/>
        </w:trPr>
        <w:tc>
          <w:tcPr>
            <w:tcW w:w="406"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184" w:type="pct"/>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其中</w:t>
            </w:r>
            <w:r>
              <w:rPr>
                <w:rFonts w:ascii="宋体" w:cs="宋体"/>
                <w:color w:val="000000"/>
                <w:kern w:val="0"/>
                <w:sz w:val="24"/>
              </w:rPr>
              <w:t>-</w:t>
            </w:r>
            <w:r>
              <w:rPr>
                <w:rFonts w:hint="eastAsia" w:ascii="宋体" w:hAnsi="宋体" w:cs="宋体"/>
                <w:color w:val="000000"/>
                <w:kern w:val="0"/>
                <w:sz w:val="24"/>
              </w:rPr>
              <w:t>财政拨款</w:t>
            </w:r>
            <w:r>
              <w:rPr>
                <w:rFonts w:ascii="宋体" w:hAnsi="宋体" w:cs="宋体"/>
                <w:color w:val="000000"/>
                <w:kern w:val="0"/>
                <w:sz w:val="24"/>
              </w:rPr>
              <w:t>:</w:t>
            </w:r>
          </w:p>
        </w:tc>
        <w:tc>
          <w:tcPr>
            <w:tcW w:w="1010"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100</w:t>
            </w:r>
          </w:p>
        </w:tc>
        <w:tc>
          <w:tcPr>
            <w:tcW w:w="1202"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其中</w:t>
            </w:r>
            <w:r>
              <w:rPr>
                <w:rFonts w:ascii="宋体" w:cs="宋体"/>
                <w:color w:val="000000"/>
                <w:kern w:val="0"/>
                <w:sz w:val="24"/>
              </w:rPr>
              <w:t>-</w:t>
            </w:r>
            <w:r>
              <w:rPr>
                <w:rFonts w:hint="eastAsia" w:ascii="宋体" w:hAnsi="宋体" w:cs="宋体"/>
                <w:color w:val="000000"/>
                <w:kern w:val="0"/>
                <w:sz w:val="24"/>
              </w:rPr>
              <w:t>财政拨款</w:t>
            </w:r>
            <w:r>
              <w:rPr>
                <w:rFonts w:ascii="宋体" w:hAnsi="宋体" w:cs="宋体"/>
                <w:color w:val="000000"/>
                <w:kern w:val="0"/>
                <w:sz w:val="24"/>
              </w:rPr>
              <w:t>:</w:t>
            </w:r>
          </w:p>
        </w:tc>
        <w:tc>
          <w:tcPr>
            <w:tcW w:w="1198"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100</w:t>
            </w:r>
          </w:p>
        </w:tc>
      </w:tr>
      <w:tr>
        <w:tblPrEx>
          <w:tblCellMar>
            <w:top w:w="0" w:type="dxa"/>
            <w:left w:w="0" w:type="dxa"/>
            <w:bottom w:w="0" w:type="dxa"/>
            <w:right w:w="0" w:type="dxa"/>
          </w:tblCellMar>
        </w:tblPrEx>
        <w:trPr>
          <w:trHeight w:val="769" w:hRule="atLeast"/>
        </w:trPr>
        <w:tc>
          <w:tcPr>
            <w:tcW w:w="406"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1184" w:type="pct"/>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其它资金</w:t>
            </w:r>
            <w:r>
              <w:rPr>
                <w:rFonts w:ascii="宋体" w:hAnsi="宋体" w:cs="宋体"/>
                <w:color w:val="000000"/>
                <w:kern w:val="0"/>
                <w:sz w:val="24"/>
              </w:rPr>
              <w:t>:</w:t>
            </w:r>
          </w:p>
        </w:tc>
        <w:tc>
          <w:tcPr>
            <w:tcW w:w="1010"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kern w:val="0"/>
                <w:sz w:val="24"/>
              </w:rPr>
              <w:t>0</w:t>
            </w:r>
          </w:p>
        </w:tc>
        <w:tc>
          <w:tcPr>
            <w:tcW w:w="1202"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其它资金</w:t>
            </w:r>
            <w:r>
              <w:rPr>
                <w:rFonts w:ascii="宋体" w:hAnsi="宋体" w:cs="宋体"/>
                <w:color w:val="000000"/>
                <w:kern w:val="0"/>
                <w:sz w:val="24"/>
              </w:rPr>
              <w:t>:</w:t>
            </w:r>
          </w:p>
        </w:tc>
        <w:tc>
          <w:tcPr>
            <w:tcW w:w="1198"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宋体" w:cs="宋体"/>
                <w:color w:val="000000"/>
                <w:sz w:val="24"/>
              </w:rPr>
            </w:pPr>
            <w:r>
              <w:rPr>
                <w:rFonts w:ascii="宋体" w:cs="宋体"/>
                <w:color w:val="000000"/>
                <w:sz w:val="24"/>
              </w:rPr>
              <w:t>0</w:t>
            </w:r>
          </w:p>
        </w:tc>
      </w:tr>
      <w:tr>
        <w:tblPrEx>
          <w:tblCellMar>
            <w:top w:w="0" w:type="dxa"/>
            <w:left w:w="0" w:type="dxa"/>
            <w:bottom w:w="0" w:type="dxa"/>
            <w:right w:w="0" w:type="dxa"/>
          </w:tblCellMar>
        </w:tblPrEx>
        <w:trPr>
          <w:trHeight w:val="339" w:hRule="atLeast"/>
        </w:trPr>
        <w:tc>
          <w:tcPr>
            <w:tcW w:w="406" w:type="pct"/>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年度目标完成情况</w:t>
            </w:r>
          </w:p>
        </w:tc>
        <w:tc>
          <w:tcPr>
            <w:tcW w:w="2194" w:type="pct"/>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预期目标</w:t>
            </w:r>
          </w:p>
        </w:tc>
        <w:tc>
          <w:tcPr>
            <w:tcW w:w="2400" w:type="pct"/>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实际完成目标</w:t>
            </w:r>
          </w:p>
        </w:tc>
      </w:tr>
      <w:tr>
        <w:tblPrEx>
          <w:tblCellMar>
            <w:top w:w="0" w:type="dxa"/>
            <w:left w:w="0" w:type="dxa"/>
            <w:bottom w:w="0" w:type="dxa"/>
            <w:right w:w="0" w:type="dxa"/>
          </w:tblCellMar>
        </w:tblPrEx>
        <w:trPr>
          <w:trHeight w:val="1669" w:hRule="atLeast"/>
        </w:trPr>
        <w:tc>
          <w:tcPr>
            <w:tcW w:w="406"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cs="宋体"/>
                <w:color w:val="000000"/>
                <w:sz w:val="24"/>
              </w:rPr>
            </w:pPr>
          </w:p>
        </w:tc>
        <w:tc>
          <w:tcPr>
            <w:tcW w:w="2194" w:type="pct"/>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完成青衣江灌区现代化改造规划编制初稿</w:t>
            </w:r>
          </w:p>
        </w:tc>
        <w:tc>
          <w:tcPr>
            <w:tcW w:w="2400" w:type="pct"/>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完成青衣江灌区现代化改造规划编制初稿</w:t>
            </w:r>
          </w:p>
        </w:tc>
      </w:tr>
      <w:tr>
        <w:tblPrEx>
          <w:tblCellMar>
            <w:top w:w="0" w:type="dxa"/>
            <w:left w:w="0" w:type="dxa"/>
            <w:bottom w:w="0" w:type="dxa"/>
            <w:right w:w="0" w:type="dxa"/>
          </w:tblCellMar>
        </w:tblPrEx>
        <w:trPr>
          <w:trHeight w:val="1073" w:hRule="atLeast"/>
        </w:trPr>
        <w:tc>
          <w:tcPr>
            <w:tcW w:w="406" w:type="pct"/>
            <w:vMerge w:val="restart"/>
            <w:tcBorders>
              <w:top w:val="single" w:color="000000" w:sz="4" w:space="0"/>
              <w:left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sz w:val="24"/>
              </w:rPr>
              <w:t>绩效指标完成情况</w:t>
            </w:r>
          </w:p>
        </w:tc>
        <w:tc>
          <w:tcPr>
            <w:tcW w:w="478"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一级指标</w:t>
            </w:r>
          </w:p>
        </w:tc>
        <w:tc>
          <w:tcPr>
            <w:tcW w:w="706"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二级指标</w:t>
            </w:r>
          </w:p>
        </w:tc>
        <w:tc>
          <w:tcPr>
            <w:tcW w:w="1010"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三级指标</w:t>
            </w:r>
          </w:p>
        </w:tc>
        <w:tc>
          <w:tcPr>
            <w:tcW w:w="1202"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预期指标值</w:t>
            </w:r>
            <w:r>
              <w:rPr>
                <w:rFonts w:ascii="宋体" w:hAnsi="宋体" w:cs="宋体"/>
                <w:color w:val="000000"/>
                <w:kern w:val="0"/>
                <w:sz w:val="24"/>
              </w:rPr>
              <w:t>(</w:t>
            </w:r>
            <w:r>
              <w:rPr>
                <w:rFonts w:hint="eastAsia" w:ascii="宋体" w:hAnsi="宋体" w:cs="宋体"/>
                <w:color w:val="000000"/>
                <w:kern w:val="0"/>
                <w:sz w:val="24"/>
              </w:rPr>
              <w:t>包含数字及文字描述</w:t>
            </w:r>
            <w:r>
              <w:rPr>
                <w:rFonts w:ascii="宋体" w:hAnsi="宋体" w:cs="宋体"/>
                <w:color w:val="000000"/>
                <w:kern w:val="0"/>
                <w:sz w:val="24"/>
              </w:rPr>
              <w:t>)</w:t>
            </w:r>
          </w:p>
        </w:tc>
        <w:tc>
          <w:tcPr>
            <w:tcW w:w="1198"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实际完成指标值</w:t>
            </w:r>
            <w:r>
              <w:rPr>
                <w:rFonts w:ascii="宋体" w:hAnsi="宋体" w:cs="宋体"/>
                <w:color w:val="000000"/>
                <w:kern w:val="0"/>
                <w:sz w:val="24"/>
              </w:rPr>
              <w:t>(</w:t>
            </w:r>
            <w:r>
              <w:rPr>
                <w:rFonts w:hint="eastAsia" w:ascii="宋体" w:hAnsi="宋体" w:cs="宋体"/>
                <w:color w:val="000000"/>
                <w:kern w:val="0"/>
                <w:sz w:val="24"/>
              </w:rPr>
              <w:t>包含数字及文字描述</w:t>
            </w:r>
            <w:r>
              <w:rPr>
                <w:rFonts w:ascii="宋体" w:hAnsi="宋体" w:cs="宋体"/>
                <w:color w:val="000000"/>
                <w:kern w:val="0"/>
                <w:sz w:val="24"/>
              </w:rPr>
              <w:t>)</w:t>
            </w:r>
          </w:p>
        </w:tc>
      </w:tr>
      <w:tr>
        <w:tblPrEx>
          <w:tblCellMar>
            <w:top w:w="0" w:type="dxa"/>
            <w:left w:w="0" w:type="dxa"/>
            <w:bottom w:w="0" w:type="dxa"/>
            <w:right w:w="0" w:type="dxa"/>
          </w:tblCellMar>
        </w:tblPrEx>
        <w:trPr>
          <w:trHeight w:val="984" w:hRule="atLeast"/>
        </w:trPr>
        <w:tc>
          <w:tcPr>
            <w:tcW w:w="406" w:type="pct"/>
            <w:vMerge w:val="continue"/>
            <w:tcBorders>
              <w:left w:val="single" w:color="000000" w:sz="4" w:space="0"/>
              <w:right w:val="single" w:color="000000" w:sz="4" w:space="0"/>
            </w:tcBorders>
            <w:vAlign w:val="center"/>
          </w:tcPr>
          <w:p>
            <w:pPr>
              <w:widowControl/>
              <w:jc w:val="left"/>
              <w:rPr>
                <w:rFonts w:ascii="宋体" w:cs="宋体"/>
                <w:color w:val="000000"/>
                <w:sz w:val="24"/>
              </w:rPr>
            </w:pPr>
          </w:p>
        </w:tc>
        <w:tc>
          <w:tcPr>
            <w:tcW w:w="478" w:type="pct"/>
            <w:vMerge w:val="restart"/>
            <w:tcBorders>
              <w:top w:val="single" w:color="000000" w:sz="4" w:space="0"/>
              <w:left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项目完成指标</w:t>
            </w:r>
          </w:p>
        </w:tc>
        <w:tc>
          <w:tcPr>
            <w:tcW w:w="706" w:type="pct"/>
            <w:vMerge w:val="restart"/>
            <w:tcBorders>
              <w:top w:val="single" w:color="000000" w:sz="4" w:space="0"/>
              <w:left w:val="single" w:color="000000" w:sz="4" w:space="0"/>
              <w:right w:val="single" w:color="000000" w:sz="4" w:space="0"/>
            </w:tcBorders>
            <w:tcMar>
              <w:top w:w="15" w:type="dxa"/>
              <w:left w:w="15" w:type="dxa"/>
              <w:bottom w:w="0" w:type="dxa"/>
              <w:right w:w="15" w:type="dxa"/>
            </w:tcMar>
            <w:vAlign w:val="center"/>
          </w:tcPr>
          <w:p>
            <w:pPr>
              <w:jc w:val="center"/>
              <w:textAlignment w:val="center"/>
              <w:rPr>
                <w:rFonts w:ascii="宋体" w:cs="宋体"/>
                <w:color w:val="000000"/>
                <w:sz w:val="24"/>
              </w:rPr>
            </w:pPr>
          </w:p>
          <w:p>
            <w:pPr>
              <w:jc w:val="center"/>
              <w:textAlignment w:val="center"/>
              <w:rPr>
                <w:rFonts w:ascii="宋体" w:cs="宋体"/>
                <w:color w:val="000000"/>
                <w:sz w:val="24"/>
              </w:rPr>
            </w:pPr>
            <w:r>
              <w:rPr>
                <w:rFonts w:hint="eastAsia" w:ascii="宋体" w:cs="宋体"/>
                <w:color w:val="000000"/>
                <w:sz w:val="24"/>
              </w:rPr>
              <w:t>数量指标</w:t>
            </w:r>
          </w:p>
        </w:tc>
        <w:tc>
          <w:tcPr>
            <w:tcW w:w="1010"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编制规划数量</w:t>
            </w:r>
          </w:p>
        </w:tc>
        <w:tc>
          <w:tcPr>
            <w:tcW w:w="1202"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1</w:t>
            </w:r>
            <w:r>
              <w:rPr>
                <w:rFonts w:hint="eastAsia" w:ascii="宋体" w:cs="宋体"/>
                <w:color w:val="000000"/>
                <w:sz w:val="24"/>
              </w:rPr>
              <w:t>套（初稿）</w:t>
            </w:r>
          </w:p>
        </w:tc>
        <w:tc>
          <w:tcPr>
            <w:tcW w:w="1198"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1</w:t>
            </w:r>
            <w:r>
              <w:rPr>
                <w:rFonts w:hint="eastAsia" w:ascii="宋体" w:cs="宋体"/>
                <w:color w:val="000000"/>
                <w:sz w:val="24"/>
              </w:rPr>
              <w:t>套（初稿）</w:t>
            </w:r>
          </w:p>
        </w:tc>
      </w:tr>
      <w:tr>
        <w:tblPrEx>
          <w:tblCellMar>
            <w:top w:w="0" w:type="dxa"/>
            <w:left w:w="0" w:type="dxa"/>
            <w:bottom w:w="0" w:type="dxa"/>
            <w:right w:w="0" w:type="dxa"/>
          </w:tblCellMar>
        </w:tblPrEx>
        <w:trPr>
          <w:trHeight w:val="984" w:hRule="atLeast"/>
        </w:trPr>
        <w:tc>
          <w:tcPr>
            <w:tcW w:w="406" w:type="pct"/>
            <w:vMerge w:val="continue"/>
            <w:tcBorders>
              <w:left w:val="single" w:color="000000" w:sz="4" w:space="0"/>
              <w:right w:val="single" w:color="000000" w:sz="4" w:space="0"/>
            </w:tcBorders>
            <w:vAlign w:val="center"/>
          </w:tcPr>
          <w:p>
            <w:pPr>
              <w:widowControl/>
              <w:jc w:val="left"/>
              <w:rPr>
                <w:rFonts w:ascii="宋体" w:cs="宋体"/>
                <w:color w:val="000000"/>
                <w:sz w:val="24"/>
              </w:rPr>
            </w:pPr>
          </w:p>
        </w:tc>
        <w:tc>
          <w:tcPr>
            <w:tcW w:w="478" w:type="pct"/>
            <w:vMerge w:val="continue"/>
            <w:tcBorders>
              <w:left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kern w:val="0"/>
                <w:sz w:val="24"/>
              </w:rPr>
            </w:pPr>
          </w:p>
        </w:tc>
        <w:tc>
          <w:tcPr>
            <w:tcW w:w="706" w:type="pct"/>
            <w:vMerge w:val="continue"/>
            <w:tcBorders>
              <w:left w:val="single" w:color="000000" w:sz="4" w:space="0"/>
              <w:bottom w:val="single" w:color="auto" w:sz="4" w:space="0"/>
              <w:right w:val="single" w:color="000000" w:sz="4" w:space="0"/>
            </w:tcBorders>
            <w:tcMar>
              <w:top w:w="15" w:type="dxa"/>
              <w:left w:w="15" w:type="dxa"/>
              <w:bottom w:w="0" w:type="dxa"/>
              <w:right w:w="15" w:type="dxa"/>
            </w:tcMar>
            <w:vAlign w:val="center"/>
          </w:tcPr>
          <w:p>
            <w:pPr>
              <w:jc w:val="center"/>
              <w:textAlignment w:val="center"/>
              <w:rPr>
                <w:rFonts w:ascii="宋体" w:cs="宋体"/>
                <w:color w:val="000000"/>
                <w:sz w:val="24"/>
              </w:rPr>
            </w:pPr>
          </w:p>
        </w:tc>
        <w:tc>
          <w:tcPr>
            <w:tcW w:w="1010"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规划覆盖范围</w:t>
            </w:r>
          </w:p>
        </w:tc>
        <w:tc>
          <w:tcPr>
            <w:tcW w:w="1202"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市中区、峨眉山市和夹江县</w:t>
            </w:r>
            <w:r>
              <w:rPr>
                <w:rFonts w:ascii="宋体" w:cs="宋体"/>
                <w:color w:val="000000"/>
                <w:sz w:val="24"/>
              </w:rPr>
              <w:t>3</w:t>
            </w:r>
            <w:r>
              <w:rPr>
                <w:rFonts w:hint="eastAsia" w:ascii="宋体" w:cs="宋体"/>
                <w:color w:val="000000"/>
                <w:sz w:val="24"/>
              </w:rPr>
              <w:t>个行政区的</w:t>
            </w:r>
            <w:r>
              <w:rPr>
                <w:rFonts w:ascii="宋体" w:cs="宋体"/>
                <w:color w:val="000000"/>
                <w:sz w:val="24"/>
              </w:rPr>
              <w:t>26</w:t>
            </w:r>
            <w:r>
              <w:rPr>
                <w:rFonts w:hint="eastAsia" w:ascii="宋体" w:cs="宋体"/>
                <w:color w:val="000000"/>
                <w:sz w:val="24"/>
              </w:rPr>
              <w:t>个乡镇</w:t>
            </w:r>
          </w:p>
        </w:tc>
        <w:tc>
          <w:tcPr>
            <w:tcW w:w="1198"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市中区、峨眉山市和夹江县</w:t>
            </w:r>
            <w:r>
              <w:rPr>
                <w:rFonts w:ascii="宋体" w:cs="宋体"/>
                <w:color w:val="000000"/>
                <w:sz w:val="24"/>
              </w:rPr>
              <w:t>3</w:t>
            </w:r>
            <w:r>
              <w:rPr>
                <w:rFonts w:hint="eastAsia" w:ascii="宋体" w:cs="宋体"/>
                <w:color w:val="000000"/>
                <w:sz w:val="24"/>
              </w:rPr>
              <w:t>个行政区的</w:t>
            </w:r>
            <w:r>
              <w:rPr>
                <w:rFonts w:ascii="宋体" w:cs="宋体"/>
                <w:color w:val="000000"/>
                <w:sz w:val="24"/>
              </w:rPr>
              <w:t>26</w:t>
            </w:r>
            <w:r>
              <w:rPr>
                <w:rFonts w:hint="eastAsia" w:ascii="宋体" w:cs="宋体"/>
                <w:color w:val="000000"/>
                <w:sz w:val="24"/>
              </w:rPr>
              <w:t>个乡镇</w:t>
            </w:r>
          </w:p>
        </w:tc>
      </w:tr>
      <w:tr>
        <w:tblPrEx>
          <w:tblCellMar>
            <w:top w:w="0" w:type="dxa"/>
            <w:left w:w="0" w:type="dxa"/>
            <w:bottom w:w="0" w:type="dxa"/>
            <w:right w:w="0" w:type="dxa"/>
          </w:tblCellMar>
        </w:tblPrEx>
        <w:trPr>
          <w:trHeight w:val="984" w:hRule="atLeast"/>
        </w:trPr>
        <w:tc>
          <w:tcPr>
            <w:tcW w:w="406" w:type="pct"/>
            <w:vMerge w:val="continue"/>
            <w:tcBorders>
              <w:left w:val="single" w:color="000000" w:sz="4" w:space="0"/>
              <w:right w:val="single" w:color="000000" w:sz="4" w:space="0"/>
            </w:tcBorders>
            <w:vAlign w:val="center"/>
          </w:tcPr>
          <w:p>
            <w:pPr>
              <w:widowControl/>
              <w:jc w:val="left"/>
              <w:rPr>
                <w:rFonts w:ascii="宋体" w:cs="宋体"/>
                <w:color w:val="000000"/>
                <w:sz w:val="24"/>
              </w:rPr>
            </w:pPr>
          </w:p>
        </w:tc>
        <w:tc>
          <w:tcPr>
            <w:tcW w:w="478" w:type="pct"/>
            <w:vMerge w:val="continue"/>
            <w:tcBorders>
              <w:left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kern w:val="0"/>
                <w:sz w:val="24"/>
              </w:rPr>
            </w:pPr>
          </w:p>
        </w:tc>
        <w:tc>
          <w:tcPr>
            <w:tcW w:w="706" w:type="pct"/>
            <w:tcBorders>
              <w:top w:val="single" w:color="000000" w:sz="4" w:space="0"/>
              <w:left w:val="single" w:color="000000" w:sz="4" w:space="0"/>
              <w:bottom w:val="single" w:color="auto" w:sz="4" w:space="0"/>
              <w:right w:val="single" w:color="000000" w:sz="4" w:space="0"/>
            </w:tcBorders>
            <w:tcMar>
              <w:top w:w="15" w:type="dxa"/>
              <w:left w:w="15" w:type="dxa"/>
              <w:bottom w:w="0" w:type="dxa"/>
              <w:right w:w="15" w:type="dxa"/>
            </w:tcMar>
            <w:vAlign w:val="center"/>
          </w:tcPr>
          <w:p>
            <w:pPr>
              <w:jc w:val="center"/>
              <w:textAlignment w:val="center"/>
              <w:rPr>
                <w:rFonts w:ascii="宋体" w:cs="宋体"/>
                <w:color w:val="000000"/>
                <w:sz w:val="24"/>
              </w:rPr>
            </w:pPr>
            <w:r>
              <w:rPr>
                <w:rFonts w:hint="eastAsia" w:ascii="宋体" w:cs="宋体"/>
                <w:color w:val="000000"/>
                <w:sz w:val="24"/>
              </w:rPr>
              <w:t>质量指标</w:t>
            </w:r>
          </w:p>
        </w:tc>
        <w:tc>
          <w:tcPr>
            <w:tcW w:w="1010"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技术咨询通过率</w:t>
            </w:r>
          </w:p>
        </w:tc>
        <w:tc>
          <w:tcPr>
            <w:tcW w:w="1202"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100%</w:t>
            </w:r>
          </w:p>
        </w:tc>
        <w:tc>
          <w:tcPr>
            <w:tcW w:w="1198"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100%</w:t>
            </w:r>
          </w:p>
        </w:tc>
      </w:tr>
      <w:tr>
        <w:tblPrEx>
          <w:tblCellMar>
            <w:top w:w="0" w:type="dxa"/>
            <w:left w:w="0" w:type="dxa"/>
            <w:bottom w:w="0" w:type="dxa"/>
            <w:right w:w="0" w:type="dxa"/>
          </w:tblCellMar>
        </w:tblPrEx>
        <w:trPr>
          <w:trHeight w:val="984" w:hRule="atLeast"/>
        </w:trPr>
        <w:tc>
          <w:tcPr>
            <w:tcW w:w="406" w:type="pct"/>
            <w:vMerge w:val="continue"/>
            <w:tcBorders>
              <w:left w:val="single" w:color="000000" w:sz="4" w:space="0"/>
              <w:right w:val="single" w:color="000000" w:sz="4" w:space="0"/>
            </w:tcBorders>
            <w:vAlign w:val="center"/>
          </w:tcPr>
          <w:p>
            <w:pPr>
              <w:widowControl/>
              <w:jc w:val="left"/>
              <w:rPr>
                <w:rFonts w:ascii="宋体" w:cs="宋体"/>
                <w:color w:val="000000"/>
                <w:sz w:val="24"/>
              </w:rPr>
            </w:pPr>
          </w:p>
        </w:tc>
        <w:tc>
          <w:tcPr>
            <w:tcW w:w="478" w:type="pct"/>
            <w:vMerge w:val="continue"/>
            <w:tcBorders>
              <w:left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kern w:val="0"/>
                <w:sz w:val="24"/>
              </w:rPr>
            </w:pPr>
          </w:p>
        </w:tc>
        <w:tc>
          <w:tcPr>
            <w:tcW w:w="706" w:type="pct"/>
            <w:vMerge w:val="restart"/>
            <w:tcBorders>
              <w:top w:val="single" w:color="000000" w:sz="4" w:space="0"/>
              <w:left w:val="single" w:color="000000" w:sz="4" w:space="0"/>
              <w:right w:val="single" w:color="000000" w:sz="4" w:space="0"/>
            </w:tcBorders>
            <w:tcMar>
              <w:top w:w="15" w:type="dxa"/>
              <w:left w:w="15" w:type="dxa"/>
              <w:bottom w:w="0" w:type="dxa"/>
              <w:right w:w="15" w:type="dxa"/>
            </w:tcMar>
            <w:vAlign w:val="center"/>
          </w:tcPr>
          <w:p>
            <w:pPr>
              <w:jc w:val="center"/>
              <w:textAlignment w:val="center"/>
              <w:rPr>
                <w:rFonts w:ascii="宋体" w:cs="宋体"/>
                <w:color w:val="000000"/>
                <w:sz w:val="24"/>
              </w:rPr>
            </w:pPr>
            <w:r>
              <w:rPr>
                <w:rFonts w:hint="eastAsia" w:ascii="宋体" w:cs="宋体"/>
                <w:color w:val="000000"/>
                <w:sz w:val="24"/>
              </w:rPr>
              <w:t>时效指标</w:t>
            </w:r>
          </w:p>
        </w:tc>
        <w:tc>
          <w:tcPr>
            <w:tcW w:w="1010"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预算执行率</w:t>
            </w:r>
          </w:p>
        </w:tc>
        <w:tc>
          <w:tcPr>
            <w:tcW w:w="1202"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100%</w:t>
            </w:r>
          </w:p>
        </w:tc>
        <w:tc>
          <w:tcPr>
            <w:tcW w:w="1198"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100%</w:t>
            </w:r>
          </w:p>
        </w:tc>
      </w:tr>
      <w:tr>
        <w:tblPrEx>
          <w:tblCellMar>
            <w:top w:w="0" w:type="dxa"/>
            <w:left w:w="0" w:type="dxa"/>
            <w:bottom w:w="0" w:type="dxa"/>
            <w:right w:w="0" w:type="dxa"/>
          </w:tblCellMar>
        </w:tblPrEx>
        <w:trPr>
          <w:trHeight w:val="766" w:hRule="atLeast"/>
        </w:trPr>
        <w:tc>
          <w:tcPr>
            <w:tcW w:w="406" w:type="pct"/>
            <w:vMerge w:val="continue"/>
            <w:tcBorders>
              <w:left w:val="single" w:color="000000" w:sz="4" w:space="0"/>
              <w:right w:val="single" w:color="000000" w:sz="4" w:space="0"/>
            </w:tcBorders>
            <w:vAlign w:val="center"/>
          </w:tcPr>
          <w:p>
            <w:pPr>
              <w:widowControl/>
              <w:jc w:val="left"/>
              <w:rPr>
                <w:rFonts w:ascii="宋体" w:cs="宋体"/>
                <w:color w:val="000000"/>
                <w:sz w:val="24"/>
              </w:rPr>
            </w:pPr>
          </w:p>
        </w:tc>
        <w:tc>
          <w:tcPr>
            <w:tcW w:w="478" w:type="pct"/>
            <w:vMerge w:val="continue"/>
            <w:tcBorders>
              <w:left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706" w:type="pct"/>
            <w:vMerge w:val="continue"/>
            <w:tcBorders>
              <w:left w:val="single" w:color="000000" w:sz="4" w:space="0"/>
              <w:bottom w:val="single" w:color="auto" w:sz="4" w:space="0"/>
              <w:right w:val="single" w:color="000000" w:sz="4" w:space="0"/>
            </w:tcBorders>
            <w:tcMar>
              <w:top w:w="15" w:type="dxa"/>
              <w:left w:w="15" w:type="dxa"/>
              <w:bottom w:w="0" w:type="dxa"/>
              <w:right w:w="15" w:type="dxa"/>
            </w:tcMar>
            <w:vAlign w:val="center"/>
          </w:tcPr>
          <w:p>
            <w:pPr>
              <w:jc w:val="center"/>
              <w:textAlignment w:val="center"/>
              <w:rPr>
                <w:rFonts w:ascii="宋体" w:cs="宋体"/>
                <w:color w:val="000000"/>
                <w:sz w:val="24"/>
              </w:rPr>
            </w:pPr>
          </w:p>
        </w:tc>
        <w:tc>
          <w:tcPr>
            <w:tcW w:w="1010"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规划编制完成率</w:t>
            </w:r>
          </w:p>
        </w:tc>
        <w:tc>
          <w:tcPr>
            <w:tcW w:w="1202"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100%</w:t>
            </w:r>
          </w:p>
        </w:tc>
        <w:tc>
          <w:tcPr>
            <w:tcW w:w="1198"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100%</w:t>
            </w:r>
          </w:p>
        </w:tc>
      </w:tr>
      <w:tr>
        <w:tblPrEx>
          <w:tblCellMar>
            <w:top w:w="0" w:type="dxa"/>
            <w:left w:w="0" w:type="dxa"/>
            <w:bottom w:w="0" w:type="dxa"/>
            <w:right w:w="0" w:type="dxa"/>
          </w:tblCellMar>
        </w:tblPrEx>
        <w:trPr>
          <w:trHeight w:val="766" w:hRule="atLeast"/>
        </w:trPr>
        <w:tc>
          <w:tcPr>
            <w:tcW w:w="406" w:type="pct"/>
            <w:vMerge w:val="continue"/>
            <w:tcBorders>
              <w:left w:val="single" w:color="000000" w:sz="4" w:space="0"/>
              <w:right w:val="single" w:color="000000" w:sz="4" w:space="0"/>
            </w:tcBorders>
            <w:vAlign w:val="center"/>
          </w:tcPr>
          <w:p>
            <w:pPr>
              <w:widowControl/>
              <w:jc w:val="left"/>
              <w:rPr>
                <w:rFonts w:ascii="宋体" w:cs="宋体"/>
                <w:color w:val="000000"/>
                <w:sz w:val="24"/>
              </w:rPr>
            </w:pPr>
          </w:p>
        </w:tc>
        <w:tc>
          <w:tcPr>
            <w:tcW w:w="478" w:type="pct"/>
            <w:vMerge w:val="continue"/>
            <w:tcBorders>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706" w:type="pct"/>
            <w:tcBorders>
              <w:top w:val="single" w:color="auto" w:sz="4" w:space="0"/>
              <w:left w:val="single" w:color="000000" w:sz="4" w:space="0"/>
              <w:bottom w:val="single" w:color="auto" w:sz="4" w:space="0"/>
              <w:right w:val="single" w:color="000000" w:sz="4" w:space="0"/>
            </w:tcBorders>
            <w:tcMar>
              <w:top w:w="15" w:type="dxa"/>
              <w:left w:w="15" w:type="dxa"/>
              <w:bottom w:w="0" w:type="dxa"/>
              <w:right w:w="15" w:type="dxa"/>
            </w:tcMar>
            <w:vAlign w:val="center"/>
          </w:tcPr>
          <w:p>
            <w:pPr>
              <w:jc w:val="center"/>
              <w:textAlignment w:val="center"/>
              <w:rPr>
                <w:rFonts w:ascii="宋体" w:cs="宋体"/>
                <w:color w:val="000000"/>
                <w:sz w:val="24"/>
              </w:rPr>
            </w:pPr>
            <w:r>
              <w:rPr>
                <w:rFonts w:hint="eastAsia" w:ascii="宋体" w:cs="宋体"/>
                <w:color w:val="000000"/>
                <w:sz w:val="24"/>
              </w:rPr>
              <w:t>成本指标</w:t>
            </w:r>
          </w:p>
        </w:tc>
        <w:tc>
          <w:tcPr>
            <w:tcW w:w="1010"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编制费用</w:t>
            </w:r>
          </w:p>
        </w:tc>
        <w:tc>
          <w:tcPr>
            <w:tcW w:w="1202"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100</w:t>
            </w:r>
            <w:r>
              <w:rPr>
                <w:rFonts w:hint="eastAsia" w:ascii="宋体" w:cs="宋体"/>
                <w:color w:val="000000"/>
                <w:sz w:val="24"/>
              </w:rPr>
              <w:t>万元</w:t>
            </w:r>
          </w:p>
        </w:tc>
        <w:tc>
          <w:tcPr>
            <w:tcW w:w="1198"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100</w:t>
            </w:r>
            <w:r>
              <w:rPr>
                <w:rFonts w:hint="eastAsia" w:ascii="宋体" w:cs="宋体"/>
                <w:color w:val="000000"/>
                <w:sz w:val="24"/>
              </w:rPr>
              <w:t>万元</w:t>
            </w:r>
          </w:p>
        </w:tc>
      </w:tr>
      <w:tr>
        <w:tblPrEx>
          <w:tblCellMar>
            <w:top w:w="0" w:type="dxa"/>
            <w:left w:w="0" w:type="dxa"/>
            <w:bottom w:w="0" w:type="dxa"/>
            <w:right w:w="0" w:type="dxa"/>
          </w:tblCellMar>
        </w:tblPrEx>
        <w:trPr>
          <w:trHeight w:val="781" w:hRule="atLeast"/>
        </w:trPr>
        <w:tc>
          <w:tcPr>
            <w:tcW w:w="406" w:type="pct"/>
            <w:vMerge w:val="continue"/>
            <w:tcBorders>
              <w:left w:val="single" w:color="000000" w:sz="4" w:space="0"/>
              <w:right w:val="single" w:color="000000" w:sz="4" w:space="0"/>
            </w:tcBorders>
            <w:vAlign w:val="center"/>
          </w:tcPr>
          <w:p>
            <w:pPr>
              <w:widowControl/>
              <w:jc w:val="left"/>
              <w:rPr>
                <w:rFonts w:ascii="宋体" w:cs="宋体"/>
                <w:color w:val="000000"/>
                <w:sz w:val="24"/>
              </w:rPr>
            </w:pPr>
          </w:p>
        </w:tc>
        <w:tc>
          <w:tcPr>
            <w:tcW w:w="478" w:type="pct"/>
            <w:vMerge w:val="restart"/>
            <w:tcBorders>
              <w:top w:val="single" w:color="000000" w:sz="4" w:space="0"/>
              <w:left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hAnsi="宋体" w:cs="宋体"/>
                <w:color w:val="000000"/>
                <w:kern w:val="0"/>
                <w:sz w:val="24"/>
              </w:rPr>
              <w:t>项目效益指标</w:t>
            </w:r>
          </w:p>
          <w:p>
            <w:pPr>
              <w:jc w:val="center"/>
              <w:textAlignment w:val="center"/>
              <w:rPr>
                <w:rFonts w:ascii="宋体" w:cs="宋体"/>
                <w:color w:val="000000"/>
                <w:sz w:val="24"/>
              </w:rPr>
            </w:pPr>
          </w:p>
        </w:tc>
        <w:tc>
          <w:tcPr>
            <w:tcW w:w="706" w:type="pct"/>
            <w:tcBorders>
              <w:top w:val="single" w:color="000000" w:sz="4" w:space="0"/>
              <w:left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经济效益指标</w:t>
            </w:r>
          </w:p>
        </w:tc>
        <w:tc>
          <w:tcPr>
            <w:tcW w:w="1010"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是否为争取项目资金提供支撑</w:t>
            </w:r>
          </w:p>
        </w:tc>
        <w:tc>
          <w:tcPr>
            <w:tcW w:w="1202"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是</w:t>
            </w:r>
          </w:p>
        </w:tc>
        <w:tc>
          <w:tcPr>
            <w:tcW w:w="1198"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是</w:t>
            </w:r>
          </w:p>
        </w:tc>
      </w:tr>
      <w:tr>
        <w:tblPrEx>
          <w:tblCellMar>
            <w:top w:w="0" w:type="dxa"/>
            <w:left w:w="0" w:type="dxa"/>
            <w:bottom w:w="0" w:type="dxa"/>
            <w:right w:w="0" w:type="dxa"/>
          </w:tblCellMar>
        </w:tblPrEx>
        <w:trPr>
          <w:trHeight w:val="1073" w:hRule="atLeast"/>
        </w:trPr>
        <w:tc>
          <w:tcPr>
            <w:tcW w:w="406" w:type="pct"/>
            <w:vMerge w:val="continue"/>
            <w:tcBorders>
              <w:left w:val="single" w:color="000000" w:sz="4" w:space="0"/>
              <w:right w:val="single" w:color="000000" w:sz="4" w:space="0"/>
            </w:tcBorders>
            <w:vAlign w:val="center"/>
          </w:tcPr>
          <w:p>
            <w:pPr>
              <w:widowControl/>
              <w:jc w:val="left"/>
              <w:rPr>
                <w:rFonts w:ascii="宋体" w:cs="宋体"/>
                <w:color w:val="000000"/>
                <w:sz w:val="24"/>
              </w:rPr>
            </w:pPr>
          </w:p>
        </w:tc>
        <w:tc>
          <w:tcPr>
            <w:tcW w:w="478" w:type="pct"/>
            <w:vMerge w:val="continue"/>
            <w:tcBorders>
              <w:left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kern w:val="0"/>
                <w:sz w:val="24"/>
              </w:rPr>
            </w:pPr>
          </w:p>
        </w:tc>
        <w:tc>
          <w:tcPr>
            <w:tcW w:w="706" w:type="pct"/>
            <w:vMerge w:val="restart"/>
            <w:tcBorders>
              <w:top w:val="single" w:color="000000" w:sz="4" w:space="0"/>
              <w:left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p>
            <w:pPr>
              <w:widowControl/>
              <w:jc w:val="center"/>
              <w:textAlignment w:val="center"/>
              <w:rPr>
                <w:rFonts w:ascii="宋体" w:cs="宋体"/>
                <w:color w:val="000000"/>
                <w:sz w:val="24"/>
              </w:rPr>
            </w:pPr>
            <w:r>
              <w:rPr>
                <w:rFonts w:hint="eastAsia" w:ascii="宋体" w:cs="宋体"/>
                <w:color w:val="000000"/>
                <w:sz w:val="24"/>
              </w:rPr>
              <w:t>社会效益指标</w:t>
            </w:r>
          </w:p>
        </w:tc>
        <w:tc>
          <w:tcPr>
            <w:tcW w:w="1010"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规划受益人口</w:t>
            </w:r>
          </w:p>
        </w:tc>
        <w:tc>
          <w:tcPr>
            <w:tcW w:w="1202"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40</w:t>
            </w:r>
            <w:r>
              <w:rPr>
                <w:rFonts w:hint="eastAsia" w:ascii="宋体" w:cs="宋体"/>
                <w:color w:val="000000"/>
                <w:sz w:val="24"/>
              </w:rPr>
              <w:t>万人</w:t>
            </w:r>
          </w:p>
        </w:tc>
        <w:tc>
          <w:tcPr>
            <w:tcW w:w="1198"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40</w:t>
            </w:r>
            <w:r>
              <w:rPr>
                <w:rFonts w:hint="eastAsia" w:ascii="宋体" w:cs="宋体"/>
                <w:color w:val="000000"/>
                <w:sz w:val="24"/>
              </w:rPr>
              <w:t>万人</w:t>
            </w:r>
          </w:p>
        </w:tc>
      </w:tr>
      <w:tr>
        <w:tblPrEx>
          <w:tblCellMar>
            <w:top w:w="0" w:type="dxa"/>
            <w:left w:w="0" w:type="dxa"/>
            <w:bottom w:w="0" w:type="dxa"/>
            <w:right w:w="0" w:type="dxa"/>
          </w:tblCellMar>
        </w:tblPrEx>
        <w:trPr>
          <w:trHeight w:val="1073" w:hRule="atLeast"/>
        </w:trPr>
        <w:tc>
          <w:tcPr>
            <w:tcW w:w="406" w:type="pct"/>
            <w:vMerge w:val="continue"/>
            <w:tcBorders>
              <w:left w:val="single" w:color="000000" w:sz="4" w:space="0"/>
              <w:right w:val="single" w:color="000000" w:sz="4" w:space="0"/>
            </w:tcBorders>
            <w:vAlign w:val="center"/>
          </w:tcPr>
          <w:p>
            <w:pPr>
              <w:widowControl/>
              <w:jc w:val="left"/>
              <w:rPr>
                <w:rFonts w:ascii="宋体" w:cs="宋体"/>
                <w:color w:val="000000"/>
                <w:sz w:val="24"/>
              </w:rPr>
            </w:pPr>
          </w:p>
        </w:tc>
        <w:tc>
          <w:tcPr>
            <w:tcW w:w="478" w:type="pct"/>
            <w:vMerge w:val="continue"/>
            <w:tcBorders>
              <w:left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kern w:val="0"/>
                <w:sz w:val="24"/>
              </w:rPr>
            </w:pPr>
          </w:p>
        </w:tc>
        <w:tc>
          <w:tcPr>
            <w:tcW w:w="706" w:type="pct"/>
            <w:vMerge w:val="continue"/>
            <w:tcBorders>
              <w:left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1010"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规划受益灌面</w:t>
            </w:r>
          </w:p>
        </w:tc>
        <w:tc>
          <w:tcPr>
            <w:tcW w:w="1202"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35.77</w:t>
            </w:r>
            <w:r>
              <w:rPr>
                <w:rFonts w:hint="eastAsia" w:ascii="宋体" w:cs="宋体"/>
                <w:color w:val="000000"/>
                <w:sz w:val="24"/>
              </w:rPr>
              <w:t>万亩</w:t>
            </w:r>
          </w:p>
        </w:tc>
        <w:tc>
          <w:tcPr>
            <w:tcW w:w="1198"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35.77</w:t>
            </w:r>
            <w:r>
              <w:rPr>
                <w:rFonts w:hint="eastAsia" w:ascii="宋体" w:cs="宋体"/>
                <w:color w:val="000000"/>
                <w:sz w:val="24"/>
              </w:rPr>
              <w:t>万亩</w:t>
            </w:r>
          </w:p>
        </w:tc>
      </w:tr>
      <w:tr>
        <w:tblPrEx>
          <w:tblCellMar>
            <w:top w:w="0" w:type="dxa"/>
            <w:left w:w="0" w:type="dxa"/>
            <w:bottom w:w="0" w:type="dxa"/>
            <w:right w:w="0" w:type="dxa"/>
          </w:tblCellMar>
        </w:tblPrEx>
        <w:trPr>
          <w:trHeight w:val="855" w:hRule="atLeast"/>
        </w:trPr>
        <w:tc>
          <w:tcPr>
            <w:tcW w:w="406" w:type="pct"/>
            <w:vMerge w:val="continue"/>
            <w:tcBorders>
              <w:left w:val="single" w:color="000000" w:sz="4" w:space="0"/>
              <w:right w:val="single" w:color="000000" w:sz="4" w:space="0"/>
            </w:tcBorders>
            <w:vAlign w:val="center"/>
          </w:tcPr>
          <w:p>
            <w:pPr>
              <w:widowControl/>
              <w:jc w:val="left"/>
              <w:rPr>
                <w:rFonts w:ascii="宋体" w:cs="宋体"/>
                <w:color w:val="000000"/>
                <w:sz w:val="24"/>
              </w:rPr>
            </w:pPr>
          </w:p>
        </w:tc>
        <w:tc>
          <w:tcPr>
            <w:tcW w:w="478" w:type="pct"/>
            <w:vMerge w:val="continue"/>
            <w:tcBorders>
              <w:left w:val="single" w:color="000000" w:sz="4" w:space="0"/>
              <w:bottom w:val="single" w:color="auto"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p>
        </w:tc>
        <w:tc>
          <w:tcPr>
            <w:tcW w:w="706"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可持续影响指标</w:t>
            </w:r>
          </w:p>
          <w:p>
            <w:pPr>
              <w:widowControl/>
              <w:jc w:val="center"/>
              <w:textAlignment w:val="center"/>
              <w:rPr>
                <w:rFonts w:ascii="宋体" w:cs="宋体"/>
                <w:color w:val="000000"/>
                <w:sz w:val="24"/>
              </w:rPr>
            </w:pPr>
          </w:p>
        </w:tc>
        <w:tc>
          <w:tcPr>
            <w:tcW w:w="1010"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是否为灌区绿色可持续发展提供支撑</w:t>
            </w:r>
          </w:p>
        </w:tc>
        <w:tc>
          <w:tcPr>
            <w:tcW w:w="1202"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是</w:t>
            </w:r>
          </w:p>
        </w:tc>
        <w:tc>
          <w:tcPr>
            <w:tcW w:w="1198"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是</w:t>
            </w:r>
          </w:p>
        </w:tc>
      </w:tr>
      <w:tr>
        <w:tblPrEx>
          <w:tblCellMar>
            <w:top w:w="0" w:type="dxa"/>
            <w:left w:w="0" w:type="dxa"/>
            <w:bottom w:w="0" w:type="dxa"/>
            <w:right w:w="0" w:type="dxa"/>
          </w:tblCellMar>
        </w:tblPrEx>
        <w:trPr>
          <w:trHeight w:val="1330" w:hRule="atLeast"/>
        </w:trPr>
        <w:tc>
          <w:tcPr>
            <w:tcW w:w="406" w:type="pct"/>
            <w:vMerge w:val="continue"/>
            <w:tcBorders>
              <w:left w:val="single" w:color="000000" w:sz="4" w:space="0"/>
              <w:right w:val="single" w:color="000000" w:sz="4" w:space="0"/>
            </w:tcBorders>
            <w:vAlign w:val="center"/>
          </w:tcPr>
          <w:p>
            <w:pPr>
              <w:widowControl/>
              <w:jc w:val="left"/>
              <w:rPr>
                <w:rFonts w:ascii="宋体" w:cs="宋体"/>
                <w:color w:val="000000"/>
                <w:sz w:val="24"/>
              </w:rPr>
            </w:pPr>
          </w:p>
        </w:tc>
        <w:tc>
          <w:tcPr>
            <w:tcW w:w="478" w:type="pct"/>
            <w:tcBorders>
              <w:top w:val="single" w:color="auto" w:sz="4" w:space="0"/>
              <w:left w:val="single" w:color="000000" w:sz="4" w:space="0"/>
              <w:bottom w:val="single" w:color="auto"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满意度指标</w:t>
            </w:r>
          </w:p>
        </w:tc>
        <w:tc>
          <w:tcPr>
            <w:tcW w:w="706"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满意度指标</w:t>
            </w:r>
          </w:p>
          <w:p>
            <w:pPr>
              <w:widowControl/>
              <w:jc w:val="center"/>
              <w:textAlignment w:val="center"/>
              <w:rPr>
                <w:rFonts w:ascii="宋体" w:cs="宋体"/>
                <w:color w:val="000000"/>
                <w:sz w:val="24"/>
              </w:rPr>
            </w:pPr>
          </w:p>
        </w:tc>
        <w:tc>
          <w:tcPr>
            <w:tcW w:w="1010"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hint="eastAsia" w:ascii="宋体" w:cs="宋体"/>
                <w:color w:val="000000"/>
                <w:sz w:val="24"/>
              </w:rPr>
              <w:t>服务对象满意度</w:t>
            </w:r>
          </w:p>
        </w:tc>
        <w:tc>
          <w:tcPr>
            <w:tcW w:w="1202"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95%</w:t>
            </w:r>
          </w:p>
        </w:tc>
        <w:tc>
          <w:tcPr>
            <w:tcW w:w="1198" w:type="pc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宋体" w:cs="宋体"/>
                <w:color w:val="000000"/>
                <w:sz w:val="24"/>
              </w:rPr>
            </w:pPr>
            <w:r>
              <w:rPr>
                <w:rFonts w:ascii="宋体" w:cs="宋体"/>
                <w:color w:val="000000"/>
                <w:sz w:val="24"/>
              </w:rPr>
              <w:t>95%</w:t>
            </w:r>
          </w:p>
        </w:tc>
      </w:tr>
    </w:tbl>
    <w:p>
      <w:pPr>
        <w:rPr>
          <w:rFonts w:ascii="Calibri" w:hAnsi="Calibri"/>
        </w:rPr>
      </w:pPr>
    </w:p>
    <w:p>
      <w:pPr>
        <w:numPr>
          <w:ilvl w:val="0"/>
          <w:numId w:val="4"/>
        </w:numPr>
        <w:spacing w:line="580" w:lineRule="exact"/>
        <w:ind w:firstLine="643" w:firstLineChars="200"/>
        <w:rPr>
          <w:rFonts w:ascii="仿宋" w:hAnsi="仿宋" w:eastAsia="仿宋" w:cs="仿宋_GB2312"/>
          <w:sz w:val="32"/>
          <w:szCs w:val="32"/>
        </w:rPr>
      </w:pPr>
      <w:r>
        <w:rPr>
          <w:rFonts w:hint="eastAsia" w:ascii="仿宋" w:hAnsi="仿宋" w:eastAsia="仿宋" w:cs="楷体_GB2312"/>
          <w:b/>
          <w:bCs/>
          <w:sz w:val="32"/>
          <w:szCs w:val="32"/>
        </w:rPr>
        <w:t>部门开展绩效评价结果。</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本部门按要求对</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年部门整体支出绩效评价情况开展自评，《乐山市水务局</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年部门整体支出绩效评价报告》见附件</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w:t>
      </w:r>
    </w:p>
    <w:p>
      <w:pPr>
        <w:pStyle w:val="34"/>
        <w:spacing w:line="580" w:lineRule="exact"/>
        <w:ind w:firstLine="640" w:firstLineChars="200"/>
        <w:jc w:val="left"/>
        <w:rPr>
          <w:rFonts w:hint="eastAsia" w:ascii="仿宋_GB2312" w:hAnsi="仿宋_GB2312" w:eastAsia="仿宋_GB2312" w:cs="仿宋_GB2312"/>
          <w:sz w:val="32"/>
          <w:szCs w:val="32"/>
          <w:lang w:eastAsia="zh-CN"/>
        </w:rPr>
      </w:pPr>
      <w:bookmarkStart w:id="75" w:name="_GoBack"/>
      <w:bookmarkEnd w:id="75"/>
      <w:r>
        <w:rPr>
          <w:rFonts w:hint="eastAsia" w:ascii="仿宋_GB2312" w:hAnsi="仿宋_GB2312" w:eastAsia="仿宋_GB2312" w:cs="仿宋_GB2312"/>
          <w:sz w:val="32"/>
          <w:szCs w:val="32"/>
          <w:lang w:eastAsia="zh-CN"/>
        </w:rPr>
        <w:t>本部门自行组织对</w:t>
      </w:r>
      <w:r>
        <w:rPr>
          <w:rFonts w:hint="eastAsia" w:ascii="仿宋_GB2312" w:hAnsi="仿宋_GB2312" w:eastAsia="仿宋_GB2312" w:cs="仿宋_GB2312"/>
          <w:sz w:val="32"/>
          <w:szCs w:val="32"/>
          <w:lang w:val="en-US" w:eastAsia="zh-CN"/>
        </w:rPr>
        <w:t>2018年跃进渠应急抢险工作经费</w:t>
      </w:r>
      <w:r>
        <w:rPr>
          <w:rFonts w:hint="eastAsia" w:ascii="仿宋_GB2312" w:hAnsi="仿宋_GB2312" w:eastAsia="仿宋_GB2312" w:cs="仿宋_GB2312"/>
          <w:sz w:val="32"/>
          <w:szCs w:val="32"/>
        </w:rPr>
        <w:t>项目</w:t>
      </w:r>
      <w:r>
        <w:rPr>
          <w:rFonts w:hint="eastAsia" w:ascii="仿宋_GB2312" w:hAnsi="仿宋_GB2312" w:eastAsia="仿宋_GB2312" w:cs="仿宋_GB2312"/>
          <w:sz w:val="32"/>
          <w:szCs w:val="32"/>
          <w:lang w:eastAsia="zh-CN"/>
        </w:rPr>
        <w:t>开展了绩效评价，《</w:t>
      </w:r>
      <w:r>
        <w:rPr>
          <w:rFonts w:hint="eastAsia" w:ascii="仿宋_GB2312" w:hAnsi="仿宋_GB2312" w:eastAsia="仿宋_GB2312" w:cs="仿宋_GB2312"/>
          <w:color w:val="auto"/>
          <w:kern w:val="2"/>
          <w:sz w:val="32"/>
          <w:szCs w:val="32"/>
          <w:lang w:val="en-US" w:eastAsia="zh-CN" w:bidi="ar-SA"/>
        </w:rPr>
        <w:t>2018年跃进渠应急抢险工作经费项目支出绩效评价报告》见附件2。</w:t>
      </w:r>
    </w:p>
    <w:p>
      <w:pPr>
        <w:spacing w:line="600" w:lineRule="exact"/>
        <w:ind w:firstLine="800" w:firstLineChars="250"/>
        <w:outlineLvl w:val="1"/>
        <w:rPr>
          <w:rStyle w:val="20"/>
          <w:rFonts w:ascii="黑体" w:hAnsi="黑体" w:eastAsia="黑体"/>
        </w:rPr>
      </w:pPr>
      <w:bookmarkStart w:id="50" w:name="_Toc15396612"/>
      <w:bookmarkStart w:id="51" w:name="_Toc15377221"/>
      <w:r>
        <w:rPr>
          <w:rFonts w:hint="eastAsia" w:ascii="黑体" w:hAnsi="黑体" w:eastAsia="黑体"/>
          <w:color w:val="000000"/>
          <w:sz w:val="32"/>
          <w:szCs w:val="32"/>
        </w:rPr>
        <w:t>十</w:t>
      </w:r>
      <w:r>
        <w:rPr>
          <w:rStyle w:val="20"/>
          <w:rFonts w:hint="eastAsia" w:ascii="黑体" w:hAnsi="黑体" w:eastAsia="黑体"/>
        </w:rPr>
        <w:t>一、</w:t>
      </w:r>
      <w:r>
        <w:rPr>
          <w:rStyle w:val="20"/>
          <w:rFonts w:hint="eastAsia" w:ascii="黑体" w:hAnsi="黑体" w:eastAsia="黑体"/>
          <w:b w:val="0"/>
        </w:rPr>
        <w:t>其他重要事项的情况说明</w:t>
      </w:r>
      <w:bookmarkEnd w:id="50"/>
      <w:bookmarkEnd w:id="51"/>
    </w:p>
    <w:p>
      <w:pPr>
        <w:spacing w:line="600" w:lineRule="exact"/>
        <w:ind w:firstLine="643" w:firstLineChars="200"/>
        <w:outlineLvl w:val="2"/>
        <w:rPr>
          <w:rFonts w:ascii="仿宋" w:hAnsi="仿宋" w:eastAsia="仿宋"/>
          <w:color w:val="000000"/>
          <w:sz w:val="32"/>
          <w:szCs w:val="32"/>
        </w:rPr>
      </w:pPr>
      <w:bookmarkStart w:id="52" w:name="_Toc15377222"/>
      <w:r>
        <w:rPr>
          <w:rFonts w:hint="eastAsia" w:ascii="仿宋" w:hAnsi="仿宋" w:eastAsia="仿宋"/>
          <w:b/>
          <w:color w:val="000000"/>
          <w:sz w:val="32"/>
          <w:szCs w:val="32"/>
        </w:rPr>
        <w:t>（一）机关运行经费支出情况</w:t>
      </w:r>
      <w:bookmarkEnd w:id="52"/>
    </w:p>
    <w:p>
      <w:pPr>
        <w:spacing w:line="600" w:lineRule="exact"/>
        <w:ind w:firstLine="640" w:firstLineChars="200"/>
        <w:rPr>
          <w:rFonts w:ascii="仿宋_GB2312" w:eastAsia="仿宋_GB2312"/>
          <w:color w:val="000000"/>
          <w:sz w:val="32"/>
          <w:szCs w:val="32"/>
        </w:rPr>
      </w:pPr>
      <w:r>
        <w:rPr>
          <w:rFonts w:ascii="仿宋_GB2312" w:eastAsia="仿宋_GB2312"/>
          <w:color w:val="000000"/>
          <w:sz w:val="32"/>
          <w:szCs w:val="32"/>
        </w:rPr>
        <w:t>2018</w:t>
      </w:r>
      <w:r>
        <w:rPr>
          <w:rFonts w:hint="eastAsia" w:ascii="仿宋_GB2312" w:eastAsia="仿宋_GB2312"/>
          <w:color w:val="000000"/>
          <w:sz w:val="32"/>
          <w:szCs w:val="32"/>
        </w:rPr>
        <w:t>年，乐山市水务局机关运行经费支出</w:t>
      </w:r>
      <w:r>
        <w:rPr>
          <w:rFonts w:ascii="仿宋_GB2312" w:eastAsia="仿宋_GB2312"/>
          <w:color w:val="000000"/>
          <w:sz w:val="32"/>
          <w:szCs w:val="32"/>
        </w:rPr>
        <w:t>158.98</w:t>
      </w:r>
      <w:r>
        <w:rPr>
          <w:rFonts w:hint="eastAsia" w:ascii="仿宋_GB2312" w:eastAsia="仿宋_GB2312"/>
          <w:color w:val="000000"/>
          <w:sz w:val="32"/>
          <w:szCs w:val="32"/>
        </w:rPr>
        <w:t>万元，比</w:t>
      </w:r>
      <w:r>
        <w:rPr>
          <w:rFonts w:ascii="仿宋_GB2312" w:eastAsia="仿宋_GB2312"/>
          <w:color w:val="000000"/>
          <w:sz w:val="32"/>
          <w:szCs w:val="32"/>
        </w:rPr>
        <w:t>2017</w:t>
      </w:r>
      <w:r>
        <w:rPr>
          <w:rFonts w:hint="eastAsia" w:ascii="仿宋_GB2312" w:eastAsia="仿宋_GB2312"/>
          <w:color w:val="000000"/>
          <w:sz w:val="32"/>
          <w:szCs w:val="32"/>
        </w:rPr>
        <w:t>年增加</w:t>
      </w:r>
      <w:r>
        <w:rPr>
          <w:rFonts w:ascii="仿宋_GB2312" w:eastAsia="仿宋_GB2312"/>
          <w:color w:val="000000"/>
          <w:sz w:val="32"/>
          <w:szCs w:val="32"/>
        </w:rPr>
        <w:t>52.32</w:t>
      </w:r>
      <w:r>
        <w:rPr>
          <w:rFonts w:hint="eastAsia" w:ascii="仿宋_GB2312" w:eastAsia="仿宋_GB2312"/>
          <w:color w:val="000000"/>
          <w:sz w:val="32"/>
          <w:szCs w:val="32"/>
        </w:rPr>
        <w:t>万元，增长</w:t>
      </w:r>
      <w:r>
        <w:rPr>
          <w:rFonts w:ascii="仿宋_GB2312" w:eastAsia="仿宋_GB2312"/>
          <w:color w:val="000000"/>
          <w:sz w:val="32"/>
          <w:szCs w:val="32"/>
        </w:rPr>
        <w:t>49.05%</w:t>
      </w:r>
      <w:r>
        <w:rPr>
          <w:rFonts w:hint="eastAsia" w:ascii="仿宋_GB2312" w:eastAsia="仿宋_GB2312"/>
          <w:color w:val="000000"/>
          <w:sz w:val="32"/>
          <w:szCs w:val="32"/>
        </w:rPr>
        <w:t>。主要原因是</w:t>
      </w:r>
      <w:r>
        <w:rPr>
          <w:rFonts w:ascii="仿宋_GB2312" w:eastAsia="仿宋_GB2312"/>
          <w:color w:val="000000"/>
          <w:sz w:val="32"/>
          <w:szCs w:val="32"/>
        </w:rPr>
        <w:t>2018</w:t>
      </w:r>
      <w:r>
        <w:rPr>
          <w:rFonts w:hint="eastAsia" w:ascii="仿宋_GB2312" w:eastAsia="仿宋_GB2312"/>
          <w:color w:val="000000"/>
          <w:sz w:val="32"/>
          <w:szCs w:val="32"/>
        </w:rPr>
        <w:t>年机关购置了一台公务用车。</w:t>
      </w:r>
    </w:p>
    <w:p>
      <w:pPr>
        <w:autoSpaceDE w:val="0"/>
        <w:autoSpaceDN w:val="0"/>
        <w:adjustRightInd w:val="0"/>
        <w:spacing w:line="600" w:lineRule="exact"/>
        <w:ind w:firstLine="643" w:firstLineChars="200"/>
        <w:jc w:val="left"/>
        <w:outlineLvl w:val="2"/>
        <w:rPr>
          <w:rFonts w:ascii="仿宋" w:hAnsi="仿宋" w:eastAsia="仿宋"/>
          <w:b/>
          <w:color w:val="000000"/>
          <w:sz w:val="32"/>
          <w:szCs w:val="32"/>
        </w:rPr>
      </w:pPr>
      <w:bookmarkStart w:id="53" w:name="_Toc15377223"/>
      <w:r>
        <w:rPr>
          <w:rFonts w:hint="eastAsia" w:ascii="仿宋" w:hAnsi="仿宋" w:eastAsia="仿宋"/>
          <w:b/>
          <w:color w:val="000000"/>
          <w:sz w:val="32"/>
          <w:szCs w:val="32"/>
        </w:rPr>
        <w:t>（二）政府采购支出情况</w:t>
      </w:r>
      <w:bookmarkEnd w:id="53"/>
    </w:p>
    <w:p>
      <w:pPr>
        <w:spacing w:line="600" w:lineRule="exact"/>
        <w:ind w:firstLine="640" w:firstLineChars="200"/>
        <w:rPr>
          <w:rFonts w:ascii="仿宋_GB2312" w:eastAsia="仿宋_GB2312"/>
          <w:color w:val="000000"/>
          <w:sz w:val="32"/>
          <w:szCs w:val="32"/>
        </w:rPr>
      </w:pPr>
      <w:r>
        <w:rPr>
          <w:rFonts w:ascii="仿宋_GB2312" w:eastAsia="仿宋_GB2312"/>
          <w:color w:val="000000"/>
          <w:sz w:val="32"/>
          <w:szCs w:val="32"/>
        </w:rPr>
        <w:t>2018</w:t>
      </w:r>
      <w:r>
        <w:rPr>
          <w:rFonts w:hint="eastAsia" w:ascii="仿宋_GB2312" w:eastAsia="仿宋_GB2312"/>
          <w:color w:val="000000"/>
          <w:sz w:val="32"/>
          <w:szCs w:val="32"/>
        </w:rPr>
        <w:t>年，乐山市水务局政府采购支出总额</w:t>
      </w:r>
      <w:r>
        <w:rPr>
          <w:rFonts w:ascii="仿宋_GB2312" w:eastAsia="仿宋_GB2312"/>
          <w:color w:val="000000"/>
          <w:sz w:val="32"/>
          <w:szCs w:val="32"/>
        </w:rPr>
        <w:t>542.69</w:t>
      </w:r>
      <w:r>
        <w:rPr>
          <w:rFonts w:hint="eastAsia" w:ascii="仿宋_GB2312" w:eastAsia="仿宋_GB2312"/>
          <w:color w:val="000000"/>
          <w:sz w:val="32"/>
          <w:szCs w:val="32"/>
        </w:rPr>
        <w:t>万元，其中：政府采购货物支出</w:t>
      </w:r>
      <w:r>
        <w:rPr>
          <w:rFonts w:ascii="仿宋_GB2312" w:eastAsia="仿宋_GB2312"/>
          <w:color w:val="000000"/>
          <w:sz w:val="32"/>
          <w:szCs w:val="32"/>
        </w:rPr>
        <w:t>97.56</w:t>
      </w:r>
      <w:r>
        <w:rPr>
          <w:rFonts w:hint="eastAsia" w:ascii="仿宋_GB2312" w:eastAsia="仿宋_GB2312"/>
          <w:color w:val="000000"/>
          <w:sz w:val="32"/>
          <w:szCs w:val="32"/>
        </w:rPr>
        <w:t>万元、政府采购工程支出</w:t>
      </w:r>
      <w:r>
        <w:rPr>
          <w:rFonts w:ascii="仿宋_GB2312" w:eastAsia="仿宋_GB2312"/>
          <w:color w:val="000000"/>
          <w:sz w:val="32"/>
          <w:szCs w:val="32"/>
        </w:rPr>
        <w:t>216.79</w:t>
      </w:r>
      <w:r>
        <w:rPr>
          <w:rFonts w:hint="eastAsia" w:ascii="仿宋_GB2312" w:eastAsia="仿宋_GB2312"/>
          <w:color w:val="000000"/>
          <w:sz w:val="32"/>
          <w:szCs w:val="32"/>
        </w:rPr>
        <w:t>万元、政府采购服务支出</w:t>
      </w:r>
      <w:r>
        <w:rPr>
          <w:rFonts w:ascii="仿宋_GB2312" w:eastAsia="仿宋_GB2312"/>
          <w:color w:val="000000"/>
          <w:sz w:val="32"/>
          <w:szCs w:val="32"/>
        </w:rPr>
        <w:t>228.34</w:t>
      </w:r>
      <w:r>
        <w:rPr>
          <w:rFonts w:hint="eastAsia" w:ascii="仿宋_GB2312" w:eastAsia="仿宋_GB2312"/>
          <w:color w:val="000000"/>
          <w:sz w:val="32"/>
          <w:szCs w:val="32"/>
        </w:rPr>
        <w:t>万元。主要用于</w:t>
      </w:r>
      <w:r>
        <w:rPr>
          <w:rFonts w:hint="eastAsia" w:ascii="仿宋_GB2312" w:eastAsia="仿宋_GB2312"/>
          <w:sz w:val="32"/>
          <w:szCs w:val="32"/>
        </w:rPr>
        <w:t>国家</w:t>
      </w:r>
      <w:r>
        <w:rPr>
          <w:rFonts w:hint="eastAsia" w:ascii="仿宋_GB2312" w:eastAsia="仿宋_GB2312"/>
          <w:color w:val="000000"/>
          <w:sz w:val="32"/>
          <w:szCs w:val="32"/>
        </w:rPr>
        <w:t>水资源监控能力建设、城市水利规划、防汛物资采购、公务用车购置等。授予中小企业合同金额</w:t>
      </w:r>
      <w:r>
        <w:rPr>
          <w:rFonts w:ascii="仿宋_GB2312" w:eastAsia="仿宋_GB2312"/>
          <w:color w:val="000000"/>
          <w:sz w:val="32"/>
          <w:szCs w:val="32"/>
        </w:rPr>
        <w:t>326.75</w:t>
      </w:r>
      <w:r>
        <w:rPr>
          <w:rFonts w:hint="eastAsia" w:ascii="仿宋_GB2312" w:eastAsia="仿宋_GB2312"/>
          <w:color w:val="000000"/>
          <w:sz w:val="32"/>
          <w:szCs w:val="32"/>
        </w:rPr>
        <w:t>万元，占政府采购支出总额</w:t>
      </w:r>
      <w:r>
        <w:rPr>
          <w:rFonts w:ascii="仿宋_GB2312" w:eastAsia="仿宋_GB2312"/>
          <w:color w:val="000000"/>
          <w:sz w:val="32"/>
          <w:szCs w:val="32"/>
        </w:rPr>
        <w:t>60.21%</w:t>
      </w:r>
      <w:r>
        <w:rPr>
          <w:rFonts w:hint="eastAsia" w:ascii="仿宋_GB2312" w:eastAsia="仿宋_GB2312"/>
          <w:color w:val="000000"/>
          <w:sz w:val="32"/>
          <w:szCs w:val="32"/>
        </w:rPr>
        <w:t>，其中：授予小微企业合同金额</w:t>
      </w:r>
      <w:r>
        <w:rPr>
          <w:rFonts w:ascii="仿宋_GB2312" w:eastAsia="仿宋_GB2312"/>
          <w:color w:val="000000"/>
          <w:sz w:val="32"/>
          <w:szCs w:val="32"/>
        </w:rPr>
        <w:t xml:space="preserve">52.21 </w:t>
      </w:r>
      <w:r>
        <w:rPr>
          <w:rFonts w:hint="eastAsia" w:ascii="仿宋_GB2312" w:eastAsia="仿宋_GB2312"/>
          <w:color w:val="000000"/>
          <w:sz w:val="32"/>
          <w:szCs w:val="32"/>
        </w:rPr>
        <w:t>万元，占政府采购支出总额</w:t>
      </w:r>
      <w:r>
        <w:rPr>
          <w:rFonts w:ascii="仿宋_GB2312" w:eastAsia="仿宋_GB2312"/>
          <w:color w:val="000000"/>
          <w:sz w:val="32"/>
          <w:szCs w:val="32"/>
        </w:rPr>
        <w:t>9.62%</w:t>
      </w:r>
      <w:r>
        <w:rPr>
          <w:rFonts w:hint="eastAsia" w:ascii="仿宋_GB2312" w:eastAsia="仿宋_GB2312"/>
          <w:color w:val="000000"/>
          <w:sz w:val="32"/>
          <w:szCs w:val="32"/>
        </w:rPr>
        <w:t>。</w:t>
      </w:r>
    </w:p>
    <w:p>
      <w:pPr>
        <w:autoSpaceDE w:val="0"/>
        <w:autoSpaceDN w:val="0"/>
        <w:adjustRightInd w:val="0"/>
        <w:spacing w:line="600" w:lineRule="exact"/>
        <w:ind w:firstLine="643" w:firstLineChars="200"/>
        <w:jc w:val="left"/>
        <w:outlineLvl w:val="2"/>
        <w:rPr>
          <w:rFonts w:ascii="仿宋" w:hAnsi="仿宋" w:eastAsia="仿宋"/>
          <w:b/>
          <w:color w:val="000000"/>
          <w:sz w:val="32"/>
          <w:szCs w:val="32"/>
        </w:rPr>
      </w:pPr>
      <w:bookmarkStart w:id="54" w:name="_Toc15377224"/>
      <w:r>
        <w:rPr>
          <w:rFonts w:hint="eastAsia" w:ascii="仿宋" w:hAnsi="仿宋" w:eastAsia="仿宋"/>
          <w:b/>
          <w:color w:val="000000"/>
          <w:sz w:val="32"/>
          <w:szCs w:val="32"/>
        </w:rPr>
        <w:t>（三）国有资产占有使用情况</w:t>
      </w:r>
      <w:bookmarkEnd w:id="54"/>
    </w:p>
    <w:p>
      <w:pPr>
        <w:autoSpaceDE w:val="0"/>
        <w:autoSpaceDN w:val="0"/>
        <w:adjustRightInd w:val="0"/>
        <w:spacing w:line="600" w:lineRule="exact"/>
        <w:ind w:firstLine="640" w:firstLineChars="200"/>
        <w:jc w:val="left"/>
        <w:rPr>
          <w:rFonts w:ascii="仿宋_GB2312" w:eastAsia="仿宋_GB2312"/>
          <w:color w:val="000000"/>
          <w:sz w:val="32"/>
          <w:szCs w:val="32"/>
        </w:rPr>
      </w:pPr>
      <w:r>
        <w:rPr>
          <w:rFonts w:hint="eastAsia" w:ascii="仿宋_GB2312" w:eastAsia="仿宋_GB2312"/>
          <w:color w:val="000000"/>
          <w:sz w:val="32"/>
          <w:szCs w:val="32"/>
        </w:rPr>
        <w:t>截至</w:t>
      </w:r>
      <w:r>
        <w:rPr>
          <w:rFonts w:ascii="仿宋_GB2312" w:eastAsia="仿宋_GB2312"/>
          <w:color w:val="000000"/>
          <w:sz w:val="32"/>
          <w:szCs w:val="32"/>
        </w:rPr>
        <w:t>2018</w:t>
      </w:r>
      <w:r>
        <w:rPr>
          <w:rFonts w:hint="eastAsia" w:ascii="仿宋_GB2312" w:eastAsia="仿宋_GB2312"/>
          <w:color w:val="000000"/>
          <w:sz w:val="32"/>
          <w:szCs w:val="32"/>
        </w:rPr>
        <w:t>年</w:t>
      </w:r>
      <w:r>
        <w:rPr>
          <w:rFonts w:ascii="仿宋_GB2312" w:eastAsia="仿宋_GB2312"/>
          <w:color w:val="000000"/>
          <w:sz w:val="32"/>
          <w:szCs w:val="32"/>
        </w:rPr>
        <w:t>12</w:t>
      </w:r>
      <w:r>
        <w:rPr>
          <w:rFonts w:hint="eastAsia" w:ascii="仿宋_GB2312" w:eastAsia="仿宋_GB2312"/>
          <w:color w:val="000000"/>
          <w:sz w:val="32"/>
          <w:szCs w:val="32"/>
        </w:rPr>
        <w:t>月</w:t>
      </w:r>
      <w:r>
        <w:rPr>
          <w:rFonts w:ascii="仿宋_GB2312" w:eastAsia="仿宋_GB2312"/>
          <w:color w:val="000000"/>
          <w:sz w:val="32"/>
          <w:szCs w:val="32"/>
        </w:rPr>
        <w:t>31</w:t>
      </w:r>
      <w:r>
        <w:rPr>
          <w:rFonts w:hint="eastAsia" w:ascii="仿宋_GB2312" w:eastAsia="仿宋_GB2312"/>
          <w:color w:val="000000"/>
          <w:sz w:val="32"/>
          <w:szCs w:val="32"/>
        </w:rPr>
        <w:t>日，乐山市水务局部门共有车辆</w:t>
      </w:r>
      <w:r>
        <w:rPr>
          <w:rFonts w:ascii="仿宋_GB2312" w:eastAsia="仿宋_GB2312"/>
          <w:color w:val="000000"/>
          <w:sz w:val="32"/>
          <w:szCs w:val="32"/>
        </w:rPr>
        <w:t>16</w:t>
      </w:r>
      <w:r>
        <w:rPr>
          <w:rFonts w:hint="eastAsia" w:ascii="仿宋_GB2312" w:eastAsia="仿宋_GB2312"/>
          <w:color w:val="000000"/>
          <w:sz w:val="32"/>
          <w:szCs w:val="32"/>
        </w:rPr>
        <w:t>辆，其中：一般公务用车</w:t>
      </w:r>
      <w:r>
        <w:rPr>
          <w:rFonts w:ascii="仿宋_GB2312" w:eastAsia="仿宋_GB2312"/>
          <w:color w:val="000000"/>
          <w:sz w:val="32"/>
          <w:szCs w:val="32"/>
        </w:rPr>
        <w:t>13</w:t>
      </w:r>
      <w:r>
        <w:rPr>
          <w:rFonts w:hint="eastAsia" w:ascii="仿宋_GB2312" w:eastAsia="仿宋_GB2312"/>
          <w:color w:val="000000"/>
          <w:sz w:val="32"/>
          <w:szCs w:val="32"/>
        </w:rPr>
        <w:t>辆、特种专业技术用车</w:t>
      </w:r>
      <w:r>
        <w:rPr>
          <w:rFonts w:ascii="仿宋_GB2312" w:eastAsia="仿宋_GB2312"/>
          <w:color w:val="000000"/>
          <w:sz w:val="32"/>
          <w:szCs w:val="32"/>
        </w:rPr>
        <w:t>3</w:t>
      </w:r>
      <w:r>
        <w:rPr>
          <w:rFonts w:hint="eastAsia" w:ascii="仿宋_GB2312" w:eastAsia="仿宋_GB2312"/>
          <w:color w:val="000000"/>
          <w:sz w:val="32"/>
          <w:szCs w:val="32"/>
        </w:rPr>
        <w:t>辆，单价</w:t>
      </w:r>
      <w:r>
        <w:rPr>
          <w:rFonts w:ascii="仿宋_GB2312" w:eastAsia="仿宋_GB2312"/>
          <w:color w:val="000000"/>
          <w:sz w:val="32"/>
          <w:szCs w:val="32"/>
        </w:rPr>
        <w:t>50</w:t>
      </w:r>
      <w:r>
        <w:rPr>
          <w:rFonts w:hint="eastAsia" w:ascii="仿宋_GB2312" w:eastAsia="仿宋_GB2312"/>
          <w:color w:val="000000"/>
          <w:sz w:val="32"/>
          <w:szCs w:val="32"/>
        </w:rPr>
        <w:t>万元以上通用设备</w:t>
      </w:r>
      <w:r>
        <w:rPr>
          <w:rFonts w:ascii="仿宋_GB2312" w:eastAsia="仿宋_GB2312"/>
          <w:color w:val="000000"/>
          <w:sz w:val="32"/>
          <w:szCs w:val="32"/>
        </w:rPr>
        <w:t>0</w:t>
      </w:r>
      <w:r>
        <w:rPr>
          <w:rFonts w:hint="eastAsia" w:ascii="仿宋_GB2312" w:eastAsia="仿宋_GB2312"/>
          <w:color w:val="000000"/>
          <w:sz w:val="32"/>
          <w:szCs w:val="32"/>
        </w:rPr>
        <w:t>台（套），单价</w:t>
      </w:r>
      <w:r>
        <w:rPr>
          <w:rFonts w:ascii="仿宋_GB2312" w:eastAsia="仿宋_GB2312"/>
          <w:color w:val="000000"/>
          <w:sz w:val="32"/>
          <w:szCs w:val="32"/>
        </w:rPr>
        <w:t>100</w:t>
      </w:r>
      <w:r>
        <w:rPr>
          <w:rFonts w:hint="eastAsia" w:ascii="仿宋_GB2312" w:eastAsia="仿宋_GB2312"/>
          <w:color w:val="000000"/>
          <w:sz w:val="32"/>
          <w:szCs w:val="32"/>
        </w:rPr>
        <w:t>万元以上专用设备</w:t>
      </w:r>
      <w:r>
        <w:rPr>
          <w:rFonts w:ascii="仿宋_GB2312" w:eastAsia="仿宋_GB2312"/>
          <w:color w:val="000000"/>
          <w:sz w:val="32"/>
          <w:szCs w:val="32"/>
        </w:rPr>
        <w:t>0</w:t>
      </w:r>
      <w:r>
        <w:rPr>
          <w:rFonts w:hint="eastAsia" w:ascii="仿宋_GB2312" w:eastAsia="仿宋_GB2312"/>
          <w:color w:val="000000"/>
          <w:sz w:val="32"/>
          <w:szCs w:val="32"/>
        </w:rPr>
        <w:t>台（套）。</w:t>
      </w:r>
    </w:p>
    <w:p>
      <w:pPr>
        <w:widowControl/>
        <w:jc w:val="left"/>
        <w:rPr>
          <w:rFonts w:ascii="仿宋_GB2312" w:eastAsia="仿宋_GB2312"/>
          <w:b/>
          <w:color w:val="000000"/>
          <w:sz w:val="32"/>
          <w:szCs w:val="32"/>
        </w:rPr>
      </w:pPr>
      <w:r>
        <w:rPr>
          <w:rFonts w:ascii="仿宋_GB2312" w:eastAsia="仿宋_GB2312"/>
          <w:b/>
          <w:color w:val="000000"/>
          <w:sz w:val="32"/>
          <w:szCs w:val="32"/>
        </w:rPr>
        <w:br w:type="page"/>
      </w:r>
    </w:p>
    <w:p>
      <w:pPr>
        <w:numPr>
          <w:ilvl w:val="0"/>
          <w:numId w:val="6"/>
        </w:numPr>
        <w:spacing w:line="600" w:lineRule="exact"/>
        <w:ind w:firstLine="663" w:firstLineChars="150"/>
        <w:jc w:val="center"/>
        <w:outlineLvl w:val="0"/>
        <w:rPr>
          <w:rStyle w:val="19"/>
          <w:rFonts w:ascii="黑体" w:hAnsi="黑体" w:eastAsia="黑体"/>
          <w:b w:val="0"/>
        </w:rPr>
      </w:pPr>
      <w:bookmarkStart w:id="55" w:name="_Toc15396613"/>
      <w:bookmarkStart w:id="56" w:name="_Toc15377225"/>
      <w:r>
        <w:rPr>
          <w:rFonts w:hint="eastAsia" w:ascii="黑体" w:hAnsi="黑体" w:eastAsia="黑体"/>
          <w:b/>
          <w:color w:val="000000"/>
          <w:sz w:val="44"/>
          <w:szCs w:val="44"/>
        </w:rPr>
        <w:t>名</w:t>
      </w:r>
      <w:r>
        <w:rPr>
          <w:rStyle w:val="19"/>
          <w:rFonts w:hint="eastAsia" w:ascii="黑体" w:hAnsi="黑体" w:eastAsia="黑体"/>
          <w:b w:val="0"/>
        </w:rPr>
        <w:t>词解释</w:t>
      </w:r>
      <w:bookmarkEnd w:id="55"/>
      <w:bookmarkEnd w:id="56"/>
    </w:p>
    <w:p>
      <w:pPr>
        <w:spacing w:line="600" w:lineRule="exact"/>
        <w:jc w:val="left"/>
        <w:rPr>
          <w:rFonts w:ascii="宋体"/>
          <w:b/>
          <w:color w:val="000000"/>
          <w:sz w:val="44"/>
          <w:szCs w:val="44"/>
        </w:rPr>
      </w:pPr>
    </w:p>
    <w:p>
      <w:pPr>
        <w:pStyle w:val="28"/>
        <w:spacing w:line="360" w:lineRule="auto"/>
        <w:ind w:firstLine="640" w:firstLineChars="200"/>
        <w:rPr>
          <w:rFonts w:ascii="仿宋_GB2312" w:eastAsia="仿宋_GB2312"/>
          <w:sz w:val="32"/>
          <w:szCs w:val="32"/>
        </w:rPr>
      </w:pPr>
      <w:r>
        <w:rPr>
          <w:rFonts w:hint="eastAsia" w:ascii="仿宋_GB2312" w:eastAsia="仿宋_GB2312"/>
          <w:sz w:val="32"/>
          <w:szCs w:val="32"/>
        </w:rPr>
        <w:t>特别说明：乐山市水利电力勘察设计研究院是我局下属的自收自支的事业单位。</w:t>
      </w:r>
      <w:r>
        <w:rPr>
          <w:rFonts w:ascii="仿宋_GB2312" w:eastAsia="仿宋_GB2312"/>
          <w:sz w:val="32"/>
          <w:szCs w:val="32"/>
        </w:rPr>
        <w:t> </w:t>
      </w:r>
      <w:r>
        <w:rPr>
          <w:rFonts w:ascii="仿宋_GB2312" w:eastAsia="仿宋_GB2312"/>
          <w:sz w:val="32"/>
          <w:szCs w:val="32"/>
        </w:rPr>
        <w:br w:type="textWrapping"/>
      </w:r>
      <w:r>
        <w:rPr>
          <w:rFonts w:hint="eastAsia" w:ascii="仿宋_GB2312" w:eastAsia="仿宋_GB2312"/>
          <w:sz w:val="32"/>
          <w:szCs w:val="32"/>
        </w:rPr>
        <w:t>　</w:t>
      </w:r>
      <w:r>
        <w:rPr>
          <w:rFonts w:ascii="仿宋_GB2312" w:eastAsia="仿宋_GB2312"/>
          <w:sz w:val="32"/>
          <w:szCs w:val="32"/>
        </w:rPr>
        <w:t xml:space="preserve">  1.</w:t>
      </w:r>
      <w:r>
        <w:rPr>
          <w:rFonts w:hint="eastAsia" w:ascii="仿宋_GB2312" w:eastAsia="仿宋_GB2312"/>
          <w:sz w:val="32"/>
          <w:szCs w:val="32"/>
        </w:rPr>
        <w:t>财政拨款收入：指单位从同级财政部门取得的财政预算资金。</w:t>
      </w:r>
    </w:p>
    <w:p>
      <w:pPr>
        <w:pStyle w:val="28"/>
        <w:spacing w:line="360" w:lineRule="auto"/>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事业收入：指事业单位开展专业业务活动及辅助活动取得的收入。如财政专户中安排的支出。</w:t>
      </w:r>
      <w:r>
        <w:rPr>
          <w:rFonts w:ascii="仿宋_GB2312" w:eastAsia="仿宋_GB2312"/>
          <w:sz w:val="32"/>
          <w:szCs w:val="32"/>
        </w:rPr>
        <w:t> </w:t>
      </w:r>
      <w:r>
        <w:rPr>
          <w:rFonts w:ascii="仿宋_GB2312" w:eastAsia="仿宋_GB2312"/>
          <w:sz w:val="32"/>
          <w:szCs w:val="32"/>
        </w:rPr>
        <w:br w:type="textWrapping"/>
      </w:r>
      <w:r>
        <w:rPr>
          <w:rFonts w:ascii="仿宋_GB2312" w:eastAsia="仿宋_GB2312"/>
          <w:sz w:val="32"/>
          <w:szCs w:val="32"/>
        </w:rPr>
        <w:t xml:space="preserve">    3.</w:t>
      </w:r>
      <w:r>
        <w:rPr>
          <w:rFonts w:hint="eastAsia" w:ascii="仿宋_GB2312" w:eastAsia="仿宋_GB2312"/>
          <w:sz w:val="32"/>
          <w:szCs w:val="32"/>
        </w:rPr>
        <w:t>经营收入：指事业单位在专业业务活动及其辅助活动之外开展非独立核算经营活动取得的收入。如勘察设计收入。</w:t>
      </w:r>
      <w:r>
        <w:rPr>
          <w:rFonts w:ascii="仿宋_GB2312" w:eastAsia="仿宋_GB2312"/>
          <w:sz w:val="32"/>
          <w:szCs w:val="32"/>
        </w:rPr>
        <w:t> </w:t>
      </w:r>
    </w:p>
    <w:p>
      <w:pPr>
        <w:pStyle w:val="28"/>
        <w:spacing w:line="360" w:lineRule="auto"/>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其他收入：指单位取得的除上述收入以外的各项收入。主要是区县财政划拨给下属水管单位的停征农业水费补助。</w:t>
      </w:r>
    </w:p>
    <w:p>
      <w:pPr>
        <w:pStyle w:val="28"/>
        <w:spacing w:line="560" w:lineRule="exact"/>
        <w:ind w:firstLine="640" w:firstLineChars="200"/>
        <w:rPr>
          <w:rFonts w:ascii="仿宋_GB2312" w:eastAsia="仿宋_GB2312"/>
          <w:sz w:val="32"/>
          <w:szCs w:val="32"/>
        </w:rPr>
      </w:pPr>
      <w:r>
        <w:rPr>
          <w:rFonts w:ascii="仿宋_GB2312" w:eastAsia="仿宋_GB2312"/>
          <w:sz w:val="32"/>
          <w:szCs w:val="32"/>
        </w:rPr>
        <w:t> 5.</w:t>
      </w:r>
      <w:r>
        <w:rPr>
          <w:rFonts w:hint="eastAsia" w:ascii="仿宋_GB2312" w:eastAsia="仿宋_GB2312"/>
          <w:sz w:val="32"/>
          <w:szCs w:val="32"/>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r>
        <w:rPr>
          <w:rFonts w:ascii="仿宋_GB2312" w:eastAsia="仿宋_GB2312"/>
          <w:sz w:val="32"/>
          <w:szCs w:val="32"/>
        </w:rPr>
        <w:t xml:space="preserve"> </w:t>
      </w:r>
      <w:r>
        <w:rPr>
          <w:rFonts w:ascii="仿宋_GB2312" w:eastAsia="仿宋_GB2312"/>
          <w:sz w:val="32"/>
          <w:szCs w:val="32"/>
        </w:rPr>
        <w:br w:type="textWrapping"/>
      </w:r>
      <w:r>
        <w:rPr>
          <w:rFonts w:ascii="仿宋_GB2312" w:eastAsia="仿宋_GB2312"/>
          <w:sz w:val="32"/>
          <w:szCs w:val="32"/>
        </w:rPr>
        <w:t xml:space="preserve">    6.</w:t>
      </w:r>
      <w:r>
        <w:rPr>
          <w:rFonts w:hint="eastAsia" w:ascii="仿宋_GB2312" w:eastAsia="仿宋_GB2312"/>
          <w:sz w:val="32"/>
          <w:szCs w:val="32"/>
        </w:rPr>
        <w:t>年初结转和结余：指以前年度尚未完成、结转到本年按有关规定继续使用的资金。</w:t>
      </w:r>
    </w:p>
    <w:p>
      <w:pPr>
        <w:pStyle w:val="28"/>
        <w:spacing w:line="560" w:lineRule="exact"/>
        <w:ind w:firstLine="640" w:firstLineChars="200"/>
        <w:rPr>
          <w:rFonts w:ascii="仿宋_GB2312" w:eastAsia="仿宋_GB2312"/>
          <w:sz w:val="32"/>
          <w:szCs w:val="32"/>
        </w:rPr>
      </w:pPr>
      <w:r>
        <w:rPr>
          <w:rFonts w:ascii="仿宋_GB2312" w:eastAsia="仿宋_GB2312"/>
          <w:sz w:val="32"/>
          <w:szCs w:val="32"/>
        </w:rPr>
        <w:t>7.</w:t>
      </w:r>
      <w:r>
        <w:rPr>
          <w:rFonts w:hint="eastAsia" w:ascii="仿宋_GB2312" w:eastAsia="仿宋_GB2312"/>
          <w:sz w:val="32"/>
          <w:szCs w:val="32"/>
        </w:rPr>
        <w:t>结余分配：指事业单位按照事业单位会计制度的规定从非财政补助结余中分配的事业基金和职工福利基金等。</w:t>
      </w:r>
    </w:p>
    <w:p>
      <w:pPr>
        <w:pStyle w:val="28"/>
        <w:spacing w:line="560" w:lineRule="exact"/>
        <w:ind w:firstLine="640" w:firstLineChars="200"/>
        <w:rPr>
          <w:rFonts w:ascii="仿宋_GB2312" w:eastAsia="仿宋_GB2312"/>
          <w:sz w:val="32"/>
          <w:szCs w:val="32"/>
        </w:rPr>
      </w:pPr>
      <w:r>
        <w:rPr>
          <w:rFonts w:ascii="仿宋_GB2312" w:eastAsia="仿宋_GB2312"/>
          <w:sz w:val="32"/>
          <w:szCs w:val="32"/>
        </w:rPr>
        <w:t>8</w:t>
      </w:r>
      <w:r>
        <w:rPr>
          <w:rFonts w:hint="eastAsia" w:ascii="仿宋_GB2312" w:eastAsia="仿宋_GB2312"/>
          <w:sz w:val="32"/>
          <w:szCs w:val="32"/>
        </w:rPr>
        <w:t>、年末结转和结余：指单位按有关规定结转到下年或以后年度继续使用的资金。</w:t>
      </w:r>
      <w:r>
        <w:rPr>
          <w:rFonts w:ascii="仿宋_GB2312" w:eastAsia="仿宋_GB2312"/>
          <w:sz w:val="32"/>
          <w:szCs w:val="32"/>
        </w:rPr>
        <w:br w:type="textWrapping"/>
      </w:r>
      <w:r>
        <w:rPr>
          <w:rFonts w:ascii="仿宋_GB2312" w:eastAsia="仿宋_GB2312"/>
          <w:sz w:val="32"/>
          <w:szCs w:val="32"/>
        </w:rPr>
        <w:t xml:space="preserve">  </w:t>
      </w:r>
      <w:r>
        <w:rPr>
          <w:rFonts w:hint="eastAsia" w:ascii="仿宋_GB2312" w:eastAsia="仿宋_GB2312"/>
          <w:sz w:val="32"/>
          <w:szCs w:val="32"/>
        </w:rPr>
        <w:t>　</w:t>
      </w:r>
      <w:r>
        <w:rPr>
          <w:rFonts w:ascii="仿宋_GB2312" w:eastAsia="仿宋_GB2312"/>
          <w:sz w:val="32"/>
          <w:szCs w:val="32"/>
        </w:rPr>
        <w:t>9.</w:t>
      </w:r>
      <w:r>
        <w:rPr>
          <w:rFonts w:hint="eastAsia" w:ascii="仿宋_GB2312" w:eastAsia="仿宋_GB2312"/>
          <w:sz w:val="32"/>
          <w:szCs w:val="32"/>
        </w:rPr>
        <w:t>社会保障和就业（类）行政事业单位离退休（款）未归口管理的行政单位离退休（项）：指反映未实行归口管理的行政单位（包括实行公务员管理的事业单位）开支的离退休支出。</w:t>
      </w:r>
      <w:r>
        <w:rPr>
          <w:rFonts w:ascii="仿宋_GB2312" w:eastAsia="仿宋_GB2312"/>
          <w:sz w:val="32"/>
          <w:szCs w:val="32"/>
        </w:rPr>
        <w:t> </w:t>
      </w:r>
      <w:r>
        <w:rPr>
          <w:rFonts w:ascii="仿宋_GB2312" w:eastAsia="仿宋_GB2312"/>
          <w:sz w:val="32"/>
          <w:szCs w:val="32"/>
        </w:rPr>
        <w:br w:type="textWrapping"/>
      </w:r>
      <w:r>
        <w:rPr>
          <w:rFonts w:ascii="仿宋_GB2312" w:eastAsia="仿宋_GB2312"/>
          <w:sz w:val="32"/>
          <w:szCs w:val="32"/>
        </w:rPr>
        <w:t xml:space="preserve">  </w:t>
      </w:r>
      <w:r>
        <w:rPr>
          <w:rFonts w:hint="eastAsia" w:ascii="仿宋_GB2312" w:eastAsia="仿宋_GB2312"/>
          <w:sz w:val="32"/>
          <w:szCs w:val="32"/>
        </w:rPr>
        <w:t>　</w:t>
      </w:r>
      <w:r>
        <w:rPr>
          <w:rFonts w:ascii="仿宋_GB2312" w:eastAsia="仿宋_GB2312"/>
          <w:sz w:val="32"/>
          <w:szCs w:val="32"/>
        </w:rPr>
        <w:t>10.</w:t>
      </w:r>
      <w:r>
        <w:rPr>
          <w:rFonts w:hint="eastAsia" w:ascii="仿宋_GB2312" w:eastAsia="仿宋_GB2312"/>
          <w:sz w:val="32"/>
          <w:szCs w:val="32"/>
        </w:rPr>
        <w:t>社会保障和就业（类）行政事业单位离退休（款）机关事业单位基本养老保险缴费支出（项）：指其他用于行政事业单位基本养老保险费方面的支出。</w:t>
      </w:r>
      <w:r>
        <w:rPr>
          <w:rFonts w:ascii="仿宋_GB2312" w:eastAsia="仿宋_GB2312"/>
          <w:sz w:val="32"/>
          <w:szCs w:val="32"/>
        </w:rPr>
        <w:br w:type="textWrapping"/>
      </w:r>
      <w:r>
        <w:rPr>
          <w:rFonts w:ascii="仿宋_GB2312" w:eastAsia="仿宋_GB2312"/>
          <w:sz w:val="32"/>
          <w:szCs w:val="32"/>
        </w:rPr>
        <w:t xml:space="preserve"> </w:t>
      </w:r>
      <w:r>
        <w:rPr>
          <w:rFonts w:hint="eastAsia" w:ascii="仿宋_GB2312" w:eastAsia="仿宋_GB2312"/>
          <w:sz w:val="32"/>
          <w:szCs w:val="32"/>
        </w:rPr>
        <w:t>　</w:t>
      </w:r>
      <w:r>
        <w:rPr>
          <w:rFonts w:ascii="仿宋_GB2312" w:eastAsia="仿宋_GB2312"/>
          <w:sz w:val="32"/>
          <w:szCs w:val="32"/>
        </w:rPr>
        <w:t xml:space="preserve"> 11.</w:t>
      </w:r>
      <w:r>
        <w:rPr>
          <w:rFonts w:hint="eastAsia" w:ascii="仿宋_GB2312" w:eastAsia="仿宋_GB2312"/>
          <w:sz w:val="32"/>
          <w:szCs w:val="32"/>
        </w:rPr>
        <w:t>社会保障和就业（类）行政事业单位离退休（款）其他社会保障和就业支出（项）：指其他用于社会保障和就业方面的支出。</w:t>
      </w:r>
      <w:r>
        <w:rPr>
          <w:rFonts w:ascii="仿宋_GB2312" w:eastAsia="仿宋_GB2312"/>
          <w:sz w:val="32"/>
          <w:szCs w:val="32"/>
        </w:rPr>
        <w:t> </w:t>
      </w:r>
      <w:r>
        <w:rPr>
          <w:rFonts w:ascii="仿宋_GB2312" w:eastAsia="仿宋_GB2312"/>
          <w:sz w:val="32"/>
          <w:szCs w:val="32"/>
        </w:rPr>
        <w:br w:type="textWrapping"/>
      </w:r>
      <w:r>
        <w:rPr>
          <w:rFonts w:ascii="仿宋_GB2312" w:eastAsia="仿宋_GB2312"/>
          <w:sz w:val="32"/>
          <w:szCs w:val="32"/>
        </w:rPr>
        <w:t xml:space="preserve">    12.</w:t>
      </w:r>
      <w:r>
        <w:rPr>
          <w:rFonts w:hint="eastAsia" w:ascii="仿宋_GB2312" w:eastAsia="仿宋_GB2312"/>
          <w:sz w:val="32"/>
          <w:szCs w:val="32"/>
        </w:rPr>
        <w:t>医疗卫生与计划生育（类）医疗保障（款）行政单位医疗（项）：反映财政部门集中安排的行政单位基本医疗保险缴费经费，未参加医疗保险的行政单位的公费医疗经费，按国家规定享受离休人员、红军老战士待遇人员的医疗经费。</w:t>
      </w:r>
      <w:r>
        <w:rPr>
          <w:rFonts w:ascii="仿宋_GB2312" w:eastAsia="仿宋_GB2312"/>
          <w:sz w:val="32"/>
          <w:szCs w:val="32"/>
        </w:rPr>
        <w:t> </w:t>
      </w:r>
      <w:r>
        <w:rPr>
          <w:rFonts w:ascii="仿宋_GB2312" w:eastAsia="仿宋_GB2312"/>
          <w:sz w:val="32"/>
          <w:szCs w:val="32"/>
        </w:rPr>
        <w:br w:type="textWrapping"/>
      </w:r>
      <w:r>
        <w:rPr>
          <w:rFonts w:ascii="仿宋_GB2312" w:eastAsia="仿宋_GB2312"/>
          <w:sz w:val="32"/>
          <w:szCs w:val="32"/>
        </w:rPr>
        <w:t xml:space="preserve">    13.</w:t>
      </w:r>
      <w:r>
        <w:rPr>
          <w:rFonts w:hint="eastAsia" w:ascii="仿宋_GB2312" w:eastAsia="仿宋_GB2312"/>
          <w:sz w:val="32"/>
          <w:szCs w:val="32"/>
        </w:rPr>
        <w:t>医疗卫生与计划生育（类）医疗保障（款）事业单位医疗（项）：反映财政部门集中安排的事业单位基本医疗保险缴费经费，未参加医疗保险的事业单位的公费医疗经费，按国家规定享受离休人员待遇人员的医疗经费。</w:t>
      </w:r>
      <w:r>
        <w:rPr>
          <w:rFonts w:ascii="仿宋_GB2312" w:eastAsia="仿宋_GB2312"/>
          <w:sz w:val="32"/>
          <w:szCs w:val="32"/>
        </w:rPr>
        <w:t> </w:t>
      </w:r>
      <w:r>
        <w:rPr>
          <w:rFonts w:ascii="仿宋_GB2312" w:eastAsia="仿宋_GB2312"/>
          <w:sz w:val="32"/>
          <w:szCs w:val="32"/>
        </w:rPr>
        <w:br w:type="textWrapping"/>
      </w:r>
      <w:r>
        <w:rPr>
          <w:rFonts w:ascii="仿宋_GB2312" w:eastAsia="仿宋_GB2312"/>
          <w:sz w:val="32"/>
          <w:szCs w:val="32"/>
        </w:rPr>
        <w:t xml:space="preserve">    14.</w:t>
      </w:r>
      <w:r>
        <w:rPr>
          <w:rFonts w:hint="eastAsia" w:ascii="仿宋_GB2312" w:eastAsia="仿宋_GB2312"/>
          <w:sz w:val="32"/>
          <w:szCs w:val="32"/>
        </w:rPr>
        <w:t>农林水支出（类）农业（款）其他农业支出（项）：反映其他用于农业方面的支出。</w:t>
      </w:r>
      <w:r>
        <w:rPr>
          <w:rFonts w:ascii="仿宋_GB2312" w:eastAsia="仿宋_GB2312"/>
          <w:sz w:val="32"/>
          <w:szCs w:val="32"/>
        </w:rPr>
        <w:t> </w:t>
      </w:r>
      <w:r>
        <w:rPr>
          <w:rFonts w:ascii="仿宋_GB2312" w:eastAsia="仿宋_GB2312"/>
          <w:sz w:val="32"/>
          <w:szCs w:val="32"/>
        </w:rPr>
        <w:br w:type="textWrapping"/>
      </w:r>
      <w:r>
        <w:rPr>
          <w:rFonts w:ascii="仿宋_GB2312" w:eastAsia="仿宋_GB2312"/>
          <w:sz w:val="32"/>
          <w:szCs w:val="32"/>
        </w:rPr>
        <w:t xml:space="preserve">    15.</w:t>
      </w:r>
      <w:r>
        <w:rPr>
          <w:rFonts w:hint="eastAsia" w:ascii="仿宋_GB2312" w:eastAsia="仿宋_GB2312"/>
          <w:sz w:val="32"/>
          <w:szCs w:val="32"/>
        </w:rPr>
        <w:t>农林水支出（类）水利（款）行政运行（项）：反映行政单位（包括实行公务员管理的事业单位）的基本支出。</w:t>
      </w:r>
      <w:r>
        <w:rPr>
          <w:rFonts w:ascii="仿宋_GB2312" w:eastAsia="仿宋_GB2312"/>
          <w:sz w:val="32"/>
          <w:szCs w:val="32"/>
        </w:rPr>
        <w:t> </w:t>
      </w:r>
      <w:r>
        <w:rPr>
          <w:rFonts w:ascii="仿宋_GB2312" w:eastAsia="仿宋_GB2312"/>
          <w:sz w:val="32"/>
          <w:szCs w:val="32"/>
        </w:rPr>
        <w:br w:type="textWrapping"/>
      </w:r>
      <w:r>
        <w:rPr>
          <w:rFonts w:ascii="仿宋_GB2312" w:eastAsia="仿宋_GB2312"/>
          <w:sz w:val="32"/>
          <w:szCs w:val="32"/>
        </w:rPr>
        <w:t xml:space="preserve">    16.</w:t>
      </w:r>
      <w:r>
        <w:rPr>
          <w:rFonts w:hint="eastAsia" w:ascii="仿宋_GB2312" w:eastAsia="仿宋_GB2312"/>
          <w:sz w:val="32"/>
          <w:szCs w:val="32"/>
        </w:rPr>
        <w:t>农林水支出（类）水利（款）水利行业业务管理（项）：反映用于水利行业业务管理方面的支出。有关业务包括制定政策、法规及行业标准、规程规范、进行水利宣传、审计监督检查、精神文明建设以及农田水利管理、水利重大活动、水利工程质量监督、水利资金监督管理、水利国有资产监管、行政许可及监督管理等。</w:t>
      </w:r>
      <w:r>
        <w:rPr>
          <w:rFonts w:ascii="仿宋_GB2312" w:eastAsia="仿宋_GB2312"/>
          <w:sz w:val="32"/>
          <w:szCs w:val="32"/>
        </w:rPr>
        <w:t> </w:t>
      </w:r>
      <w:r>
        <w:rPr>
          <w:rFonts w:ascii="仿宋_GB2312" w:eastAsia="仿宋_GB2312"/>
          <w:sz w:val="32"/>
          <w:szCs w:val="32"/>
        </w:rPr>
        <w:br w:type="textWrapping"/>
      </w:r>
      <w:r>
        <w:rPr>
          <w:rFonts w:ascii="仿宋_GB2312" w:eastAsia="仿宋_GB2312"/>
          <w:sz w:val="32"/>
          <w:szCs w:val="32"/>
        </w:rPr>
        <w:t xml:space="preserve">    17. </w:t>
      </w:r>
      <w:r>
        <w:rPr>
          <w:rFonts w:hint="eastAsia" w:ascii="仿宋_GB2312" w:eastAsia="仿宋_GB2312"/>
          <w:sz w:val="32"/>
          <w:szCs w:val="32"/>
        </w:rPr>
        <w:t>农林水支出（类）水利（款）水利工程建设（项）：反映水利系统用于江、河、湖、滩等水利工程建设支出，包括堤防、河道、水库、水利枢纽、涵闸、灌区、供水、蓄滞洪区等水利工程及其附属设备、设施的建设、更新改造、大中型病险水库防险、大中型灌区改造、农村电气化建设支出。</w:t>
      </w:r>
      <w:r>
        <w:rPr>
          <w:rFonts w:ascii="仿宋_GB2312" w:eastAsia="仿宋_GB2312"/>
          <w:sz w:val="32"/>
          <w:szCs w:val="32"/>
        </w:rPr>
        <w:t> </w:t>
      </w:r>
    </w:p>
    <w:p>
      <w:pPr>
        <w:pStyle w:val="28"/>
        <w:spacing w:line="360" w:lineRule="auto"/>
        <w:ind w:firstLine="640" w:firstLineChars="200"/>
        <w:rPr>
          <w:rFonts w:ascii="仿宋_GB2312" w:eastAsia="仿宋_GB2312"/>
          <w:sz w:val="32"/>
          <w:szCs w:val="32"/>
        </w:rPr>
      </w:pPr>
      <w:r>
        <w:rPr>
          <w:rFonts w:ascii="仿宋_GB2312" w:eastAsia="仿宋_GB2312"/>
          <w:sz w:val="32"/>
          <w:szCs w:val="32"/>
        </w:rPr>
        <w:t>18</w:t>
      </w:r>
      <w:r>
        <w:rPr>
          <w:rFonts w:hint="eastAsia" w:ascii="仿宋_GB2312" w:eastAsia="仿宋_GB2312"/>
          <w:sz w:val="32"/>
          <w:szCs w:val="32"/>
        </w:rPr>
        <w:t>．农林水支出（类）水利（款）水利前期工作（项）：反映规划、勘测、设计、科研及相关管理办法编制、资料整编、设备购置等基础性前期工作的支出。</w:t>
      </w:r>
      <w:r>
        <w:rPr>
          <w:rFonts w:ascii="仿宋_GB2312" w:eastAsia="仿宋_GB2312"/>
          <w:sz w:val="32"/>
          <w:szCs w:val="32"/>
        </w:rPr>
        <w:br w:type="textWrapping"/>
      </w:r>
      <w:r>
        <w:rPr>
          <w:rFonts w:ascii="仿宋_GB2312" w:eastAsia="仿宋_GB2312"/>
          <w:sz w:val="32"/>
          <w:szCs w:val="32"/>
        </w:rPr>
        <w:t xml:space="preserve">    19. </w:t>
      </w:r>
      <w:r>
        <w:rPr>
          <w:rFonts w:hint="eastAsia" w:ascii="仿宋_GB2312" w:eastAsia="仿宋_GB2312"/>
          <w:sz w:val="32"/>
          <w:szCs w:val="32"/>
        </w:rPr>
        <w:t>农林水支出（类）水利（款）水土保持（项）：反映水利系统纳入预算管理的水土保持事业单位的支出，包括规划制定和实施，治理、生态修复、预防监测、调查协调、综合治理、开发技术的示范、监督执法等支出以及水土保持生态工程措施和各项管理保护的支出。</w:t>
      </w:r>
      <w:r>
        <w:rPr>
          <w:rFonts w:ascii="仿宋_GB2312" w:eastAsia="仿宋_GB2312"/>
          <w:sz w:val="32"/>
          <w:szCs w:val="32"/>
        </w:rPr>
        <w:t> </w:t>
      </w:r>
    </w:p>
    <w:p>
      <w:pPr>
        <w:pStyle w:val="28"/>
        <w:spacing w:line="360" w:lineRule="auto"/>
        <w:ind w:firstLine="640" w:firstLineChars="20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农林水支出（类）水利（款）水资源节约与保护（项）：反映水利系统纳入预算管理的水资源管理与保护事业单位的支出。有关事项包括进行水资源调查评价和水资源规划，水量分配方案、节水以及相关标准的制订及监督实施，组织实施流域或跨流域水资源调度，水功能区监督管理，取水许可、江河湖库及水源地保护监督，水资源公报发布，基础资料整编，水量调度，节约用水，设备仪器运行维护，入河排污口监督管理、审定水域纳污能力和限制排污控制，水资源论证，地下水资源管理，超采区治理和保护，用水定额管理，水务管理和各项保护管理等。</w:t>
      </w:r>
      <w:r>
        <w:rPr>
          <w:rFonts w:ascii="仿宋_GB2312" w:eastAsia="仿宋_GB2312"/>
          <w:sz w:val="32"/>
          <w:szCs w:val="32"/>
        </w:rPr>
        <w:br w:type="textWrapping"/>
      </w:r>
      <w:r>
        <w:rPr>
          <w:rFonts w:ascii="仿宋_GB2312" w:eastAsia="仿宋_GB2312"/>
          <w:sz w:val="32"/>
          <w:szCs w:val="32"/>
        </w:rPr>
        <w:t xml:space="preserve">    21. </w:t>
      </w:r>
      <w:r>
        <w:rPr>
          <w:rFonts w:hint="eastAsia" w:ascii="仿宋_GB2312" w:eastAsia="仿宋_GB2312"/>
          <w:sz w:val="32"/>
          <w:szCs w:val="32"/>
        </w:rPr>
        <w:t>农林水支出（类）水利（款）水文测报（项）：反映水利系统纳入预算管理的水文事业单位的支出。有关事项包括江、河、湖、库、滨海、区的水文测报，水文测验、水文情报预报、河道（淤积）监测，水量调度监测，水文业务管理，水文水资源公报编制、水文资料整编及水文设施运行维护等。</w:t>
      </w:r>
      <w:r>
        <w:rPr>
          <w:rFonts w:ascii="仿宋_GB2312" w:eastAsia="仿宋_GB2312"/>
          <w:sz w:val="32"/>
          <w:szCs w:val="32"/>
        </w:rPr>
        <w:t> </w:t>
      </w:r>
      <w:r>
        <w:rPr>
          <w:rFonts w:ascii="仿宋_GB2312" w:eastAsia="仿宋_GB2312"/>
          <w:sz w:val="32"/>
          <w:szCs w:val="32"/>
        </w:rPr>
        <w:br w:type="textWrapping"/>
      </w:r>
      <w:r>
        <w:rPr>
          <w:rFonts w:ascii="仿宋_GB2312" w:eastAsia="仿宋_GB2312"/>
          <w:sz w:val="32"/>
          <w:szCs w:val="32"/>
        </w:rPr>
        <w:t xml:space="preserve">    22. </w:t>
      </w:r>
      <w:r>
        <w:rPr>
          <w:rFonts w:hint="eastAsia" w:ascii="仿宋_GB2312" w:eastAsia="仿宋_GB2312"/>
          <w:sz w:val="32"/>
          <w:szCs w:val="32"/>
        </w:rPr>
        <w:t>农林水支出（类）水利（款）防汛（项）：反映防汛业务支出。有关事项包括防汛物资购置管护、防汛通讯设施设备、网络系统、车船设备运行维护，防汛值班、水清报汛、防汛指挥系统运行维护，水毁修复以及防汛组织（如防汛预案编制、检查、演习、宣传、会议等），汛期调用民工及劳动保护，水利设施灾后重建，退田还湖，蓄滞洪区补偿、水情、雨情、决策支持，防汛视频会商，应急度汛，山洪灾害防治等。</w:t>
      </w:r>
      <w:r>
        <w:rPr>
          <w:rFonts w:ascii="仿宋_GB2312" w:eastAsia="仿宋_GB2312"/>
          <w:sz w:val="32"/>
          <w:szCs w:val="32"/>
        </w:rPr>
        <w:t> </w:t>
      </w:r>
      <w:r>
        <w:rPr>
          <w:rFonts w:ascii="仿宋_GB2312" w:eastAsia="仿宋_GB2312"/>
          <w:sz w:val="32"/>
          <w:szCs w:val="32"/>
        </w:rPr>
        <w:br w:type="textWrapping"/>
      </w:r>
      <w:r>
        <w:rPr>
          <w:rFonts w:ascii="仿宋_GB2312" w:eastAsia="仿宋_GB2312"/>
          <w:sz w:val="32"/>
          <w:szCs w:val="32"/>
        </w:rPr>
        <w:t xml:space="preserve">    23.</w:t>
      </w:r>
      <w:r>
        <w:rPr>
          <w:rFonts w:hint="eastAsia" w:ascii="仿宋_GB2312" w:eastAsia="仿宋_GB2312"/>
          <w:sz w:val="32"/>
          <w:szCs w:val="32"/>
        </w:rPr>
        <w:t>农林水支出（类）水利（款）农田水利（项）：反映国家对农田水利和打井、集雨设施、节水灌溉等水利设施的补助，小型水库除险补助以及排灌站、小水电站补助等。</w:t>
      </w:r>
    </w:p>
    <w:p>
      <w:pPr>
        <w:pStyle w:val="28"/>
        <w:spacing w:line="360" w:lineRule="auto"/>
        <w:ind w:firstLine="640" w:firstLineChars="200"/>
        <w:rPr>
          <w:rFonts w:ascii="仿宋_GB2312" w:eastAsia="仿宋_GB2312"/>
          <w:sz w:val="32"/>
          <w:szCs w:val="32"/>
        </w:rPr>
      </w:pPr>
      <w:r>
        <w:rPr>
          <w:rFonts w:ascii="仿宋_GB2312" w:eastAsia="仿宋_GB2312"/>
          <w:sz w:val="32"/>
          <w:szCs w:val="32"/>
        </w:rPr>
        <w:t>24</w:t>
      </w:r>
      <w:r>
        <w:rPr>
          <w:rFonts w:hint="eastAsia" w:ascii="仿宋_GB2312" w:eastAsia="仿宋_GB2312"/>
          <w:sz w:val="32"/>
          <w:szCs w:val="32"/>
        </w:rPr>
        <w:t>：</w:t>
      </w:r>
      <w:r>
        <w:rPr>
          <w:rFonts w:ascii="仿宋_GB2312" w:eastAsia="仿宋_GB2312"/>
          <w:sz w:val="32"/>
          <w:szCs w:val="32"/>
        </w:rPr>
        <w:t> </w:t>
      </w:r>
      <w:r>
        <w:rPr>
          <w:rFonts w:hint="eastAsia" w:ascii="仿宋_GB2312" w:eastAsia="仿宋_GB2312"/>
          <w:sz w:val="32"/>
          <w:szCs w:val="32"/>
        </w:rPr>
        <w:t>农林水支出（类）水利（款）江河湖库水系综合整治（项）：反映江河湖库水系综合整治方面的支出。有关事项包括中小河流治理、江河湖库水系联通等。</w:t>
      </w:r>
      <w:r>
        <w:rPr>
          <w:rFonts w:ascii="仿宋_GB2312" w:eastAsia="仿宋_GB2312"/>
          <w:sz w:val="32"/>
          <w:szCs w:val="32"/>
        </w:rPr>
        <w:br w:type="textWrapping"/>
      </w:r>
      <w:r>
        <w:rPr>
          <w:rFonts w:ascii="仿宋_GB2312" w:eastAsia="仿宋_GB2312"/>
          <w:sz w:val="32"/>
          <w:szCs w:val="32"/>
        </w:rPr>
        <w:t xml:space="preserve">    25. </w:t>
      </w:r>
      <w:r>
        <w:rPr>
          <w:rFonts w:hint="eastAsia" w:ascii="仿宋_GB2312" w:eastAsia="仿宋_GB2312"/>
          <w:sz w:val="32"/>
          <w:szCs w:val="32"/>
        </w:rPr>
        <w:t>农林水支出（类）水利（款）其他水利支出（项）：反映其他用于水利方面的支出。</w:t>
      </w:r>
      <w:r>
        <w:rPr>
          <w:rFonts w:ascii="仿宋_GB2312" w:eastAsia="仿宋_GB2312"/>
          <w:sz w:val="32"/>
          <w:szCs w:val="32"/>
        </w:rPr>
        <w:t> </w:t>
      </w:r>
      <w:r>
        <w:rPr>
          <w:rFonts w:ascii="仿宋_GB2312" w:eastAsia="仿宋_GB2312"/>
          <w:sz w:val="32"/>
          <w:szCs w:val="32"/>
        </w:rPr>
        <w:br w:type="textWrapping"/>
      </w:r>
      <w:r>
        <w:rPr>
          <w:rFonts w:ascii="仿宋_GB2312" w:eastAsia="仿宋_GB2312"/>
          <w:sz w:val="32"/>
          <w:szCs w:val="32"/>
        </w:rPr>
        <w:t xml:space="preserve">    26.</w:t>
      </w:r>
      <w:r>
        <w:rPr>
          <w:rFonts w:hint="eastAsia" w:ascii="仿宋_GB2312" w:eastAsia="仿宋_GB2312"/>
          <w:sz w:val="32"/>
          <w:szCs w:val="32"/>
        </w:rPr>
        <w:t>住房保障支出（类）住房改革支出（款）住房公积金（项）：反映行政事业单位按人力资源和社会保障部、财政部规定的基本工资和津贴补贴以及规定比例为职工缴纳的住房公积金。</w:t>
      </w:r>
      <w:r>
        <w:rPr>
          <w:rFonts w:ascii="仿宋_GB2312" w:eastAsia="仿宋_GB2312"/>
          <w:sz w:val="32"/>
          <w:szCs w:val="32"/>
        </w:rPr>
        <w:t> </w:t>
      </w:r>
    </w:p>
    <w:p>
      <w:pPr>
        <w:ind w:firstLine="640" w:firstLineChars="200"/>
        <w:rPr>
          <w:rFonts w:ascii="仿宋_GB2312" w:eastAsia="仿宋_GB2312"/>
          <w:color w:val="000000"/>
          <w:sz w:val="32"/>
          <w:szCs w:val="32"/>
        </w:rPr>
      </w:pPr>
      <w:r>
        <w:rPr>
          <w:rFonts w:ascii="仿宋_GB2312" w:eastAsia="仿宋_GB2312"/>
          <w:color w:val="000000"/>
          <w:sz w:val="32"/>
          <w:szCs w:val="32"/>
        </w:rPr>
        <w:t>27.</w:t>
      </w:r>
      <w:r>
        <w:rPr>
          <w:rFonts w:hint="eastAsia" w:ascii="仿宋_GB2312" w:eastAsia="仿宋_GB2312"/>
          <w:color w:val="000000"/>
          <w:sz w:val="32"/>
          <w:szCs w:val="32"/>
        </w:rPr>
        <w:t>基本支出：指为保障机构正常运转、完成日常工作任务而发生的人员支出和公用支出。</w:t>
      </w:r>
    </w:p>
    <w:p>
      <w:pPr>
        <w:ind w:firstLine="640" w:firstLineChars="200"/>
        <w:rPr>
          <w:rFonts w:ascii="仿宋_GB2312" w:eastAsia="仿宋_GB2312"/>
          <w:color w:val="000000"/>
          <w:sz w:val="32"/>
          <w:szCs w:val="32"/>
        </w:rPr>
      </w:pPr>
      <w:r>
        <w:rPr>
          <w:rFonts w:ascii="仿宋_GB2312" w:eastAsia="仿宋_GB2312"/>
          <w:color w:val="000000"/>
          <w:sz w:val="32"/>
          <w:szCs w:val="32"/>
        </w:rPr>
        <w:t>28.</w:t>
      </w:r>
      <w:r>
        <w:rPr>
          <w:rFonts w:hint="eastAsia" w:ascii="仿宋_GB2312" w:eastAsia="仿宋_GB2312"/>
          <w:color w:val="000000"/>
          <w:sz w:val="32"/>
          <w:szCs w:val="32"/>
        </w:rPr>
        <w:t>项目支出：指在基本支出之外为完成特定行政任务和事业发展目标所发生的支出。</w:t>
      </w:r>
      <w:r>
        <w:rPr>
          <w:rFonts w:ascii="仿宋_GB2312" w:eastAsia="仿宋_GB2312"/>
          <w:color w:val="000000"/>
          <w:sz w:val="32"/>
          <w:szCs w:val="32"/>
        </w:rPr>
        <w:t xml:space="preserve"> </w:t>
      </w:r>
    </w:p>
    <w:p>
      <w:pPr>
        <w:ind w:firstLine="640" w:firstLineChars="200"/>
        <w:rPr>
          <w:rFonts w:ascii="仿宋_GB2312" w:eastAsia="仿宋_GB2312"/>
          <w:color w:val="000000"/>
          <w:sz w:val="32"/>
          <w:szCs w:val="32"/>
        </w:rPr>
      </w:pPr>
      <w:r>
        <w:rPr>
          <w:rFonts w:ascii="仿宋_GB2312" w:eastAsia="仿宋_GB2312"/>
          <w:color w:val="000000"/>
          <w:sz w:val="32"/>
          <w:szCs w:val="32"/>
        </w:rPr>
        <w:t>29.</w:t>
      </w:r>
      <w:r>
        <w:rPr>
          <w:rFonts w:hint="eastAsia" w:ascii="仿宋_GB2312" w:eastAsia="仿宋_GB2312"/>
          <w:color w:val="000000"/>
          <w:sz w:val="32"/>
          <w:szCs w:val="32"/>
        </w:rPr>
        <w:t>经营支出：指事业单位在专业业务活动及其辅助活动之外开展非独立核算经营活动发生的支出。</w:t>
      </w:r>
    </w:p>
    <w:p>
      <w:pPr>
        <w:pStyle w:val="28"/>
        <w:spacing w:line="560" w:lineRule="exact"/>
        <w:ind w:firstLine="640" w:firstLineChars="200"/>
        <w:rPr>
          <w:rFonts w:ascii="仿宋_GB2312" w:eastAsia="仿宋_GB2312"/>
          <w:sz w:val="32"/>
          <w:szCs w:val="32"/>
        </w:rPr>
      </w:pPr>
      <w:r>
        <w:rPr>
          <w:rFonts w:ascii="仿宋_GB2312" w:eastAsia="仿宋_GB2312"/>
          <w:sz w:val="32"/>
          <w:szCs w:val="32"/>
        </w:rPr>
        <w:t>30.</w:t>
      </w:r>
      <w:r>
        <w:rPr>
          <w:rFonts w:hint="eastAsia" w:ascii="仿宋_GB2312" w:eastAsia="仿宋_GB2312"/>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28"/>
        <w:spacing w:line="560" w:lineRule="exact"/>
        <w:ind w:firstLine="640" w:firstLineChars="200"/>
        <w:rPr>
          <w:rFonts w:ascii="仿宋_GB2312" w:eastAsia="仿宋_GB2312"/>
          <w:sz w:val="32"/>
          <w:szCs w:val="32"/>
        </w:rPr>
      </w:pPr>
      <w:r>
        <w:rPr>
          <w:rFonts w:ascii="仿宋_GB2312" w:eastAsia="仿宋_GB2312"/>
          <w:sz w:val="32"/>
          <w:szCs w:val="32"/>
        </w:rPr>
        <w:t>31.</w:t>
      </w:r>
      <w:r>
        <w:rPr>
          <w:rFonts w:hint="eastAsia" w:ascii="仿宋_GB2312" w:eastAsia="仿宋_GB2312"/>
          <w:sz w:val="32"/>
          <w:szCs w:val="32"/>
        </w:rPr>
        <w:t>机关运行经费：为保障行政单位（含参照公务员法管理的事业单位）运行用于购买货物和服务的各项资金，包括办公及印刷费、邮电费、差旅费、会议费、培训费、福利费、日常维修费、一般设备购置费、办公用房水电费、办公用房物业管理费、公务用车运行维护费、公务用车购置以及其他费用。</w:t>
      </w:r>
    </w:p>
    <w:p>
      <w:pPr>
        <w:pStyle w:val="28"/>
        <w:spacing w:line="560" w:lineRule="exact"/>
        <w:ind w:firstLine="640" w:firstLineChars="200"/>
        <w:rPr>
          <w:rFonts w:ascii="仿宋_GB2312" w:eastAsia="仿宋_GB2312"/>
          <w:sz w:val="32"/>
          <w:szCs w:val="32"/>
        </w:rPr>
      </w:pPr>
    </w:p>
    <w:p>
      <w:pPr>
        <w:pStyle w:val="28"/>
        <w:spacing w:line="560" w:lineRule="exact"/>
        <w:ind w:firstLine="640" w:firstLineChars="200"/>
        <w:rPr>
          <w:rFonts w:ascii="仿宋_GB2312" w:eastAsia="仿宋_GB2312"/>
          <w:sz w:val="32"/>
          <w:szCs w:val="32"/>
        </w:rPr>
      </w:pPr>
    </w:p>
    <w:p>
      <w:pPr>
        <w:pStyle w:val="28"/>
        <w:spacing w:line="560" w:lineRule="exact"/>
        <w:ind w:firstLine="640" w:firstLineChars="200"/>
        <w:rPr>
          <w:rFonts w:ascii="仿宋_GB2312" w:eastAsia="仿宋_GB2312"/>
          <w:sz w:val="32"/>
          <w:szCs w:val="32"/>
        </w:rPr>
      </w:pPr>
    </w:p>
    <w:p>
      <w:pPr>
        <w:pStyle w:val="28"/>
        <w:spacing w:line="560" w:lineRule="exact"/>
        <w:ind w:firstLine="640" w:firstLineChars="200"/>
        <w:rPr>
          <w:rFonts w:ascii="仿宋_GB2312" w:eastAsia="仿宋_GB2312"/>
          <w:sz w:val="32"/>
          <w:szCs w:val="32"/>
        </w:rPr>
      </w:pPr>
    </w:p>
    <w:p>
      <w:pPr>
        <w:pStyle w:val="28"/>
        <w:spacing w:line="560" w:lineRule="exact"/>
        <w:ind w:firstLine="640" w:firstLineChars="200"/>
        <w:rPr>
          <w:rFonts w:ascii="仿宋_GB2312" w:eastAsia="仿宋_GB2312"/>
          <w:sz w:val="32"/>
          <w:szCs w:val="32"/>
        </w:rPr>
      </w:pPr>
    </w:p>
    <w:p>
      <w:pPr>
        <w:pStyle w:val="28"/>
        <w:spacing w:line="560" w:lineRule="exact"/>
        <w:ind w:firstLine="640" w:firstLineChars="200"/>
        <w:rPr>
          <w:rFonts w:ascii="仿宋_GB2312" w:eastAsia="仿宋_GB2312"/>
          <w:sz w:val="32"/>
          <w:szCs w:val="32"/>
        </w:rPr>
      </w:pPr>
    </w:p>
    <w:p>
      <w:pPr>
        <w:pStyle w:val="28"/>
        <w:spacing w:line="560" w:lineRule="exact"/>
        <w:ind w:firstLine="640" w:firstLineChars="200"/>
        <w:rPr>
          <w:rFonts w:ascii="仿宋_GB2312" w:eastAsia="仿宋_GB2312"/>
          <w:sz w:val="32"/>
          <w:szCs w:val="32"/>
        </w:rPr>
      </w:pPr>
    </w:p>
    <w:p>
      <w:pPr>
        <w:pStyle w:val="28"/>
        <w:spacing w:line="560" w:lineRule="exact"/>
        <w:ind w:firstLine="640" w:firstLineChars="200"/>
        <w:rPr>
          <w:rFonts w:ascii="仿宋_GB2312" w:eastAsia="仿宋_GB2312"/>
          <w:sz w:val="32"/>
          <w:szCs w:val="32"/>
        </w:rPr>
      </w:pPr>
    </w:p>
    <w:p>
      <w:pPr>
        <w:pStyle w:val="28"/>
        <w:spacing w:line="560" w:lineRule="exact"/>
        <w:ind w:firstLine="640" w:firstLineChars="200"/>
        <w:rPr>
          <w:rFonts w:ascii="仿宋_GB2312" w:eastAsia="仿宋_GB2312"/>
          <w:sz w:val="32"/>
          <w:szCs w:val="32"/>
        </w:rPr>
      </w:pPr>
    </w:p>
    <w:p>
      <w:pPr>
        <w:pStyle w:val="28"/>
        <w:spacing w:line="560" w:lineRule="exact"/>
        <w:ind w:firstLine="640" w:firstLineChars="200"/>
        <w:rPr>
          <w:rFonts w:ascii="仿宋_GB2312" w:eastAsia="仿宋_GB2312"/>
          <w:sz w:val="32"/>
          <w:szCs w:val="32"/>
        </w:rPr>
      </w:pPr>
    </w:p>
    <w:p>
      <w:pPr>
        <w:pStyle w:val="28"/>
        <w:spacing w:line="560" w:lineRule="exact"/>
        <w:ind w:firstLine="640" w:firstLineChars="200"/>
        <w:rPr>
          <w:rFonts w:ascii="仿宋_GB2312" w:eastAsia="仿宋_GB2312"/>
          <w:sz w:val="32"/>
          <w:szCs w:val="32"/>
        </w:rPr>
      </w:pPr>
    </w:p>
    <w:p>
      <w:pPr>
        <w:pStyle w:val="28"/>
        <w:spacing w:line="560" w:lineRule="exact"/>
        <w:ind w:firstLine="640" w:firstLineChars="200"/>
        <w:rPr>
          <w:rFonts w:ascii="仿宋_GB2312" w:eastAsia="仿宋_GB2312"/>
          <w:sz w:val="32"/>
          <w:szCs w:val="32"/>
        </w:rPr>
      </w:pPr>
    </w:p>
    <w:p>
      <w:pPr>
        <w:pStyle w:val="28"/>
        <w:spacing w:line="560" w:lineRule="exact"/>
        <w:ind w:firstLine="640" w:firstLineChars="200"/>
        <w:rPr>
          <w:rFonts w:ascii="仿宋_GB2312" w:eastAsia="仿宋_GB2312"/>
          <w:sz w:val="32"/>
          <w:szCs w:val="32"/>
        </w:rPr>
      </w:pPr>
    </w:p>
    <w:p>
      <w:pPr>
        <w:pStyle w:val="28"/>
        <w:spacing w:line="560" w:lineRule="exact"/>
        <w:rPr>
          <w:rFonts w:ascii="仿宋_GB2312" w:eastAsia="仿宋_GB2312"/>
          <w:sz w:val="32"/>
          <w:szCs w:val="32"/>
        </w:rPr>
      </w:pPr>
    </w:p>
    <w:p>
      <w:pPr>
        <w:spacing w:line="600" w:lineRule="exact"/>
        <w:jc w:val="center"/>
        <w:outlineLvl w:val="0"/>
        <w:rPr>
          <w:rStyle w:val="19"/>
          <w:rFonts w:ascii="黑体" w:hAnsi="黑体" w:eastAsia="黑体"/>
          <w:b w:val="0"/>
        </w:rPr>
      </w:pPr>
      <w:bookmarkStart w:id="57" w:name="_Toc15396614"/>
      <w:bookmarkStart w:id="58" w:name="_Toc15377226"/>
      <w:r>
        <w:rPr>
          <w:rFonts w:hint="eastAsia" w:ascii="黑体" w:hAnsi="黑体" w:eastAsia="黑体"/>
          <w:color w:val="000000"/>
          <w:sz w:val="44"/>
          <w:szCs w:val="44"/>
        </w:rPr>
        <w:t>第</w:t>
      </w:r>
      <w:r>
        <w:rPr>
          <w:rStyle w:val="19"/>
          <w:rFonts w:hint="eastAsia" w:ascii="黑体" w:hAnsi="黑体" w:eastAsia="黑体"/>
          <w:b w:val="0"/>
        </w:rPr>
        <w:t>四部分</w:t>
      </w:r>
      <w:r>
        <w:rPr>
          <w:rStyle w:val="19"/>
          <w:rFonts w:ascii="黑体" w:hAnsi="黑体" w:eastAsia="黑体"/>
          <w:b w:val="0"/>
        </w:rPr>
        <w:t xml:space="preserve"> </w:t>
      </w:r>
      <w:r>
        <w:rPr>
          <w:rStyle w:val="19"/>
          <w:rFonts w:hint="eastAsia" w:ascii="黑体" w:hAnsi="黑体" w:eastAsia="黑体"/>
          <w:b w:val="0"/>
        </w:rPr>
        <w:t>附件</w:t>
      </w:r>
      <w:bookmarkEnd w:id="57"/>
    </w:p>
    <w:p>
      <w:pPr>
        <w:spacing w:line="600" w:lineRule="exact"/>
        <w:jc w:val="center"/>
        <w:outlineLvl w:val="0"/>
        <w:rPr>
          <w:rStyle w:val="19"/>
        </w:rPr>
      </w:pPr>
    </w:p>
    <w:p>
      <w:pPr>
        <w:pStyle w:val="3"/>
        <w:rPr>
          <w:rStyle w:val="19"/>
          <w:rFonts w:ascii="仿宋" w:hAnsi="仿宋" w:eastAsia="仿宋"/>
          <w:b w:val="0"/>
          <w:bCs w:val="0"/>
          <w:sz w:val="32"/>
          <w:szCs w:val="32"/>
        </w:rPr>
      </w:pPr>
      <w:bookmarkStart w:id="59" w:name="_Toc15396615"/>
      <w:r>
        <w:rPr>
          <w:rStyle w:val="19"/>
          <w:rFonts w:hint="eastAsia" w:ascii="仿宋" w:hAnsi="仿宋" w:eastAsia="仿宋"/>
          <w:b w:val="0"/>
          <w:bCs w:val="0"/>
          <w:sz w:val="32"/>
          <w:szCs w:val="32"/>
        </w:rPr>
        <w:t>附件</w:t>
      </w:r>
      <w:r>
        <w:rPr>
          <w:rStyle w:val="19"/>
          <w:rFonts w:ascii="仿宋" w:hAnsi="仿宋" w:eastAsia="仿宋"/>
          <w:b w:val="0"/>
          <w:bCs w:val="0"/>
          <w:sz w:val="32"/>
          <w:szCs w:val="32"/>
        </w:rPr>
        <w:t>1</w:t>
      </w:r>
      <w:bookmarkEnd w:id="59"/>
    </w:p>
    <w:p>
      <w:pPr>
        <w:spacing w:line="600" w:lineRule="exact"/>
        <w:jc w:val="center"/>
        <w:outlineLvl w:val="0"/>
        <w:rPr>
          <w:rFonts w:ascii="黑体" w:hAnsi="黑体" w:eastAsia="黑体" w:cs="方正小标宋简体"/>
          <w:sz w:val="36"/>
          <w:szCs w:val="36"/>
        </w:rPr>
      </w:pPr>
      <w:bookmarkStart w:id="60" w:name="_Toc15396616"/>
      <w:r>
        <w:rPr>
          <w:rFonts w:hint="eastAsia" w:ascii="黑体" w:hAnsi="黑体" w:eastAsia="黑体" w:cs="方正小标宋简体"/>
          <w:sz w:val="36"/>
          <w:szCs w:val="36"/>
        </w:rPr>
        <w:t>乐山市水务局</w:t>
      </w:r>
      <w:r>
        <w:rPr>
          <w:rFonts w:ascii="黑体" w:hAnsi="黑体" w:eastAsia="黑体" w:cs="方正小标宋简体"/>
          <w:sz w:val="36"/>
          <w:szCs w:val="36"/>
        </w:rPr>
        <w:t>2018</w:t>
      </w:r>
      <w:r>
        <w:rPr>
          <w:rFonts w:hint="eastAsia" w:ascii="黑体" w:hAnsi="黑体" w:eastAsia="黑体" w:cs="方正小标宋简体"/>
          <w:sz w:val="36"/>
          <w:szCs w:val="36"/>
        </w:rPr>
        <w:t>年部门整体支出绩效评价报告</w:t>
      </w:r>
      <w:bookmarkEnd w:id="60"/>
    </w:p>
    <w:p>
      <w:pPr>
        <w:spacing w:line="580" w:lineRule="exact"/>
        <w:ind w:firstLine="640" w:firstLineChars="200"/>
        <w:rPr>
          <w:rFonts w:ascii="黑体" w:hAnsi="黑体" w:eastAsia="黑体" w:cs="黑体"/>
          <w:sz w:val="32"/>
          <w:szCs w:val="32"/>
        </w:rPr>
      </w:pPr>
    </w:p>
    <w:p>
      <w:pPr>
        <w:spacing w:line="580" w:lineRule="exact"/>
        <w:ind w:firstLine="640" w:firstLineChars="200"/>
        <w:rPr>
          <w:rFonts w:ascii="黑体" w:hAnsi="黑体" w:eastAsia="黑体" w:cs="黑体"/>
          <w:sz w:val="32"/>
          <w:szCs w:val="32"/>
        </w:rPr>
      </w:pPr>
      <w:r>
        <w:rPr>
          <w:rFonts w:hint="eastAsia" w:ascii="黑体" w:hAnsi="黑体" w:eastAsia="黑体" w:cs="黑体"/>
          <w:sz w:val="32"/>
          <w:szCs w:val="32"/>
        </w:rPr>
        <w:t>一、部门（单位）概况</w:t>
      </w:r>
    </w:p>
    <w:p>
      <w:pPr>
        <w:spacing w:line="58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（一）机构组成。</w:t>
      </w:r>
    </w:p>
    <w:p>
      <w:pPr>
        <w:spacing w:line="580" w:lineRule="exact"/>
        <w:ind w:firstLine="640" w:firstLineChars="200"/>
        <w:rPr>
          <w:rFonts w:ascii="仿宋_GB2312" w:eastAsia="仿宋_GB2312"/>
          <w:color w:val="000000"/>
          <w:kern w:val="0"/>
          <w:sz w:val="32"/>
          <w:szCs w:val="32"/>
        </w:rPr>
      </w:pPr>
      <w:r>
        <w:rPr>
          <w:rFonts w:hint="eastAsia" w:ascii="仿宋_GB2312" w:eastAsia="仿宋_GB2312"/>
          <w:color w:val="000000"/>
          <w:kern w:val="0"/>
          <w:sz w:val="32"/>
          <w:szCs w:val="32"/>
        </w:rPr>
        <w:t>乐山市水务局下属二级预算单位</w:t>
      </w:r>
      <w:r>
        <w:rPr>
          <w:rFonts w:ascii="仿宋_GB2312" w:eastAsia="仿宋_GB2312"/>
          <w:color w:val="000000"/>
          <w:kern w:val="0"/>
          <w:sz w:val="32"/>
          <w:szCs w:val="32"/>
        </w:rPr>
        <w:t>12</w:t>
      </w:r>
      <w:r>
        <w:rPr>
          <w:rFonts w:hint="eastAsia" w:ascii="仿宋_GB2312" w:eastAsia="仿宋_GB2312"/>
          <w:color w:val="000000"/>
          <w:kern w:val="0"/>
          <w:sz w:val="32"/>
          <w:szCs w:val="32"/>
        </w:rPr>
        <w:t>个，其中行政单位</w:t>
      </w:r>
      <w:r>
        <w:rPr>
          <w:rFonts w:ascii="仿宋_GB2312" w:eastAsia="仿宋_GB2312"/>
          <w:color w:val="000000"/>
          <w:kern w:val="0"/>
          <w:sz w:val="32"/>
          <w:szCs w:val="32"/>
        </w:rPr>
        <w:t>1</w:t>
      </w:r>
      <w:r>
        <w:rPr>
          <w:rFonts w:hint="eastAsia" w:ascii="仿宋_GB2312" w:eastAsia="仿宋_GB2312"/>
          <w:color w:val="000000"/>
          <w:kern w:val="0"/>
          <w:sz w:val="32"/>
          <w:szCs w:val="32"/>
        </w:rPr>
        <w:t>个，参照公务员法管理的事业单位</w:t>
      </w:r>
      <w:r>
        <w:rPr>
          <w:rFonts w:ascii="仿宋_GB2312" w:eastAsia="仿宋_GB2312"/>
          <w:color w:val="000000"/>
          <w:kern w:val="0"/>
          <w:sz w:val="32"/>
          <w:szCs w:val="32"/>
        </w:rPr>
        <w:t>2</w:t>
      </w:r>
      <w:r>
        <w:rPr>
          <w:rFonts w:hint="eastAsia" w:ascii="仿宋_GB2312" w:eastAsia="仿宋_GB2312"/>
          <w:color w:val="000000"/>
          <w:kern w:val="0"/>
          <w:sz w:val="32"/>
          <w:szCs w:val="32"/>
        </w:rPr>
        <w:t>个，其他事业单位</w:t>
      </w:r>
      <w:r>
        <w:rPr>
          <w:rFonts w:ascii="仿宋_GB2312" w:eastAsia="仿宋_GB2312"/>
          <w:color w:val="000000"/>
          <w:kern w:val="0"/>
          <w:sz w:val="32"/>
          <w:szCs w:val="32"/>
        </w:rPr>
        <w:t>9</w:t>
      </w:r>
      <w:r>
        <w:rPr>
          <w:rFonts w:hint="eastAsia" w:ascii="仿宋_GB2312" w:eastAsia="仿宋_GB2312"/>
          <w:color w:val="000000"/>
          <w:kern w:val="0"/>
          <w:sz w:val="32"/>
          <w:szCs w:val="32"/>
        </w:rPr>
        <w:t>个。</w:t>
      </w:r>
    </w:p>
    <w:p>
      <w:pPr>
        <w:pStyle w:val="5"/>
        <w:adjustRightInd w:val="0"/>
        <w:snapToGrid w:val="0"/>
        <w:spacing w:before="93" w:line="600" w:lineRule="exact"/>
        <w:ind w:firstLine="672" w:firstLineChars="210"/>
        <w:rPr>
          <w:color w:val="000000"/>
          <w:kern w:val="2"/>
          <w:sz w:val="32"/>
          <w:szCs w:val="32"/>
        </w:rPr>
      </w:pPr>
      <w:r>
        <w:rPr>
          <w:rFonts w:hint="eastAsia"/>
          <w:color w:val="000000"/>
          <w:sz w:val="32"/>
          <w:szCs w:val="32"/>
        </w:rPr>
        <w:t>部门二级预算单位包括：乐山市水务局机关、乐山市水政监察支队、乐山市水利工程建设质量与安全监督站、乐山市水利管理处、乐山水土保持生态环境监测分站、乐山市河湖管理站、四川省青衣江乐山灌区（流域）管理局、乐山市水利电力建筑勘察设计研究院、乐山市高中水库管理处、乐山市沫江堰管理处、乐山市跃进渠保护服务中心、乐山市东风堰管理处。</w:t>
      </w:r>
    </w:p>
    <w:p>
      <w:pPr>
        <w:spacing w:line="58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（二）机构职能。</w:t>
      </w:r>
    </w:p>
    <w:p>
      <w:pPr>
        <w:pStyle w:val="12"/>
        <w:spacing w:before="93" w:beforeAutospacing="0" w:after="0" w:afterAutospacing="0" w:line="600" w:lineRule="exact"/>
        <w:ind w:firstLine="640" w:firstLineChars="200"/>
        <w:jc w:val="both"/>
        <w:rPr>
          <w:rFonts w:ascii="仿宋_GB2312" w:eastAsia="仿宋_GB2312"/>
          <w:color w:val="000000"/>
          <w:sz w:val="32"/>
          <w:szCs w:val="32"/>
        </w:rPr>
      </w:pPr>
      <w:r>
        <w:rPr>
          <w:rFonts w:ascii="仿宋_GB2312" w:eastAsia="仿宋_GB2312"/>
          <w:color w:val="000000"/>
          <w:sz w:val="32"/>
          <w:szCs w:val="32"/>
        </w:rPr>
        <w:t>1.</w:t>
      </w:r>
      <w:r>
        <w:rPr>
          <w:rFonts w:hint="eastAsia" w:ascii="仿宋_GB2312" w:eastAsia="仿宋_GB2312"/>
          <w:color w:val="000000"/>
          <w:sz w:val="32"/>
          <w:szCs w:val="32"/>
        </w:rPr>
        <w:t>贯彻执行国家、省有关水务行政管理工作的方针、政策和法律、法规；拟订全市水务管理规范性文件并监督实施。</w:t>
      </w:r>
    </w:p>
    <w:p>
      <w:pPr>
        <w:pStyle w:val="12"/>
        <w:spacing w:before="0" w:beforeAutospacing="0" w:after="0" w:afterAutospacing="0" w:line="600" w:lineRule="exact"/>
        <w:ind w:firstLine="640" w:firstLineChars="200"/>
        <w:jc w:val="both"/>
        <w:rPr>
          <w:rFonts w:ascii="仿宋_GB2312" w:eastAsia="仿宋_GB2312"/>
          <w:color w:val="000000"/>
          <w:sz w:val="32"/>
          <w:szCs w:val="32"/>
        </w:rPr>
      </w:pPr>
      <w:r>
        <w:rPr>
          <w:rFonts w:ascii="仿宋_GB2312" w:eastAsia="仿宋_GB2312"/>
          <w:color w:val="000000"/>
          <w:sz w:val="32"/>
          <w:szCs w:val="32"/>
        </w:rPr>
        <w:t>2.</w:t>
      </w:r>
      <w:r>
        <w:rPr>
          <w:rFonts w:hint="eastAsia" w:ascii="仿宋_GB2312" w:eastAsia="仿宋_GB2312"/>
          <w:color w:val="000000"/>
          <w:sz w:val="32"/>
          <w:szCs w:val="32"/>
        </w:rPr>
        <w:t>编制全市城乡水务发展规划；组织拟订全市水资源总体规划、流域规划和专业规划，制定全市和跨县（市、区）中长期供水计划和年度供水计划、水量分配方案和旱情紧急情况下用水调度预案并监督实施。</w:t>
      </w:r>
    </w:p>
    <w:p>
      <w:pPr>
        <w:pStyle w:val="12"/>
        <w:spacing w:before="0" w:beforeAutospacing="0" w:after="0" w:afterAutospacing="0" w:line="600" w:lineRule="exact"/>
        <w:ind w:firstLine="640" w:firstLineChars="200"/>
        <w:jc w:val="both"/>
        <w:rPr>
          <w:rFonts w:ascii="仿宋_GB2312" w:eastAsia="仿宋_GB2312"/>
          <w:color w:val="000000"/>
          <w:sz w:val="32"/>
          <w:szCs w:val="32"/>
        </w:rPr>
      </w:pPr>
      <w:r>
        <w:rPr>
          <w:rFonts w:ascii="仿宋_GB2312" w:eastAsia="仿宋_GB2312"/>
          <w:color w:val="000000"/>
          <w:sz w:val="32"/>
          <w:szCs w:val="32"/>
        </w:rPr>
        <w:t>3.</w:t>
      </w:r>
      <w:r>
        <w:rPr>
          <w:rFonts w:hint="eastAsia" w:ascii="仿宋_GB2312" w:eastAsia="仿宋_GB2312"/>
          <w:color w:val="000000"/>
          <w:sz w:val="32"/>
          <w:szCs w:val="32"/>
        </w:rPr>
        <w:t>组织有关全市国民经济发展总体规划、城市规划及重大建设项目的水资源利用和论证工作；组织实施取水许可、水资源有偿使用制度；发布全市水资源公报，承担实施最严格水资源管理制度相关工作。</w:t>
      </w:r>
    </w:p>
    <w:p>
      <w:pPr>
        <w:pStyle w:val="12"/>
        <w:spacing w:before="0" w:beforeAutospacing="0" w:after="0" w:afterAutospacing="0" w:line="600" w:lineRule="exact"/>
        <w:ind w:firstLine="640" w:firstLineChars="200"/>
        <w:jc w:val="both"/>
        <w:rPr>
          <w:rFonts w:ascii="仿宋_GB2312" w:eastAsia="仿宋_GB2312"/>
          <w:color w:val="000000"/>
          <w:sz w:val="32"/>
          <w:szCs w:val="32"/>
        </w:rPr>
      </w:pPr>
      <w:r>
        <w:rPr>
          <w:rFonts w:ascii="仿宋_GB2312" w:eastAsia="仿宋_GB2312"/>
          <w:color w:val="000000"/>
          <w:sz w:val="32"/>
          <w:szCs w:val="32"/>
        </w:rPr>
        <w:t>4.</w:t>
      </w:r>
      <w:r>
        <w:rPr>
          <w:rFonts w:hint="eastAsia" w:ascii="仿宋_GB2312" w:eastAsia="仿宋_GB2312"/>
          <w:color w:val="000000"/>
          <w:sz w:val="32"/>
          <w:szCs w:val="32"/>
        </w:rPr>
        <w:t>负责生活、生产经营和生态环境用水的统筹兼顾和保障，实施水资源的统一监督管理，组织编制全市跨县（市、区）流域的水量分配、水资源调度方案；水资源调度管理工作；编制全市节约用水、计划用水规划，组织相关部门开展节约用水工作。</w:t>
      </w:r>
    </w:p>
    <w:p>
      <w:pPr>
        <w:pStyle w:val="12"/>
        <w:spacing w:before="0" w:beforeAutospacing="0" w:after="0" w:afterAutospacing="0" w:line="600" w:lineRule="exact"/>
        <w:ind w:firstLine="640" w:firstLineChars="200"/>
        <w:jc w:val="both"/>
        <w:rPr>
          <w:rFonts w:ascii="仿宋_GB2312" w:eastAsia="仿宋_GB2312"/>
          <w:color w:val="000000"/>
          <w:sz w:val="32"/>
          <w:szCs w:val="32"/>
        </w:rPr>
      </w:pPr>
      <w:r>
        <w:rPr>
          <w:rFonts w:ascii="仿宋_GB2312" w:eastAsia="仿宋_GB2312"/>
          <w:color w:val="000000"/>
          <w:sz w:val="32"/>
          <w:szCs w:val="32"/>
        </w:rPr>
        <w:t>5.</w:t>
      </w:r>
      <w:r>
        <w:rPr>
          <w:rFonts w:hint="eastAsia" w:ascii="仿宋_GB2312" w:eastAsia="仿宋_GB2312"/>
          <w:color w:val="000000"/>
          <w:sz w:val="32"/>
          <w:szCs w:val="32"/>
        </w:rPr>
        <w:t>组织编制乐山中心城区供水规划；指导各县（市）区供水规划，指导全市供水行业服务标准的实施，监督城镇（乡）供水运营工作；组织指导城市非居民用水超计划或超定额加价收费管理工作；指导全市城镇（乡）供水设施的新建、改建和扩建工作；指导城镇（乡）供水行业安全生产；指导全市应急供水管理工作。</w:t>
      </w:r>
    </w:p>
    <w:p>
      <w:pPr>
        <w:ind w:firstLine="640" w:firstLineChars="200"/>
        <w:rPr>
          <w:sz w:val="28"/>
          <w:szCs w:val="28"/>
        </w:rPr>
      </w:pPr>
      <w:r>
        <w:rPr>
          <w:rFonts w:ascii="仿宋_GB2312" w:eastAsia="仿宋_GB2312"/>
          <w:color w:val="000000"/>
          <w:sz w:val="32"/>
          <w:szCs w:val="32"/>
        </w:rPr>
        <w:t>6.</w:t>
      </w:r>
      <w:r>
        <w:t xml:space="preserve"> </w:t>
      </w:r>
      <w:r>
        <w:rPr>
          <w:rFonts w:hint="eastAsia" w:ascii="仿宋_GB2312" w:eastAsia="仿宋_GB2312"/>
          <w:color w:val="000000"/>
          <w:sz w:val="32"/>
          <w:szCs w:val="32"/>
        </w:rPr>
        <w:t>负责部门预（决）算和政府综合财务报告编制、预算执行工作；承担市级水利行政事业单位国有资产监督管理工作；牵头负责水利项目资金监督检查和绩效管理工作；指导编制全市水务行业建设项目资金计划；受委托监管市级水务行业国有资产。</w:t>
      </w:r>
    </w:p>
    <w:p>
      <w:pPr>
        <w:pStyle w:val="12"/>
        <w:spacing w:before="0" w:beforeAutospacing="0" w:after="0" w:afterAutospacing="0" w:line="600" w:lineRule="exact"/>
        <w:ind w:firstLine="640" w:firstLineChars="200"/>
        <w:jc w:val="both"/>
        <w:rPr>
          <w:rFonts w:ascii="仿宋_GB2312" w:eastAsia="仿宋_GB2312"/>
          <w:color w:val="000000"/>
          <w:sz w:val="32"/>
          <w:szCs w:val="32"/>
        </w:rPr>
      </w:pPr>
      <w:r>
        <w:rPr>
          <w:rFonts w:ascii="仿宋_GB2312" w:eastAsia="仿宋_GB2312"/>
          <w:color w:val="000000"/>
          <w:sz w:val="32"/>
          <w:szCs w:val="32"/>
        </w:rPr>
        <w:t>7.</w:t>
      </w:r>
      <w:r>
        <w:rPr>
          <w:rFonts w:hint="eastAsia" w:ascii="仿宋_GB2312" w:eastAsia="仿宋_GB2312"/>
          <w:color w:val="000000"/>
          <w:sz w:val="32"/>
          <w:szCs w:val="32"/>
        </w:rPr>
        <w:t>指导全市水利基本建设并实施行业监督管理；负责小型水利工程建设审批，初审、转报大中型水利建设项目的可行性研究报告和初步设计；组织实施具有控制性或跨县（市、区）的重要水利工程建设与运行管理；依法负责水利行业安全生产工作，组织指导水库大坝、水电站大坝等水利工程的安全监管；组织实施水利工程建设质量与安全的监督，指导水利建设市场的监督管理。</w:t>
      </w:r>
    </w:p>
    <w:p>
      <w:pPr>
        <w:pStyle w:val="12"/>
        <w:spacing w:before="0" w:beforeAutospacing="0" w:after="0" w:afterAutospacing="0" w:line="600" w:lineRule="exact"/>
        <w:ind w:firstLine="640" w:firstLineChars="200"/>
        <w:jc w:val="both"/>
        <w:rPr>
          <w:rFonts w:ascii="仿宋_GB2312" w:eastAsia="仿宋_GB2312"/>
          <w:color w:val="000000"/>
          <w:sz w:val="32"/>
          <w:szCs w:val="32"/>
        </w:rPr>
      </w:pPr>
      <w:r>
        <w:rPr>
          <w:rFonts w:ascii="仿宋_GB2312" w:eastAsia="仿宋_GB2312"/>
          <w:color w:val="000000"/>
          <w:sz w:val="32"/>
          <w:szCs w:val="32"/>
        </w:rPr>
        <w:t>8.</w:t>
      </w:r>
      <w:r>
        <w:rPr>
          <w:rFonts w:hint="eastAsia" w:ascii="仿宋_GB2312" w:eastAsia="仿宋_GB2312"/>
          <w:color w:val="000000"/>
          <w:sz w:val="32"/>
          <w:szCs w:val="32"/>
        </w:rPr>
        <w:t>指导农村水利工作。指导全市大中型农村水利工程建设管理，指导节水灌溉有关工作以及水库移民工作；</w:t>
      </w:r>
      <w:r>
        <w:rPr>
          <w:rFonts w:hint="eastAsia" w:ascii="仿宋_GB2312" w:eastAsia="仿宋_GB2312"/>
          <w:sz w:val="32"/>
          <w:szCs w:val="32"/>
        </w:rPr>
        <w:t>协调牧区水利工作，指导农村水利改革创新和社会化服务体系建</w:t>
      </w:r>
      <w:r>
        <w:rPr>
          <w:rFonts w:hint="eastAsia" w:ascii="仿宋_GB2312" w:eastAsia="仿宋_GB2312"/>
          <w:color w:val="000000"/>
          <w:sz w:val="32"/>
          <w:szCs w:val="32"/>
        </w:rPr>
        <w:t>设。负责乐山市区域内不涉及风景名胜区、自然保护区管理的水利风景区规划、申报、建设、管理等工作。</w:t>
      </w:r>
    </w:p>
    <w:p>
      <w:pPr>
        <w:pStyle w:val="12"/>
        <w:spacing w:before="0" w:beforeAutospacing="0" w:after="0" w:afterAutospacing="0" w:line="600" w:lineRule="exact"/>
        <w:ind w:firstLine="640" w:firstLineChars="200"/>
        <w:jc w:val="both"/>
        <w:rPr>
          <w:rFonts w:ascii="仿宋_GB2312" w:eastAsia="仿宋_GB2312"/>
          <w:color w:val="000000"/>
          <w:sz w:val="32"/>
          <w:szCs w:val="32"/>
        </w:rPr>
      </w:pPr>
      <w:r>
        <w:rPr>
          <w:rFonts w:ascii="仿宋_GB2312" w:eastAsia="仿宋_GB2312"/>
          <w:color w:val="000000"/>
          <w:sz w:val="32"/>
          <w:szCs w:val="32"/>
        </w:rPr>
        <w:t>9.</w:t>
      </w:r>
      <w:r>
        <w:rPr>
          <w:rFonts w:hint="eastAsia" w:ascii="仿宋_GB2312" w:eastAsia="仿宋_GB2312"/>
          <w:color w:val="000000"/>
          <w:sz w:val="32"/>
          <w:szCs w:val="32"/>
        </w:rPr>
        <w:t>负责防治水土流失。拟订水土保持规划并监督实施；负责水土保持预防监督；指导水土流失监测、综合防治和水利工程绿化工作。</w:t>
      </w:r>
    </w:p>
    <w:p>
      <w:pPr>
        <w:spacing w:line="600" w:lineRule="exact"/>
        <w:ind w:firstLine="640" w:firstLineChars="200"/>
        <w:rPr>
          <w:rFonts w:ascii="仿宋_GB2312" w:hAnsi="宋体" w:eastAsia="仿宋_GB2312" w:cs="宋体"/>
          <w:color w:val="000000"/>
          <w:kern w:val="0"/>
          <w:sz w:val="32"/>
          <w:szCs w:val="32"/>
        </w:rPr>
      </w:pPr>
      <w:r>
        <w:rPr>
          <w:rFonts w:ascii="仿宋_GB2312" w:hAnsi="宋体" w:eastAsia="仿宋_GB2312" w:cs="宋体"/>
          <w:color w:val="000000"/>
          <w:kern w:val="0"/>
          <w:sz w:val="32"/>
          <w:szCs w:val="32"/>
        </w:rPr>
        <w:t>10.</w:t>
      </w:r>
      <w:r>
        <w:rPr>
          <w:rFonts w:hint="eastAsia" w:ascii="仿宋_GB2312" w:hAnsi="宋体" w:eastAsia="仿宋_GB2312" w:cs="宋体"/>
          <w:color w:val="000000"/>
          <w:kern w:val="0"/>
          <w:sz w:val="32"/>
          <w:szCs w:val="32"/>
        </w:rPr>
        <w:t>组织编制并实施洪水干旱灾害防治规划和防护标准；承担水情旱情监测预警工作；组织编制市内重要江河湖泊和重要水工程的防御洪水、抗御旱灾调度和应急水量调度方案，按程序报批并组织实施；承担全市防御洪水应急抢险的技术支撑工作。承担</w:t>
      </w:r>
      <w:r>
        <w:rPr>
          <w:rFonts w:hint="eastAsia" w:ascii="仿宋_GB2312" w:hAnsi="宋体" w:eastAsia="仿宋_GB2312" w:cs="宋体"/>
          <w:kern w:val="0"/>
          <w:sz w:val="32"/>
          <w:szCs w:val="32"/>
        </w:rPr>
        <w:t>市防汛抗旱指挥部办公室</w:t>
      </w:r>
      <w:r>
        <w:rPr>
          <w:rFonts w:hint="eastAsia" w:ascii="仿宋_GB2312" w:hAnsi="宋体" w:eastAsia="仿宋_GB2312" w:cs="宋体"/>
          <w:color w:val="000000"/>
          <w:kern w:val="0"/>
          <w:sz w:val="32"/>
          <w:szCs w:val="32"/>
        </w:rPr>
        <w:t>的日常工作。</w:t>
      </w:r>
    </w:p>
    <w:p>
      <w:pPr>
        <w:pStyle w:val="12"/>
        <w:spacing w:before="0" w:beforeAutospacing="0" w:after="0" w:afterAutospacing="0" w:line="600" w:lineRule="exact"/>
        <w:ind w:firstLine="640" w:firstLineChars="200"/>
        <w:jc w:val="both"/>
        <w:rPr>
          <w:rFonts w:ascii="仿宋_GB2312" w:eastAsia="仿宋_GB2312"/>
          <w:color w:val="000000"/>
          <w:sz w:val="32"/>
          <w:szCs w:val="32"/>
        </w:rPr>
      </w:pPr>
      <w:r>
        <w:rPr>
          <w:rFonts w:ascii="仿宋_GB2312" w:eastAsia="仿宋_GB2312"/>
          <w:color w:val="000000"/>
          <w:sz w:val="32"/>
          <w:szCs w:val="32"/>
        </w:rPr>
        <w:t>11.</w:t>
      </w:r>
      <w:r>
        <w:rPr>
          <w:rFonts w:hint="eastAsia" w:ascii="仿宋_GB2312" w:eastAsia="仿宋_GB2312"/>
          <w:color w:val="000000"/>
          <w:sz w:val="32"/>
          <w:szCs w:val="32"/>
        </w:rPr>
        <w:t>组织指导地方水电站、电网建设管理，实施技术监督；指导农村水能资源开发和水电农村电气化、小水电代燃料生态保护工程建设。</w:t>
      </w:r>
    </w:p>
    <w:p>
      <w:pPr>
        <w:pStyle w:val="12"/>
        <w:spacing w:before="0" w:beforeAutospacing="0" w:after="0" w:afterAutospacing="0" w:line="600" w:lineRule="exact"/>
        <w:ind w:firstLine="640" w:firstLineChars="200"/>
        <w:jc w:val="both"/>
        <w:rPr>
          <w:rFonts w:ascii="仿宋_GB2312" w:eastAsia="仿宋_GB2312"/>
          <w:color w:val="000000"/>
          <w:sz w:val="32"/>
          <w:szCs w:val="32"/>
        </w:rPr>
      </w:pPr>
      <w:r>
        <w:rPr>
          <w:rFonts w:ascii="仿宋_GB2312" w:eastAsia="仿宋_GB2312"/>
          <w:color w:val="000000"/>
          <w:sz w:val="32"/>
          <w:szCs w:val="32"/>
        </w:rPr>
        <w:t>12.</w:t>
      </w:r>
      <w:r>
        <w:rPr>
          <w:rFonts w:hint="eastAsia" w:ascii="仿宋_GB2312" w:eastAsia="仿宋_GB2312"/>
          <w:color w:val="000000"/>
          <w:sz w:val="32"/>
          <w:szCs w:val="32"/>
        </w:rPr>
        <w:t>指导水政监察和水行政执法；负责水务行政复议的受理和行政诉讼的应诉工作；查处重大涉水违法事件，协调、仲裁跨县（市、区）水事纠纷。</w:t>
      </w:r>
    </w:p>
    <w:p>
      <w:pPr>
        <w:pStyle w:val="12"/>
        <w:spacing w:before="0" w:beforeAutospacing="0" w:after="0" w:afterAutospacing="0" w:line="600" w:lineRule="exact"/>
        <w:ind w:firstLine="640" w:firstLineChars="200"/>
        <w:jc w:val="both"/>
        <w:rPr>
          <w:rFonts w:ascii="仿宋_GB2312" w:eastAsia="仿宋_GB2312"/>
          <w:color w:val="000000"/>
          <w:sz w:val="32"/>
          <w:szCs w:val="32"/>
        </w:rPr>
      </w:pPr>
      <w:r>
        <w:rPr>
          <w:rFonts w:ascii="仿宋_GB2312" w:eastAsia="仿宋_GB2312"/>
          <w:color w:val="000000"/>
          <w:sz w:val="32"/>
          <w:szCs w:val="32"/>
        </w:rPr>
        <w:t>13.</w:t>
      </w:r>
      <w:r>
        <w:rPr>
          <w:rFonts w:hint="eastAsia" w:ascii="仿宋_GB2312" w:eastAsia="仿宋_GB2312"/>
          <w:color w:val="000000"/>
          <w:sz w:val="32"/>
          <w:szCs w:val="32"/>
        </w:rPr>
        <w:t>指导全市江河、湖泊、滩涂的综合治理与开发；负责河道采砂的统一监督管理工作。</w:t>
      </w:r>
    </w:p>
    <w:p>
      <w:pPr>
        <w:pStyle w:val="12"/>
        <w:spacing w:before="0" w:beforeAutospacing="0" w:after="0" w:afterAutospacing="0" w:line="600" w:lineRule="exact"/>
        <w:ind w:firstLine="640" w:firstLineChars="200"/>
        <w:jc w:val="both"/>
        <w:rPr>
          <w:rFonts w:ascii="仿宋_GB2312" w:eastAsia="仿宋_GB2312"/>
          <w:color w:val="000000"/>
          <w:sz w:val="32"/>
          <w:szCs w:val="32"/>
        </w:rPr>
      </w:pPr>
      <w:r>
        <w:rPr>
          <w:rFonts w:ascii="仿宋_GB2312" w:eastAsia="仿宋_GB2312"/>
          <w:color w:val="000000"/>
          <w:sz w:val="32"/>
          <w:szCs w:val="32"/>
        </w:rPr>
        <w:t>14.</w:t>
      </w:r>
      <w:r>
        <w:rPr>
          <w:rFonts w:hint="eastAsia" w:ascii="仿宋_GB2312" w:eastAsia="仿宋_GB2312"/>
          <w:color w:val="000000"/>
          <w:sz w:val="32"/>
          <w:szCs w:val="32"/>
        </w:rPr>
        <w:t>指导全市有关水务项目的科学研究和技术推广，组织指导全市重大水务项目的对外合作和交流；指导全市水务行业发展、改革、稳定工作及队伍和服务体系建设；指导水务行业劳动保护、安全生产工作。</w:t>
      </w:r>
    </w:p>
    <w:p>
      <w:pPr>
        <w:pStyle w:val="12"/>
        <w:spacing w:before="0" w:beforeAutospacing="0" w:after="0" w:afterAutospacing="0" w:line="600" w:lineRule="exact"/>
        <w:ind w:firstLine="640" w:firstLineChars="200"/>
        <w:jc w:val="both"/>
        <w:rPr>
          <w:rFonts w:ascii="仿宋_GB2312" w:eastAsia="仿宋_GB2312"/>
          <w:color w:val="000000"/>
          <w:sz w:val="32"/>
          <w:szCs w:val="32"/>
        </w:rPr>
      </w:pPr>
      <w:r>
        <w:rPr>
          <w:rFonts w:ascii="仿宋_GB2312" w:eastAsia="仿宋_GB2312"/>
          <w:color w:val="000000"/>
          <w:sz w:val="32"/>
          <w:szCs w:val="32"/>
        </w:rPr>
        <w:t>15.</w:t>
      </w:r>
      <w:r>
        <w:rPr>
          <w:rFonts w:hint="eastAsia" w:ascii="仿宋_GB2312" w:eastAsia="仿宋_GB2312"/>
          <w:color w:val="000000"/>
          <w:sz w:val="32"/>
          <w:szCs w:val="32"/>
        </w:rPr>
        <w:t>承担市政府公布的有关行政审批事项。</w:t>
      </w:r>
    </w:p>
    <w:p>
      <w:pPr>
        <w:pStyle w:val="12"/>
        <w:spacing w:before="0" w:beforeAutospacing="0" w:after="0" w:afterAutospacing="0" w:line="600" w:lineRule="exact"/>
        <w:ind w:firstLine="640" w:firstLineChars="200"/>
        <w:jc w:val="both"/>
        <w:rPr>
          <w:rFonts w:ascii="仿宋_GB2312" w:eastAsia="仿宋_GB2312"/>
          <w:color w:val="000000"/>
          <w:sz w:val="32"/>
          <w:szCs w:val="32"/>
        </w:rPr>
      </w:pPr>
      <w:r>
        <w:rPr>
          <w:rFonts w:ascii="仿宋_GB2312" w:eastAsia="仿宋_GB2312"/>
          <w:color w:val="000000"/>
          <w:sz w:val="32"/>
          <w:szCs w:val="32"/>
        </w:rPr>
        <w:t>16.</w:t>
      </w:r>
      <w:r>
        <w:rPr>
          <w:rFonts w:hint="eastAsia" w:ascii="仿宋_GB2312" w:eastAsia="仿宋_GB2312"/>
          <w:color w:val="000000"/>
          <w:sz w:val="32"/>
          <w:szCs w:val="32"/>
        </w:rPr>
        <w:t>承担河长制组织实施具体工作，负责协调、督促、落实总河长会议、河长会议、总河长办公室确定的事项；拟制全市河湖管理工作方案、相关制度及考核办法；督促市级相关部门按照职能职责，落实责任，协调联动，共同推进河湖管理保护工作；督导县（市、区）同步全面落实河长制相关工作，并对县（市、区）河湖管理保护工作进行监督考核。</w:t>
      </w:r>
    </w:p>
    <w:p>
      <w:pPr>
        <w:pStyle w:val="12"/>
        <w:spacing w:before="93" w:beforeAutospacing="0" w:after="0" w:afterAutospacing="0" w:line="600" w:lineRule="exact"/>
        <w:ind w:firstLine="640" w:firstLineChars="200"/>
        <w:jc w:val="both"/>
        <w:rPr>
          <w:rFonts w:ascii="仿宋_GB2312" w:eastAsia="仿宋_GB2312"/>
          <w:color w:val="000000"/>
          <w:sz w:val="32"/>
          <w:szCs w:val="32"/>
        </w:rPr>
      </w:pPr>
      <w:r>
        <w:rPr>
          <w:rFonts w:ascii="仿宋_GB2312" w:eastAsia="仿宋_GB2312"/>
          <w:color w:val="000000"/>
          <w:sz w:val="32"/>
          <w:szCs w:val="32"/>
        </w:rPr>
        <w:t>17.</w:t>
      </w:r>
      <w:r>
        <w:rPr>
          <w:rFonts w:hint="eastAsia" w:ascii="仿宋_GB2312" w:eastAsia="仿宋_GB2312"/>
          <w:color w:val="000000"/>
          <w:sz w:val="32"/>
          <w:szCs w:val="32"/>
        </w:rPr>
        <w:t>承办市政府交办的其他事项。</w:t>
      </w:r>
    </w:p>
    <w:p>
      <w:pPr>
        <w:spacing w:line="58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（三）人员概况。</w:t>
      </w:r>
    </w:p>
    <w:p>
      <w:pPr>
        <w:widowControl/>
        <w:shd w:val="clear" w:color="auto" w:fill="FFFFFF"/>
        <w:spacing w:line="600" w:lineRule="exact"/>
        <w:ind w:firstLine="800" w:firstLineChars="250"/>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截止</w:t>
      </w:r>
      <w:r>
        <w:rPr>
          <w:rFonts w:ascii="仿宋_GB2312" w:hAnsi="宋体" w:eastAsia="仿宋_GB2312" w:cs="宋体"/>
          <w:color w:val="000000"/>
          <w:kern w:val="0"/>
          <w:sz w:val="32"/>
          <w:szCs w:val="32"/>
        </w:rPr>
        <w:t>2018</w:t>
      </w:r>
      <w:r>
        <w:rPr>
          <w:rFonts w:hint="eastAsia" w:ascii="仿宋_GB2312" w:hAnsi="宋体" w:eastAsia="仿宋_GB2312" w:cs="宋体"/>
          <w:color w:val="000000"/>
          <w:kern w:val="0"/>
          <w:sz w:val="32"/>
          <w:szCs w:val="32"/>
        </w:rPr>
        <w:t>年底，乐山市水务局部门总编制</w:t>
      </w:r>
      <w:r>
        <w:rPr>
          <w:rFonts w:ascii="仿宋_GB2312" w:hAnsi="宋体" w:eastAsia="仿宋_GB2312" w:cs="宋体"/>
          <w:color w:val="000000"/>
          <w:kern w:val="0"/>
          <w:sz w:val="32"/>
          <w:szCs w:val="32"/>
        </w:rPr>
        <w:t>366</w:t>
      </w:r>
      <w:r>
        <w:rPr>
          <w:rFonts w:hint="eastAsia" w:ascii="仿宋_GB2312" w:hAnsi="宋体" w:eastAsia="仿宋_GB2312" w:cs="宋体"/>
          <w:color w:val="000000"/>
          <w:kern w:val="0"/>
          <w:sz w:val="32"/>
          <w:szCs w:val="32"/>
        </w:rPr>
        <w:t>个，其中：行政机关编制</w:t>
      </w:r>
      <w:r>
        <w:rPr>
          <w:rFonts w:ascii="仿宋_GB2312" w:hAnsi="宋体" w:eastAsia="仿宋_GB2312" w:cs="宋体"/>
          <w:color w:val="000000"/>
          <w:kern w:val="0"/>
          <w:sz w:val="32"/>
          <w:szCs w:val="32"/>
        </w:rPr>
        <w:t xml:space="preserve"> 34</w:t>
      </w:r>
      <w:r>
        <w:rPr>
          <w:rFonts w:hint="eastAsia" w:ascii="仿宋_GB2312" w:hAnsi="宋体" w:eastAsia="仿宋_GB2312" w:cs="宋体"/>
          <w:color w:val="000000"/>
          <w:kern w:val="0"/>
          <w:sz w:val="32"/>
          <w:szCs w:val="32"/>
        </w:rPr>
        <w:t>个，事业单位编制</w:t>
      </w:r>
      <w:r>
        <w:rPr>
          <w:rFonts w:ascii="仿宋_GB2312" w:hAnsi="宋体" w:eastAsia="仿宋_GB2312" w:cs="宋体"/>
          <w:color w:val="000000"/>
          <w:kern w:val="0"/>
          <w:sz w:val="32"/>
          <w:szCs w:val="32"/>
        </w:rPr>
        <w:t>332</w:t>
      </w:r>
      <w:r>
        <w:rPr>
          <w:rFonts w:hint="eastAsia" w:ascii="仿宋_GB2312" w:hAnsi="宋体" w:eastAsia="仿宋_GB2312" w:cs="宋体"/>
          <w:color w:val="000000"/>
          <w:kern w:val="0"/>
          <w:sz w:val="32"/>
          <w:szCs w:val="32"/>
        </w:rPr>
        <w:t>个；在职人员总数</w:t>
      </w:r>
      <w:r>
        <w:rPr>
          <w:rFonts w:ascii="仿宋_GB2312" w:hAnsi="宋体" w:eastAsia="仿宋_GB2312" w:cs="宋体"/>
          <w:color w:val="000000"/>
          <w:kern w:val="0"/>
          <w:sz w:val="32"/>
          <w:szCs w:val="32"/>
        </w:rPr>
        <w:t>314</w:t>
      </w:r>
      <w:r>
        <w:rPr>
          <w:rFonts w:hint="eastAsia" w:ascii="仿宋_GB2312" w:hAnsi="宋体" w:eastAsia="仿宋_GB2312" w:cs="宋体"/>
          <w:color w:val="000000"/>
          <w:kern w:val="0"/>
          <w:sz w:val="32"/>
          <w:szCs w:val="32"/>
        </w:rPr>
        <w:t>人，其中：行政机关</w:t>
      </w:r>
      <w:r>
        <w:rPr>
          <w:rFonts w:ascii="仿宋_GB2312" w:hAnsi="宋体" w:eastAsia="仿宋_GB2312" w:cs="宋体"/>
          <w:color w:val="000000"/>
          <w:kern w:val="0"/>
          <w:sz w:val="32"/>
          <w:szCs w:val="32"/>
        </w:rPr>
        <w:t>33</w:t>
      </w:r>
      <w:r>
        <w:rPr>
          <w:rFonts w:hint="eastAsia" w:ascii="仿宋_GB2312" w:hAnsi="宋体" w:eastAsia="仿宋_GB2312" w:cs="宋体"/>
          <w:color w:val="000000"/>
          <w:kern w:val="0"/>
          <w:sz w:val="32"/>
          <w:szCs w:val="32"/>
        </w:rPr>
        <w:t>人，事业单位</w:t>
      </w:r>
      <w:r>
        <w:rPr>
          <w:rFonts w:ascii="仿宋_GB2312" w:hAnsi="宋体" w:eastAsia="仿宋_GB2312" w:cs="宋体"/>
          <w:color w:val="000000"/>
          <w:kern w:val="0"/>
          <w:sz w:val="32"/>
          <w:szCs w:val="32"/>
        </w:rPr>
        <w:t>381</w:t>
      </w:r>
      <w:r>
        <w:rPr>
          <w:rFonts w:hint="eastAsia" w:ascii="仿宋_GB2312" w:hAnsi="宋体" w:eastAsia="仿宋_GB2312" w:cs="宋体"/>
          <w:color w:val="000000"/>
          <w:kern w:val="0"/>
          <w:sz w:val="32"/>
          <w:szCs w:val="32"/>
        </w:rPr>
        <w:t>人；离休</w:t>
      </w:r>
      <w:r>
        <w:rPr>
          <w:rFonts w:ascii="仿宋_GB2312" w:hAnsi="宋体" w:eastAsia="仿宋_GB2312" w:cs="宋体"/>
          <w:color w:val="000000"/>
          <w:kern w:val="0"/>
          <w:sz w:val="32"/>
          <w:szCs w:val="32"/>
        </w:rPr>
        <w:t>2</w:t>
      </w:r>
      <w:r>
        <w:rPr>
          <w:rFonts w:hint="eastAsia" w:ascii="仿宋_GB2312" w:hAnsi="宋体" w:eastAsia="仿宋_GB2312" w:cs="宋体"/>
          <w:color w:val="000000"/>
          <w:kern w:val="0"/>
          <w:sz w:val="32"/>
          <w:szCs w:val="32"/>
        </w:rPr>
        <w:t>人。</w:t>
      </w:r>
    </w:p>
    <w:p>
      <w:pPr>
        <w:spacing w:line="580" w:lineRule="exact"/>
        <w:ind w:firstLine="640" w:firstLineChars="200"/>
        <w:rPr>
          <w:rFonts w:ascii="黑体" w:hAnsi="黑体" w:eastAsia="黑体" w:cs="黑体"/>
          <w:sz w:val="32"/>
          <w:szCs w:val="32"/>
        </w:rPr>
      </w:pPr>
      <w:r>
        <w:rPr>
          <w:rFonts w:hint="eastAsia" w:ascii="黑体" w:hAnsi="黑体" w:eastAsia="黑体" w:cs="黑体"/>
          <w:sz w:val="32"/>
          <w:szCs w:val="32"/>
        </w:rPr>
        <w:t>二、部门财政资金收支情况</w:t>
      </w:r>
    </w:p>
    <w:p>
      <w:pPr>
        <w:spacing w:line="58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（一）部门财政资金收入情况。</w:t>
      </w:r>
    </w:p>
    <w:p>
      <w:pPr>
        <w:pStyle w:val="33"/>
        <w:ind w:firstLine="31680"/>
        <w:rPr>
          <w:shd w:val="clear" w:color="auto" w:fill="FFFFFF"/>
          <w:lang w:val="zh-CN"/>
        </w:rPr>
      </w:pPr>
      <w:r>
        <w:rPr>
          <w:shd w:val="clear" w:color="auto" w:fill="FFFFFF"/>
          <w:lang w:val="zh-CN"/>
        </w:rPr>
        <w:t>2018</w:t>
      </w:r>
      <w:r>
        <w:rPr>
          <w:rFonts w:hint="eastAsia"/>
          <w:shd w:val="clear" w:color="auto" w:fill="FFFFFF"/>
          <w:lang w:val="zh-CN"/>
        </w:rPr>
        <w:t>年财政拨款收入</w:t>
      </w:r>
      <w:r>
        <w:rPr>
          <w:shd w:val="clear" w:color="auto" w:fill="FFFFFF"/>
          <w:lang w:val="zh-CN"/>
        </w:rPr>
        <w:t>19059.44</w:t>
      </w:r>
      <w:r>
        <w:rPr>
          <w:rFonts w:hint="eastAsia"/>
          <w:shd w:val="clear" w:color="auto" w:fill="FFFFFF"/>
          <w:lang w:val="zh-CN"/>
        </w:rPr>
        <w:t>万元，其中：当年一般公共预算财政拨款收入</w:t>
      </w:r>
      <w:r>
        <w:rPr>
          <w:shd w:val="clear" w:color="auto" w:fill="FFFFFF"/>
          <w:lang w:val="zh-CN"/>
        </w:rPr>
        <w:t>16494.39</w:t>
      </w:r>
      <w:r>
        <w:rPr>
          <w:rFonts w:hint="eastAsia"/>
          <w:shd w:val="clear" w:color="auto" w:fill="FFFFFF"/>
          <w:lang w:val="zh-CN"/>
        </w:rPr>
        <w:t>万元，年初财政拨款结转</w:t>
      </w:r>
      <w:r>
        <w:rPr>
          <w:shd w:val="clear" w:color="auto" w:fill="FFFFFF"/>
          <w:lang w:val="zh-CN"/>
        </w:rPr>
        <w:t>2565.05</w:t>
      </w:r>
      <w:r>
        <w:rPr>
          <w:rFonts w:hint="eastAsia"/>
          <w:shd w:val="clear" w:color="auto" w:fill="FFFFFF"/>
          <w:lang w:val="zh-CN"/>
        </w:rPr>
        <w:t>万元。</w:t>
      </w:r>
    </w:p>
    <w:p>
      <w:pPr>
        <w:spacing w:line="58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（二）部门财政资金支出情况。</w:t>
      </w:r>
    </w:p>
    <w:p>
      <w:pPr>
        <w:pStyle w:val="33"/>
        <w:ind w:firstLine="800" w:firstLineChars="250"/>
        <w:rPr>
          <w:shd w:val="clear" w:color="auto" w:fill="FFFFFF"/>
          <w:lang w:val="zh-CN"/>
        </w:rPr>
      </w:pPr>
      <w:r>
        <w:rPr>
          <w:shd w:val="clear" w:color="auto" w:fill="FFFFFF"/>
          <w:lang w:val="zh-CN"/>
        </w:rPr>
        <w:t>2018</w:t>
      </w:r>
      <w:r>
        <w:rPr>
          <w:rFonts w:hint="eastAsia"/>
          <w:shd w:val="clear" w:color="auto" w:fill="FFFFFF"/>
          <w:lang w:val="zh-CN"/>
        </w:rPr>
        <w:t>年财政拨款支出</w:t>
      </w:r>
      <w:r>
        <w:rPr>
          <w:shd w:val="clear" w:color="auto" w:fill="FFFFFF"/>
          <w:lang w:val="zh-CN"/>
        </w:rPr>
        <w:t>12994.97</w:t>
      </w:r>
      <w:r>
        <w:rPr>
          <w:rFonts w:hint="eastAsia"/>
          <w:shd w:val="clear" w:color="auto" w:fill="FFFFFF"/>
          <w:lang w:val="zh-CN"/>
        </w:rPr>
        <w:t>万元，其中：一般公共预算财政拨款基本支出</w:t>
      </w:r>
      <w:r>
        <w:rPr>
          <w:shd w:val="clear" w:color="auto" w:fill="FFFFFF"/>
          <w:lang w:val="zh-CN"/>
        </w:rPr>
        <w:t>2743.25</w:t>
      </w:r>
      <w:r>
        <w:rPr>
          <w:rFonts w:hint="eastAsia"/>
          <w:shd w:val="clear" w:color="auto" w:fill="FFFFFF"/>
          <w:lang w:val="zh-CN"/>
        </w:rPr>
        <w:t>万元，占</w:t>
      </w:r>
      <w:r>
        <w:rPr>
          <w:shd w:val="clear" w:color="auto" w:fill="FFFFFF"/>
          <w:lang w:val="zh-CN"/>
        </w:rPr>
        <w:t>21.11%</w:t>
      </w:r>
      <w:r>
        <w:rPr>
          <w:rFonts w:hint="eastAsia"/>
          <w:shd w:val="clear" w:color="auto" w:fill="FFFFFF"/>
          <w:lang w:val="zh-CN"/>
        </w:rPr>
        <w:t>；一般公共预算财政拨款项目支出</w:t>
      </w:r>
      <w:r>
        <w:rPr>
          <w:shd w:val="clear" w:color="auto" w:fill="FFFFFF"/>
          <w:lang w:val="zh-CN"/>
        </w:rPr>
        <w:t>10251.72</w:t>
      </w:r>
      <w:r>
        <w:rPr>
          <w:rFonts w:hint="eastAsia"/>
          <w:shd w:val="clear" w:color="auto" w:fill="FFFFFF"/>
          <w:lang w:val="zh-CN"/>
        </w:rPr>
        <w:t>万元，占</w:t>
      </w:r>
      <w:r>
        <w:rPr>
          <w:shd w:val="clear" w:color="auto" w:fill="FFFFFF"/>
          <w:lang w:val="zh-CN"/>
        </w:rPr>
        <w:t>78.89%</w:t>
      </w:r>
      <w:r>
        <w:rPr>
          <w:rFonts w:hint="eastAsia"/>
          <w:shd w:val="clear" w:color="auto" w:fill="FFFFFF"/>
          <w:lang w:val="zh-CN"/>
        </w:rPr>
        <w:t>。</w:t>
      </w:r>
    </w:p>
    <w:p>
      <w:pPr>
        <w:spacing w:line="580" w:lineRule="exact"/>
        <w:ind w:firstLine="640" w:firstLineChars="200"/>
        <w:rPr>
          <w:rFonts w:ascii="黑体" w:hAnsi="黑体" w:eastAsia="黑体" w:cs="黑体"/>
          <w:sz w:val="32"/>
          <w:szCs w:val="32"/>
        </w:rPr>
      </w:pPr>
      <w:r>
        <w:rPr>
          <w:rFonts w:hint="eastAsia" w:ascii="黑体" w:hAnsi="黑体" w:eastAsia="黑体" w:cs="黑体"/>
          <w:sz w:val="32"/>
          <w:szCs w:val="32"/>
        </w:rPr>
        <w:t>三、部门整体预算绩效管理情况</w:t>
      </w:r>
    </w:p>
    <w:p>
      <w:pPr>
        <w:spacing w:line="58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（一）部门预算管理。</w:t>
      </w:r>
    </w:p>
    <w:p>
      <w:pPr>
        <w:spacing w:line="580" w:lineRule="exact"/>
        <w:ind w:firstLine="640" w:firstLineChars="200"/>
        <w:rPr>
          <w:rFonts w:hint="eastAsia" w:ascii="仿宋_GB2312" w:hAnsi="Calibri" w:eastAsia="仿宋_GB2312"/>
          <w:sz w:val="32"/>
          <w:szCs w:val="32"/>
          <w:shd w:val="clear" w:color="auto" w:fill="FFFFFF"/>
          <w:lang w:val="zh-CN" w:eastAsia="zh-CN"/>
        </w:rPr>
      </w:pPr>
      <w:r>
        <w:rPr>
          <w:rFonts w:ascii="仿宋_GB2312" w:hAnsi="Calibri" w:eastAsia="仿宋_GB2312"/>
          <w:sz w:val="32"/>
          <w:szCs w:val="32"/>
          <w:shd w:val="clear" w:color="auto" w:fill="FFFFFF"/>
          <w:lang w:val="zh-CN"/>
        </w:rPr>
        <w:t>2018</w:t>
      </w:r>
      <w:r>
        <w:rPr>
          <w:rFonts w:hint="eastAsia" w:ascii="仿宋_GB2312" w:hAnsi="Calibri" w:eastAsia="仿宋_GB2312"/>
          <w:sz w:val="32"/>
          <w:szCs w:val="32"/>
          <w:shd w:val="clear" w:color="auto" w:fill="FFFFFF"/>
          <w:lang w:val="zh-CN"/>
        </w:rPr>
        <w:t>年，我局严格按照市财政预算编制要求对部门预算进行编报，年初部门市级总预算</w:t>
      </w:r>
      <w:r>
        <w:rPr>
          <w:rFonts w:ascii="仿宋_GB2312" w:hAnsi="Calibri" w:eastAsia="仿宋_GB2312"/>
          <w:sz w:val="32"/>
          <w:szCs w:val="32"/>
          <w:shd w:val="clear" w:color="auto" w:fill="FFFFFF"/>
          <w:lang w:val="zh-CN"/>
        </w:rPr>
        <w:t>4192.33</w:t>
      </w:r>
      <w:r>
        <w:rPr>
          <w:rFonts w:hint="eastAsia" w:ascii="仿宋_GB2312" w:hAnsi="Calibri" w:eastAsia="仿宋_GB2312"/>
          <w:sz w:val="32"/>
          <w:szCs w:val="32"/>
          <w:shd w:val="clear" w:color="auto" w:fill="FFFFFF"/>
          <w:lang w:val="zh-CN"/>
        </w:rPr>
        <w:t>万元，基本支出预算</w:t>
      </w:r>
      <w:r>
        <w:rPr>
          <w:rFonts w:ascii="仿宋_GB2312" w:hAnsi="Calibri" w:eastAsia="仿宋_GB2312"/>
          <w:sz w:val="32"/>
          <w:szCs w:val="32"/>
          <w:shd w:val="clear" w:color="auto" w:fill="FFFFFF"/>
          <w:lang w:val="zh-CN"/>
        </w:rPr>
        <w:t>2288.06</w:t>
      </w:r>
      <w:r>
        <w:rPr>
          <w:rFonts w:hint="eastAsia" w:ascii="仿宋_GB2312" w:hAnsi="Calibri" w:eastAsia="仿宋_GB2312"/>
          <w:sz w:val="32"/>
          <w:szCs w:val="32"/>
          <w:shd w:val="clear" w:color="auto" w:fill="FFFFFF"/>
          <w:lang w:val="zh-CN"/>
        </w:rPr>
        <w:t>万元，市级项目预算</w:t>
      </w:r>
      <w:r>
        <w:rPr>
          <w:rFonts w:ascii="仿宋_GB2312" w:hAnsi="Calibri" w:eastAsia="仿宋_GB2312"/>
          <w:sz w:val="32"/>
          <w:szCs w:val="32"/>
          <w:shd w:val="clear" w:color="auto" w:fill="FFFFFF"/>
          <w:lang w:val="zh-CN"/>
        </w:rPr>
        <w:t>1904.27</w:t>
      </w:r>
      <w:r>
        <w:rPr>
          <w:rFonts w:hint="eastAsia" w:ascii="仿宋_GB2312" w:hAnsi="Calibri" w:eastAsia="仿宋_GB2312"/>
          <w:sz w:val="32"/>
          <w:szCs w:val="32"/>
          <w:shd w:val="clear" w:color="auto" w:fill="FFFFFF"/>
          <w:lang w:val="zh-CN"/>
        </w:rPr>
        <w:t>万元，部门调整项目预算</w:t>
      </w:r>
      <w:r>
        <w:rPr>
          <w:rFonts w:ascii="仿宋_GB2312" w:hAnsi="Calibri" w:eastAsia="仿宋_GB2312"/>
          <w:sz w:val="32"/>
          <w:szCs w:val="32"/>
          <w:shd w:val="clear" w:color="auto" w:fill="FFFFFF"/>
          <w:lang w:val="zh-CN"/>
        </w:rPr>
        <w:t>342.22</w:t>
      </w:r>
      <w:r>
        <w:rPr>
          <w:rFonts w:hint="eastAsia" w:ascii="仿宋_GB2312" w:hAnsi="Calibri" w:eastAsia="仿宋_GB2312"/>
          <w:sz w:val="32"/>
          <w:szCs w:val="32"/>
          <w:shd w:val="clear" w:color="auto" w:fill="FFFFFF"/>
          <w:lang w:val="zh-CN"/>
        </w:rPr>
        <w:t>万元，追加市级项目预算</w:t>
      </w:r>
      <w:r>
        <w:rPr>
          <w:rFonts w:ascii="仿宋_GB2312" w:hAnsi="Calibri" w:eastAsia="仿宋_GB2312"/>
          <w:sz w:val="32"/>
          <w:szCs w:val="32"/>
          <w:shd w:val="clear" w:color="auto" w:fill="FFFFFF"/>
          <w:lang w:val="zh-CN"/>
        </w:rPr>
        <w:t>1156.04</w:t>
      </w:r>
      <w:r>
        <w:rPr>
          <w:rFonts w:hint="eastAsia" w:ascii="仿宋_GB2312" w:hAnsi="Calibri" w:eastAsia="仿宋_GB2312"/>
          <w:sz w:val="32"/>
          <w:szCs w:val="32"/>
          <w:shd w:val="clear" w:color="auto" w:fill="FFFFFF"/>
          <w:lang w:val="zh-CN"/>
        </w:rPr>
        <w:t>万元；年初部门预算均细化至各单位；市级项目预算全部纳入绩效管理，在</w:t>
      </w:r>
      <w:r>
        <w:rPr>
          <w:rFonts w:hint="eastAsia" w:ascii="仿宋_GB2312" w:hAnsi="仿宋_GB2312" w:eastAsia="仿宋_GB2312" w:cs="仿宋_GB2312"/>
          <w:sz w:val="32"/>
          <w:szCs w:val="32"/>
        </w:rPr>
        <w:t>预算执行过程中，选取</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个项目开展重点绩效监控；</w:t>
      </w:r>
      <w:r>
        <w:rPr>
          <w:rFonts w:hint="eastAsia" w:ascii="仿宋_GB2312" w:hAnsi="Calibri" w:eastAsia="仿宋_GB2312"/>
          <w:sz w:val="32"/>
          <w:szCs w:val="32"/>
          <w:shd w:val="clear" w:color="auto" w:fill="FFFFFF"/>
          <w:lang w:val="zh-CN"/>
        </w:rPr>
        <w:t>同时</w:t>
      </w:r>
      <w:r>
        <w:rPr>
          <w:rFonts w:hint="eastAsia" w:ascii="仿宋_GB2312" w:hAnsi="仿宋_GB2312" w:eastAsia="仿宋_GB2312" w:cs="仿宋_GB2312"/>
          <w:sz w:val="32"/>
          <w:szCs w:val="32"/>
        </w:rPr>
        <w:t>为加快预算执行，局机关分别对单位</w:t>
      </w:r>
      <w:r>
        <w:rPr>
          <w:rFonts w:ascii="仿宋_GB2312" w:hAnsi="仿宋_GB2312" w:eastAsia="仿宋_GB2312" w:cs="仿宋_GB2312"/>
          <w:sz w:val="32"/>
          <w:szCs w:val="32"/>
        </w:rPr>
        <w:t>6</w:t>
      </w:r>
      <w:r>
        <w:rPr>
          <w:rFonts w:hint="eastAsia" w:ascii="仿宋_GB2312" w:hAnsi="仿宋_GB2312" w:eastAsia="仿宋_GB2312" w:cs="仿宋_GB2312"/>
          <w:sz w:val="32"/>
          <w:szCs w:val="32"/>
        </w:rPr>
        <w:t>月、</w:t>
      </w:r>
      <w:r>
        <w:rPr>
          <w:rFonts w:ascii="仿宋_GB2312" w:hAnsi="仿宋_GB2312" w:eastAsia="仿宋_GB2312" w:cs="仿宋_GB2312"/>
          <w:sz w:val="32"/>
          <w:szCs w:val="32"/>
        </w:rPr>
        <w:t>9</w:t>
      </w:r>
      <w:r>
        <w:rPr>
          <w:rFonts w:hint="eastAsia" w:ascii="仿宋_GB2312" w:hAnsi="仿宋_GB2312" w:eastAsia="仿宋_GB2312" w:cs="仿宋_GB2312"/>
          <w:sz w:val="32"/>
          <w:szCs w:val="32"/>
        </w:rPr>
        <w:t>月和</w:t>
      </w:r>
      <w:r>
        <w:rPr>
          <w:rFonts w:ascii="仿宋_GB2312" w:hAnsi="仿宋_GB2312" w:eastAsia="仿宋_GB2312" w:cs="仿宋_GB2312"/>
          <w:sz w:val="32"/>
          <w:szCs w:val="32"/>
        </w:rPr>
        <w:t>11</w:t>
      </w:r>
      <w:r>
        <w:rPr>
          <w:rFonts w:hint="eastAsia" w:ascii="仿宋_GB2312" w:hAnsi="仿宋_GB2312" w:eastAsia="仿宋_GB2312" w:cs="仿宋_GB2312"/>
          <w:sz w:val="32"/>
          <w:szCs w:val="32"/>
        </w:rPr>
        <w:t>月的预算序时进度进行了统计分析，截止</w:t>
      </w:r>
      <w:r>
        <w:rPr>
          <w:rFonts w:ascii="仿宋_GB2312" w:hAnsi="仿宋_GB2312" w:eastAsia="仿宋_GB2312" w:cs="仿宋_GB2312"/>
          <w:sz w:val="32"/>
          <w:szCs w:val="32"/>
        </w:rPr>
        <w:t>12</w:t>
      </w:r>
      <w:r>
        <w:rPr>
          <w:rFonts w:hint="eastAsia" w:ascii="仿宋_GB2312" w:hAnsi="仿宋_GB2312" w:eastAsia="仿宋_GB2312" w:cs="仿宋_GB2312"/>
          <w:sz w:val="32"/>
          <w:szCs w:val="32"/>
        </w:rPr>
        <w:t>月底，局机关基本支出预算执行率达</w:t>
      </w:r>
      <w:r>
        <w:rPr>
          <w:rFonts w:ascii="仿宋_GB2312" w:hAnsi="仿宋_GB2312" w:eastAsia="仿宋_GB2312" w:cs="仿宋_GB2312"/>
          <w:sz w:val="32"/>
          <w:szCs w:val="32"/>
        </w:rPr>
        <w:t>97.79%</w:t>
      </w:r>
      <w:r>
        <w:rPr>
          <w:rFonts w:hint="eastAsia" w:ascii="仿宋_GB2312" w:hAnsi="仿宋_GB2312" w:eastAsia="仿宋_GB2312" w:cs="仿宋_GB2312"/>
          <w:sz w:val="32"/>
          <w:szCs w:val="32"/>
        </w:rPr>
        <w:t>，项目支出预算执行率达</w:t>
      </w:r>
      <w:r>
        <w:rPr>
          <w:rFonts w:ascii="仿宋_GB2312" w:hAnsi="仿宋_GB2312" w:eastAsia="仿宋_GB2312" w:cs="仿宋_GB2312"/>
          <w:sz w:val="32"/>
          <w:szCs w:val="32"/>
        </w:rPr>
        <w:t>97.86%</w:t>
      </w:r>
      <w:r>
        <w:rPr>
          <w:rFonts w:hint="eastAsia" w:ascii="仿宋_GB2312" w:hAnsi="仿宋_GB2312" w:eastAsia="仿宋_GB2312" w:cs="仿宋_GB2312"/>
          <w:sz w:val="32"/>
          <w:szCs w:val="32"/>
        </w:rPr>
        <w:t>；</w:t>
      </w:r>
      <w:r>
        <w:rPr>
          <w:rFonts w:hint="eastAsia" w:ascii="仿宋_GB2312" w:hAnsi="Calibri" w:eastAsia="仿宋_GB2312"/>
          <w:sz w:val="32"/>
          <w:szCs w:val="32"/>
          <w:shd w:val="clear" w:color="auto" w:fill="FFFFFF"/>
          <w:lang w:val="zh-CN"/>
        </w:rPr>
        <w:t>办公费、电费的年初预算与决算偏差也未超过</w:t>
      </w:r>
      <w:r>
        <w:rPr>
          <w:rFonts w:ascii="仿宋_GB2312" w:hAnsi="Calibri" w:eastAsia="仿宋_GB2312"/>
          <w:sz w:val="32"/>
          <w:szCs w:val="32"/>
          <w:shd w:val="clear" w:color="auto" w:fill="FFFFFF"/>
          <w:lang w:val="zh-CN"/>
        </w:rPr>
        <w:t>10%</w:t>
      </w:r>
      <w:r>
        <w:rPr>
          <w:rFonts w:hint="eastAsia" w:ascii="仿宋_GB2312" w:hAnsi="Calibri" w:eastAsia="仿宋_GB2312"/>
          <w:sz w:val="32"/>
          <w:szCs w:val="32"/>
          <w:shd w:val="clear" w:color="auto" w:fill="FFFFFF"/>
          <w:lang w:val="zh-CN"/>
        </w:rPr>
        <w:t>；预算编制更加精确科学，市级项目预算执行率进一步提高</w:t>
      </w:r>
      <w:r>
        <w:rPr>
          <w:rFonts w:hint="eastAsia" w:ascii="仿宋_GB2312" w:hAnsi="Calibri" w:eastAsia="仿宋_GB2312"/>
          <w:sz w:val="32"/>
          <w:szCs w:val="32"/>
          <w:shd w:val="clear" w:color="auto" w:fill="FFFFFF"/>
          <w:lang w:val="zh-CN" w:eastAsia="zh-CN"/>
        </w:rPr>
        <w:t>。</w:t>
      </w:r>
    </w:p>
    <w:p>
      <w:pPr>
        <w:spacing w:line="58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（二）专项预算管理。</w:t>
      </w:r>
    </w:p>
    <w:p>
      <w:pPr>
        <w:spacing w:line="600" w:lineRule="exact"/>
        <w:ind w:firstLine="640"/>
        <w:rPr>
          <w:rFonts w:ascii="仿宋_GB2312" w:eastAsia="仿宋_GB2312"/>
          <w:color w:val="000000"/>
          <w:sz w:val="32"/>
          <w:szCs w:val="32"/>
        </w:rPr>
      </w:pPr>
      <w:r>
        <w:rPr>
          <w:rFonts w:ascii="仿宋_GB2312" w:eastAsia="仿宋_GB2312"/>
          <w:color w:val="000000"/>
          <w:sz w:val="32"/>
          <w:szCs w:val="32"/>
        </w:rPr>
        <w:t>2018</w:t>
      </w:r>
      <w:r>
        <w:rPr>
          <w:rFonts w:hint="eastAsia" w:ascii="仿宋_GB2312" w:eastAsia="仿宋_GB2312"/>
          <w:color w:val="000000"/>
          <w:sz w:val="32"/>
          <w:szCs w:val="32"/>
        </w:rPr>
        <w:t>年“三公”经费财政拨款支出决算为</w:t>
      </w:r>
      <w:r>
        <w:rPr>
          <w:rFonts w:ascii="仿宋_GB2312" w:eastAsia="仿宋_GB2312"/>
          <w:color w:val="000000"/>
          <w:sz w:val="32"/>
          <w:szCs w:val="32"/>
        </w:rPr>
        <w:t>83.34</w:t>
      </w:r>
      <w:r>
        <w:rPr>
          <w:rFonts w:hint="eastAsia" w:ascii="仿宋_GB2312" w:eastAsia="仿宋_GB2312"/>
          <w:color w:val="000000"/>
          <w:sz w:val="32"/>
          <w:szCs w:val="32"/>
        </w:rPr>
        <w:t>万元，预算执行率</w:t>
      </w:r>
      <w:r>
        <w:rPr>
          <w:rFonts w:ascii="仿宋_GB2312" w:eastAsia="仿宋_GB2312"/>
          <w:color w:val="000000"/>
          <w:sz w:val="32"/>
          <w:szCs w:val="32"/>
        </w:rPr>
        <w:t>100%</w:t>
      </w:r>
      <w:r>
        <w:rPr>
          <w:rFonts w:hint="eastAsia" w:ascii="仿宋_GB2312" w:eastAsia="仿宋_GB2312"/>
          <w:color w:val="000000"/>
          <w:sz w:val="32"/>
          <w:szCs w:val="32"/>
        </w:rPr>
        <w:t>。公务用车运行维护费支出决算</w:t>
      </w:r>
      <w:r>
        <w:rPr>
          <w:rFonts w:ascii="仿宋_GB2312" w:eastAsia="仿宋_GB2312"/>
          <w:color w:val="000000"/>
          <w:sz w:val="32"/>
          <w:szCs w:val="32"/>
        </w:rPr>
        <w:t>37.15</w:t>
      </w:r>
      <w:r>
        <w:rPr>
          <w:rFonts w:hint="eastAsia" w:ascii="仿宋_GB2312" w:eastAsia="仿宋_GB2312"/>
          <w:color w:val="000000"/>
          <w:sz w:val="32"/>
          <w:szCs w:val="32"/>
        </w:rPr>
        <w:t>万元，同比下降</w:t>
      </w:r>
      <w:r>
        <w:rPr>
          <w:rFonts w:ascii="仿宋_GB2312" w:eastAsia="仿宋_GB2312"/>
          <w:color w:val="000000"/>
          <w:sz w:val="32"/>
          <w:szCs w:val="32"/>
        </w:rPr>
        <w:t>22.53%</w:t>
      </w:r>
      <w:r>
        <w:rPr>
          <w:rFonts w:hint="eastAsia" w:ascii="仿宋_GB2312" w:eastAsia="仿宋_GB2312"/>
          <w:color w:val="000000"/>
          <w:sz w:val="32"/>
          <w:szCs w:val="32"/>
        </w:rPr>
        <w:t>；公务接待费支出决算</w:t>
      </w:r>
      <w:r>
        <w:rPr>
          <w:rFonts w:ascii="仿宋_GB2312" w:eastAsia="仿宋_GB2312"/>
          <w:color w:val="000000"/>
          <w:sz w:val="32"/>
          <w:szCs w:val="32"/>
        </w:rPr>
        <w:t>11.95</w:t>
      </w:r>
      <w:r>
        <w:rPr>
          <w:rFonts w:hint="eastAsia" w:ascii="仿宋_GB2312" w:eastAsia="仿宋_GB2312"/>
          <w:color w:val="000000"/>
          <w:sz w:val="32"/>
          <w:szCs w:val="32"/>
        </w:rPr>
        <w:t>万元，同比下降</w:t>
      </w:r>
      <w:r>
        <w:rPr>
          <w:rFonts w:ascii="仿宋_GB2312" w:eastAsia="仿宋_GB2312"/>
          <w:color w:val="000000"/>
          <w:sz w:val="32"/>
          <w:szCs w:val="32"/>
        </w:rPr>
        <w:t>3.86%</w:t>
      </w:r>
      <w:r>
        <w:rPr>
          <w:rFonts w:hint="eastAsia" w:ascii="仿宋_GB2312" w:eastAsia="仿宋_GB2312"/>
          <w:color w:val="000000"/>
          <w:sz w:val="32"/>
          <w:szCs w:val="32"/>
        </w:rPr>
        <w:t>；</w:t>
      </w:r>
      <w:r>
        <w:rPr>
          <w:rFonts w:ascii="仿宋_GB2312" w:eastAsia="仿宋_GB2312"/>
          <w:color w:val="000000"/>
          <w:sz w:val="32"/>
          <w:szCs w:val="32"/>
        </w:rPr>
        <w:t>2018</w:t>
      </w:r>
      <w:r>
        <w:rPr>
          <w:rFonts w:hint="eastAsia" w:ascii="仿宋_GB2312" w:eastAsia="仿宋_GB2312"/>
          <w:color w:val="000000"/>
          <w:sz w:val="32"/>
          <w:szCs w:val="32"/>
        </w:rPr>
        <w:t>年局机关购置</w:t>
      </w:r>
      <w:r>
        <w:rPr>
          <w:rFonts w:ascii="仿宋_GB2312" w:eastAsia="仿宋_GB2312"/>
          <w:color w:val="000000"/>
          <w:sz w:val="32"/>
          <w:szCs w:val="32"/>
        </w:rPr>
        <w:t>1</w:t>
      </w:r>
      <w:r>
        <w:rPr>
          <w:rFonts w:hint="eastAsia" w:ascii="仿宋_GB2312" w:eastAsia="仿宋_GB2312"/>
          <w:color w:val="000000"/>
          <w:sz w:val="32"/>
          <w:szCs w:val="32"/>
        </w:rPr>
        <w:t>辆公务用车，购置支出</w:t>
      </w:r>
      <w:r>
        <w:rPr>
          <w:rFonts w:ascii="仿宋_GB2312" w:eastAsia="仿宋_GB2312"/>
          <w:color w:val="000000"/>
          <w:sz w:val="32"/>
          <w:szCs w:val="32"/>
        </w:rPr>
        <w:t>34.24</w:t>
      </w:r>
      <w:r>
        <w:rPr>
          <w:rFonts w:hint="eastAsia" w:ascii="仿宋_GB2312" w:eastAsia="仿宋_GB2312"/>
          <w:color w:val="000000"/>
          <w:sz w:val="32"/>
          <w:szCs w:val="32"/>
        </w:rPr>
        <w:t>万元，</w:t>
      </w:r>
      <w:r>
        <w:rPr>
          <w:rFonts w:ascii="仿宋_GB2312" w:eastAsia="仿宋_GB2312"/>
          <w:color w:val="000000"/>
          <w:sz w:val="32"/>
          <w:szCs w:val="32"/>
        </w:rPr>
        <w:t>2017</w:t>
      </w:r>
      <w:r>
        <w:rPr>
          <w:rFonts w:hint="eastAsia" w:ascii="仿宋_GB2312" w:eastAsia="仿宋_GB2312"/>
          <w:color w:val="000000"/>
          <w:sz w:val="32"/>
          <w:szCs w:val="32"/>
        </w:rPr>
        <w:t>年部门无公务用车购置支出。</w:t>
      </w:r>
    </w:p>
    <w:p>
      <w:pPr>
        <w:spacing w:line="58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年中央和省级水利发展资金预算</w:t>
      </w:r>
      <w:r>
        <w:rPr>
          <w:rFonts w:ascii="仿宋_GB2312" w:hAnsi="仿宋_GB2312" w:eastAsia="仿宋_GB2312" w:cs="仿宋_GB2312"/>
          <w:sz w:val="32"/>
          <w:szCs w:val="32"/>
        </w:rPr>
        <w:t>16</w:t>
      </w:r>
      <w:r>
        <w:rPr>
          <w:rFonts w:hint="eastAsia" w:ascii="仿宋_GB2312" w:hAnsi="仿宋_GB2312" w:eastAsia="仿宋_GB2312" w:cs="仿宋_GB2312"/>
          <w:sz w:val="32"/>
          <w:szCs w:val="32"/>
        </w:rPr>
        <w:t>万元，专项用于国家水资源监控能力建设，年度预算执行率为</w:t>
      </w:r>
      <w:r>
        <w:rPr>
          <w:rFonts w:ascii="仿宋_GB2312" w:hAnsi="仿宋_GB2312" w:eastAsia="仿宋_GB2312" w:cs="仿宋_GB2312"/>
          <w:sz w:val="32"/>
          <w:szCs w:val="32"/>
        </w:rPr>
        <w:t>52.13%</w:t>
      </w:r>
      <w:r>
        <w:rPr>
          <w:rFonts w:hint="eastAsia" w:ascii="仿宋_GB2312" w:hAnsi="仿宋_GB2312" w:eastAsia="仿宋_GB2312" w:cs="仿宋_GB2312"/>
          <w:sz w:val="32"/>
          <w:szCs w:val="32"/>
        </w:rPr>
        <w:t>，项目于</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w:t>
      </w:r>
      <w:r>
        <w:rPr>
          <w:rFonts w:ascii="仿宋_GB2312" w:hAnsi="仿宋_GB2312" w:eastAsia="仿宋_GB2312" w:cs="仿宋_GB2312"/>
          <w:sz w:val="32"/>
          <w:szCs w:val="32"/>
        </w:rPr>
        <w:t>8</w:t>
      </w:r>
      <w:r>
        <w:rPr>
          <w:rFonts w:hint="eastAsia" w:ascii="仿宋_GB2312" w:hAnsi="仿宋_GB2312" w:eastAsia="仿宋_GB2312" w:cs="仿宋_GB2312"/>
          <w:sz w:val="32"/>
          <w:szCs w:val="32"/>
        </w:rPr>
        <w:t>月开工建设，截至</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年底，建设任务完成率超</w:t>
      </w:r>
      <w:r>
        <w:rPr>
          <w:rFonts w:ascii="仿宋_GB2312" w:hAnsi="仿宋_GB2312" w:eastAsia="仿宋_GB2312" w:cs="仿宋_GB2312"/>
          <w:sz w:val="32"/>
          <w:szCs w:val="32"/>
        </w:rPr>
        <w:t>80%</w:t>
      </w:r>
      <w:r>
        <w:rPr>
          <w:rFonts w:hint="eastAsia" w:ascii="仿宋_GB2312" w:hAnsi="仿宋_GB2312" w:eastAsia="仿宋_GB2312" w:cs="仿宋_GB2312"/>
          <w:sz w:val="32"/>
          <w:szCs w:val="32"/>
        </w:rPr>
        <w:t>，项目建设单价控制在批复概算单价内，完成年初既定年度绩效目标。</w:t>
      </w:r>
    </w:p>
    <w:p>
      <w:pPr>
        <w:spacing w:line="58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（三）结果应用情况。</w:t>
      </w:r>
    </w:p>
    <w:p>
      <w:pPr>
        <w:pStyle w:val="33"/>
        <w:ind w:firstLine="31680"/>
        <w:rPr>
          <w:shd w:val="clear" w:color="auto" w:fill="FFFFFF"/>
          <w:lang w:val="zh-CN"/>
        </w:rPr>
      </w:pPr>
      <w:r>
        <w:rPr>
          <w:rFonts w:hint="eastAsia"/>
          <w:shd w:val="clear" w:color="auto" w:fill="FFFFFF"/>
          <w:lang w:val="zh-CN"/>
        </w:rPr>
        <w:t>部门将把此次绩效评价结果充分运用到部门预算编制工作中，开展项目预算事前绩效评估，以绩效定预算，在确保基本人员开支和正常运行支出的前提下，坚持“保重点、促发展”的原则，统筹安排水利事业发展，开展预算执行进度绩效监控，适时对绩效目标进行调整，让绩效管理贯穿于预算编制全过程。</w:t>
      </w:r>
    </w:p>
    <w:p>
      <w:pPr>
        <w:spacing w:line="580" w:lineRule="exact"/>
        <w:ind w:firstLine="640" w:firstLineChars="200"/>
        <w:rPr>
          <w:rFonts w:ascii="黑体" w:hAnsi="黑体" w:eastAsia="黑体" w:cs="黑体"/>
          <w:sz w:val="32"/>
          <w:szCs w:val="32"/>
        </w:rPr>
      </w:pPr>
      <w:r>
        <w:rPr>
          <w:rFonts w:hint="eastAsia" w:ascii="黑体" w:hAnsi="黑体" w:eastAsia="黑体" w:cs="黑体"/>
          <w:sz w:val="32"/>
          <w:szCs w:val="32"/>
        </w:rPr>
        <w:t>四、评价结论及建议</w:t>
      </w:r>
    </w:p>
    <w:p>
      <w:pPr>
        <w:spacing w:line="58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（一）评价结论。</w:t>
      </w:r>
    </w:p>
    <w:p>
      <w:pPr>
        <w:widowControl/>
        <w:shd w:val="clear" w:color="auto" w:fill="FFFFFF"/>
        <w:spacing w:line="600" w:lineRule="exact"/>
        <w:ind w:firstLine="640" w:firstLineChars="200"/>
        <w:jc w:val="left"/>
        <w:rPr>
          <w:rFonts w:ascii="仿宋_GB2312" w:hAnsi="Calibri" w:eastAsia="仿宋_GB2312"/>
          <w:sz w:val="32"/>
          <w:szCs w:val="32"/>
          <w:shd w:val="clear" w:color="auto" w:fill="FFFFFF"/>
          <w:lang w:val="zh-CN"/>
        </w:rPr>
      </w:pPr>
      <w:r>
        <w:rPr>
          <w:rFonts w:ascii="仿宋_GB2312" w:hAnsi="Calibri" w:eastAsia="仿宋_GB2312"/>
          <w:sz w:val="32"/>
          <w:szCs w:val="32"/>
          <w:shd w:val="clear" w:color="auto" w:fill="FFFFFF"/>
          <w:lang w:val="zh-CN"/>
        </w:rPr>
        <w:t>2018</w:t>
      </w:r>
      <w:r>
        <w:rPr>
          <w:rFonts w:hint="eastAsia" w:ascii="仿宋_GB2312" w:hAnsi="Calibri" w:eastAsia="仿宋_GB2312"/>
          <w:sz w:val="32"/>
          <w:szCs w:val="32"/>
          <w:shd w:val="clear" w:color="auto" w:fill="FFFFFF"/>
          <w:lang w:val="zh-CN"/>
        </w:rPr>
        <w:t>年预算严格按照新《预算法》和市财政局要求编制，及时报送财政，预算编制质量较高，项目支出基本做到提前细化，项目建设进程加快，预算执行情况总体良好，市级预算结余结转资金较上年大幅减少。同时严格控制“三公”经费支出，严格按照省、市厉行节约的要求压缩预算，部门三公经费压缩比例达到预期目标。部门依托内控建设，逐步建立完善的财务管理制度，严格按照政府会计制度核算，项目资金专款专用；对照部门支出绩效评价体系标准自评得分</w:t>
      </w:r>
      <w:r>
        <w:rPr>
          <w:rFonts w:ascii="仿宋_GB2312" w:hAnsi="Calibri" w:eastAsia="仿宋_GB2312"/>
          <w:sz w:val="32"/>
          <w:szCs w:val="32"/>
          <w:shd w:val="clear" w:color="auto" w:fill="FFFFFF"/>
          <w:lang w:val="zh-CN"/>
        </w:rPr>
        <w:t>88.75</w:t>
      </w:r>
      <w:r>
        <w:rPr>
          <w:rFonts w:hint="eastAsia" w:ascii="仿宋_GB2312" w:hAnsi="Calibri" w:eastAsia="仿宋_GB2312"/>
          <w:sz w:val="32"/>
          <w:szCs w:val="32"/>
          <w:shd w:val="clear" w:color="auto" w:fill="FFFFFF"/>
          <w:lang w:val="zh-CN"/>
        </w:rPr>
        <w:t>分。</w:t>
      </w:r>
    </w:p>
    <w:p>
      <w:pPr>
        <w:spacing w:line="58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（二）存在问题。</w:t>
      </w:r>
    </w:p>
    <w:p>
      <w:pPr>
        <w:widowControl/>
        <w:shd w:val="clear" w:color="auto" w:fill="FFFFFF"/>
        <w:spacing w:line="600" w:lineRule="exact"/>
        <w:ind w:firstLine="640" w:firstLineChars="200"/>
        <w:jc w:val="left"/>
        <w:rPr>
          <w:rFonts w:ascii="仿宋_GB2312" w:hAnsi="Calibri" w:eastAsia="仿宋_GB2312"/>
          <w:sz w:val="32"/>
          <w:szCs w:val="32"/>
          <w:shd w:val="clear" w:color="auto" w:fill="FFFFFF"/>
          <w:lang w:val="zh-CN"/>
        </w:rPr>
      </w:pPr>
      <w:r>
        <w:rPr>
          <w:rFonts w:ascii="仿宋_GB2312" w:hAnsi="Calibri" w:eastAsia="仿宋_GB2312"/>
          <w:sz w:val="32"/>
          <w:szCs w:val="32"/>
          <w:shd w:val="clear" w:color="auto" w:fill="FFFFFF"/>
          <w:lang w:val="zh-CN"/>
        </w:rPr>
        <w:t>1</w:t>
      </w:r>
      <w:r>
        <w:rPr>
          <w:rFonts w:hint="eastAsia" w:ascii="仿宋_GB2312" w:hAnsi="Calibri" w:eastAsia="仿宋_GB2312"/>
          <w:sz w:val="32"/>
          <w:szCs w:val="32"/>
          <w:shd w:val="clear" w:color="auto" w:fill="FFFFFF"/>
          <w:lang w:val="zh-CN"/>
        </w:rPr>
        <w:t>、大型基建类项目因汛期、地质因素无法按期开工，预算执行进度较慢。</w:t>
      </w:r>
    </w:p>
    <w:p>
      <w:pPr>
        <w:widowControl/>
        <w:shd w:val="clear" w:color="auto" w:fill="FFFFFF"/>
        <w:spacing w:line="600" w:lineRule="exact"/>
        <w:ind w:firstLine="640" w:firstLineChars="200"/>
        <w:jc w:val="left"/>
        <w:rPr>
          <w:rFonts w:ascii="仿宋_GB2312" w:hAnsi="Calibri" w:eastAsia="仿宋_GB2312"/>
          <w:sz w:val="32"/>
          <w:szCs w:val="32"/>
          <w:shd w:val="clear" w:color="auto" w:fill="FFFFFF"/>
          <w:lang w:val="zh-CN"/>
        </w:rPr>
      </w:pPr>
      <w:r>
        <w:rPr>
          <w:rFonts w:ascii="仿宋_GB2312" w:hAnsi="Calibri" w:eastAsia="仿宋_GB2312"/>
          <w:sz w:val="32"/>
          <w:szCs w:val="32"/>
          <w:shd w:val="clear" w:color="auto" w:fill="FFFFFF"/>
          <w:lang w:val="zh-CN"/>
        </w:rPr>
        <w:t>2</w:t>
      </w:r>
      <w:r>
        <w:rPr>
          <w:rFonts w:hint="eastAsia" w:ascii="仿宋_GB2312" w:hAnsi="Calibri" w:eastAsia="仿宋_GB2312"/>
          <w:sz w:val="32"/>
          <w:szCs w:val="32"/>
          <w:shd w:val="clear" w:color="auto" w:fill="FFFFFF"/>
          <w:lang w:val="zh-CN"/>
        </w:rPr>
        <w:t>、部分科室和下属单位对绩效评价工作的重要性认识不足，制度建设相对滞后，绩效评价开展缺乏有力的制度保障；部门绩效评价工作尚在摸索阶段，对绩效管理工作还缺乏具体的、科学的方案和方法，导致评价内容不够全面；绩效自评、绩效管理等工作未纳入常态，绩效评价质量不高。</w:t>
      </w:r>
    </w:p>
    <w:p>
      <w:pPr>
        <w:spacing w:line="58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（三）改进建议。</w:t>
      </w:r>
    </w:p>
    <w:p>
      <w:pPr>
        <w:widowControl/>
        <w:shd w:val="clear" w:color="auto" w:fill="FFFFFF"/>
        <w:spacing w:line="600" w:lineRule="exact"/>
        <w:ind w:firstLine="640" w:firstLineChars="200"/>
        <w:jc w:val="left"/>
        <w:rPr>
          <w:rFonts w:ascii="仿宋_GB2312" w:hAnsi="Calibri" w:eastAsia="仿宋_GB2312"/>
          <w:sz w:val="32"/>
          <w:szCs w:val="32"/>
          <w:shd w:val="clear" w:color="auto" w:fill="FFFFFF"/>
          <w:lang w:val="zh-CN"/>
        </w:rPr>
      </w:pPr>
      <w:r>
        <w:rPr>
          <w:rFonts w:ascii="仿宋_GB2312" w:hAnsi="Calibri" w:eastAsia="仿宋_GB2312"/>
          <w:sz w:val="32"/>
          <w:szCs w:val="32"/>
          <w:shd w:val="clear" w:color="auto" w:fill="FFFFFF"/>
          <w:lang w:val="zh-CN"/>
        </w:rPr>
        <w:t>1</w:t>
      </w:r>
      <w:r>
        <w:rPr>
          <w:rFonts w:hint="eastAsia" w:ascii="仿宋_GB2312" w:hAnsi="Calibri" w:eastAsia="仿宋_GB2312"/>
          <w:sz w:val="32"/>
          <w:szCs w:val="32"/>
          <w:shd w:val="clear" w:color="auto" w:fill="FFFFFF"/>
          <w:lang w:val="zh-CN"/>
        </w:rPr>
        <w:t>、科学规划设计</w:t>
      </w:r>
      <w:r>
        <w:rPr>
          <w:rFonts w:ascii="仿宋_GB2312" w:hAnsi="Calibri" w:eastAsia="仿宋_GB2312"/>
          <w:sz w:val="32"/>
          <w:szCs w:val="32"/>
          <w:shd w:val="clear" w:color="auto" w:fill="FFFFFF"/>
          <w:lang w:val="zh-CN"/>
        </w:rPr>
        <w:t xml:space="preserve">, </w:t>
      </w:r>
      <w:r>
        <w:rPr>
          <w:rFonts w:hint="eastAsia" w:ascii="仿宋_GB2312" w:hAnsi="Calibri" w:eastAsia="仿宋_GB2312"/>
          <w:sz w:val="32"/>
          <w:szCs w:val="32"/>
          <w:shd w:val="clear" w:color="auto" w:fill="FFFFFF"/>
          <w:lang w:val="zh-CN"/>
        </w:rPr>
        <w:t>明确目标任务</w:t>
      </w:r>
      <w:r>
        <w:rPr>
          <w:rFonts w:ascii="仿宋_GB2312" w:hAnsi="Calibri" w:eastAsia="仿宋_GB2312"/>
          <w:sz w:val="32"/>
          <w:szCs w:val="32"/>
          <w:shd w:val="clear" w:color="auto" w:fill="FFFFFF"/>
          <w:lang w:val="zh-CN"/>
        </w:rPr>
        <w:t>,</w:t>
      </w:r>
      <w:r>
        <w:rPr>
          <w:rFonts w:hint="eastAsia" w:ascii="仿宋_GB2312" w:hAnsi="Calibri" w:eastAsia="仿宋_GB2312"/>
          <w:sz w:val="32"/>
          <w:szCs w:val="32"/>
          <w:shd w:val="clear" w:color="auto" w:fill="FFFFFF"/>
          <w:lang w:val="zh-CN"/>
        </w:rPr>
        <w:t>细化工作方案</w:t>
      </w:r>
      <w:r>
        <w:rPr>
          <w:rFonts w:ascii="仿宋_GB2312" w:hAnsi="Calibri" w:eastAsia="仿宋_GB2312"/>
          <w:sz w:val="32"/>
          <w:szCs w:val="32"/>
          <w:shd w:val="clear" w:color="auto" w:fill="FFFFFF"/>
          <w:lang w:val="zh-CN"/>
        </w:rPr>
        <w:t>,</w:t>
      </w:r>
      <w:r>
        <w:rPr>
          <w:rFonts w:hint="eastAsia" w:ascii="仿宋_GB2312" w:hAnsi="Calibri" w:eastAsia="仿宋_GB2312"/>
          <w:sz w:val="32"/>
          <w:szCs w:val="32"/>
          <w:shd w:val="clear" w:color="auto" w:fill="FFFFFF"/>
          <w:lang w:val="zh-CN"/>
        </w:rPr>
        <w:t>扎实有序做好项目前期工作</w:t>
      </w:r>
      <w:r>
        <w:rPr>
          <w:rFonts w:ascii="仿宋_GB2312" w:hAnsi="Calibri" w:eastAsia="仿宋_GB2312"/>
          <w:sz w:val="32"/>
          <w:szCs w:val="32"/>
          <w:shd w:val="clear" w:color="auto" w:fill="FFFFFF"/>
          <w:lang w:val="zh-CN"/>
        </w:rPr>
        <w:t>,</w:t>
      </w:r>
      <w:r>
        <w:rPr>
          <w:rFonts w:hint="eastAsia" w:ascii="仿宋_GB2312" w:hAnsi="Calibri" w:eastAsia="仿宋_GB2312"/>
          <w:sz w:val="32"/>
          <w:szCs w:val="32"/>
          <w:shd w:val="clear" w:color="auto" w:fill="FFFFFF"/>
          <w:lang w:val="zh-CN"/>
        </w:rPr>
        <w:t>加强与财政、发改、审计等部门的衔接，加快水利项目实施进度。</w:t>
      </w:r>
    </w:p>
    <w:p>
      <w:pPr>
        <w:widowControl/>
        <w:shd w:val="clear" w:color="auto" w:fill="FFFFFF"/>
        <w:spacing w:line="600" w:lineRule="exact"/>
        <w:ind w:firstLine="640" w:firstLineChars="200"/>
        <w:jc w:val="left"/>
        <w:rPr>
          <w:rFonts w:ascii="仿宋_GB2312" w:hAnsi="Calibri" w:eastAsia="仿宋_GB2312"/>
          <w:sz w:val="32"/>
          <w:szCs w:val="32"/>
          <w:shd w:val="clear" w:color="auto" w:fill="FFFFFF"/>
          <w:lang w:val="zh-CN"/>
        </w:rPr>
      </w:pPr>
      <w:r>
        <w:rPr>
          <w:rFonts w:ascii="仿宋_GB2312" w:hAnsi="Calibri" w:eastAsia="仿宋_GB2312"/>
          <w:sz w:val="32"/>
          <w:szCs w:val="32"/>
          <w:shd w:val="clear" w:color="auto" w:fill="FFFFFF"/>
          <w:lang w:val="zh-CN"/>
        </w:rPr>
        <w:t>2</w:t>
      </w:r>
      <w:r>
        <w:rPr>
          <w:rFonts w:hint="eastAsia" w:ascii="仿宋_GB2312" w:hAnsi="Calibri" w:eastAsia="仿宋_GB2312"/>
          <w:sz w:val="32"/>
          <w:szCs w:val="32"/>
          <w:shd w:val="clear" w:color="auto" w:fill="FFFFFF"/>
          <w:lang w:val="zh-CN"/>
        </w:rPr>
        <w:t>、探索建立标准化的部门绩效目标指标体系，加大对下属单位绩效管理指导，共同提高部门整体绩效评价质量。</w:t>
      </w:r>
    </w:p>
    <w:p>
      <w:pPr>
        <w:widowControl/>
        <w:shd w:val="clear" w:color="auto" w:fill="FFFFFF"/>
        <w:spacing w:line="600" w:lineRule="exact"/>
        <w:ind w:firstLine="640" w:firstLineChars="200"/>
        <w:jc w:val="left"/>
        <w:rPr>
          <w:rFonts w:ascii="仿宋_GB2312" w:hAnsi="Calibri" w:eastAsia="仿宋_GB2312"/>
          <w:sz w:val="32"/>
          <w:szCs w:val="32"/>
          <w:shd w:val="clear" w:color="auto" w:fill="FFFFFF"/>
          <w:lang w:val="zh-CN"/>
        </w:rPr>
      </w:pPr>
    </w:p>
    <w:p>
      <w:pPr>
        <w:widowControl/>
        <w:shd w:val="clear" w:color="auto" w:fill="FFFFFF"/>
        <w:spacing w:line="600" w:lineRule="exact"/>
        <w:ind w:firstLine="640" w:firstLineChars="200"/>
        <w:jc w:val="left"/>
        <w:rPr>
          <w:rFonts w:ascii="仿宋_GB2312" w:hAnsi="Calibri" w:eastAsia="仿宋_GB2312"/>
          <w:sz w:val="32"/>
          <w:szCs w:val="32"/>
          <w:shd w:val="clear" w:color="auto" w:fill="FFFFFF"/>
          <w:lang w:val="zh-CN"/>
        </w:rPr>
      </w:pPr>
    </w:p>
    <w:p>
      <w:pPr>
        <w:widowControl/>
        <w:ind w:firstLine="1446" w:firstLineChars="450"/>
        <w:jc w:val="left"/>
        <w:rPr>
          <w:rFonts w:ascii="宋体"/>
          <w:sz w:val="32"/>
          <w:szCs w:val="32"/>
          <w:shd w:val="clear" w:color="auto" w:fill="FFFFFF"/>
          <w:lang w:val="zh-CN"/>
        </w:rPr>
      </w:pPr>
      <w:bookmarkStart w:id="61" w:name="_Toc15396618"/>
      <w:r>
        <w:rPr>
          <w:rFonts w:ascii="宋体" w:hAnsi="宋体"/>
          <w:b/>
          <w:sz w:val="32"/>
          <w:szCs w:val="32"/>
          <w:shd w:val="clear" w:color="auto" w:fill="FFFFFF"/>
          <w:lang w:val="zh-CN"/>
        </w:rPr>
        <w:t>2018</w:t>
      </w:r>
      <w:r>
        <w:rPr>
          <w:rFonts w:hint="eastAsia" w:ascii="宋体" w:hAnsi="宋体"/>
          <w:b/>
          <w:sz w:val="32"/>
          <w:szCs w:val="32"/>
          <w:shd w:val="clear" w:color="auto" w:fill="FFFFFF"/>
          <w:lang w:val="zh-CN"/>
        </w:rPr>
        <w:t>年部门整体支出绩效评价得分表</w:t>
      </w:r>
    </w:p>
    <w:tbl>
      <w:tblPr>
        <w:tblStyle w:val="13"/>
        <w:tblW w:w="0" w:type="auto"/>
        <w:jc w:val="center"/>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autofit"/>
        <w:tblCellMar>
          <w:top w:w="0" w:type="dxa"/>
          <w:left w:w="0" w:type="dxa"/>
          <w:bottom w:w="0" w:type="dxa"/>
          <w:right w:w="0" w:type="dxa"/>
        </w:tblCellMar>
      </w:tblPr>
      <w:tblGrid>
        <w:gridCol w:w="1509"/>
        <w:gridCol w:w="1996"/>
        <w:gridCol w:w="2955"/>
        <w:gridCol w:w="1868"/>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jc w:val="center"/>
        </w:trPr>
        <w:tc>
          <w:tcPr>
            <w:tcW w:w="1695" w:type="dxa"/>
            <w:tcBorders>
              <w:top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r>
              <w:rPr>
                <w:rFonts w:hint="eastAsia" w:ascii="宋体,微软雅黑" w:hAnsi="宋体" w:eastAsia="宋体,微软雅黑" w:cs="宋体"/>
                <w:color w:val="000000"/>
                <w:kern w:val="0"/>
              </w:rPr>
              <w:t>一级指标</w:t>
            </w:r>
          </w:p>
        </w:tc>
        <w:tc>
          <w:tcPr>
            <w:tcW w:w="2265"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r>
              <w:rPr>
                <w:rFonts w:hint="eastAsia" w:ascii="宋体,微软雅黑" w:hAnsi="宋体" w:eastAsia="宋体,微软雅黑" w:cs="宋体"/>
                <w:color w:val="000000"/>
                <w:kern w:val="0"/>
              </w:rPr>
              <w:t>二级指标</w:t>
            </w:r>
          </w:p>
        </w:tc>
        <w:tc>
          <w:tcPr>
            <w:tcW w:w="33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r>
              <w:rPr>
                <w:rFonts w:hint="eastAsia" w:ascii="宋体,微软雅黑" w:hAnsi="宋体" w:eastAsia="宋体,微软雅黑" w:cs="宋体"/>
                <w:color w:val="000000"/>
                <w:kern w:val="0"/>
              </w:rPr>
              <w:t>三级指标</w:t>
            </w:r>
          </w:p>
        </w:tc>
        <w:tc>
          <w:tcPr>
            <w:tcW w:w="2115" w:type="dxa"/>
            <w:tcBorders>
              <w:top w:val="single" w:color="000000" w:sz="6" w:space="0"/>
              <w:left w:val="single" w:color="000000" w:sz="6" w:space="0"/>
              <w:bottom w:val="single" w:color="000000" w:sz="6" w:space="0"/>
            </w:tcBorders>
            <w:shd w:val="clear" w:color="auto" w:fill="FFFFFF"/>
          </w:tcPr>
          <w:p>
            <w:pPr>
              <w:widowControl/>
              <w:jc w:val="left"/>
              <w:rPr>
                <w:rFonts w:ascii="宋体,微软雅黑" w:hAnsi="宋体" w:eastAsia="宋体,微软雅黑" w:cs="宋体"/>
                <w:color w:val="000000"/>
                <w:kern w:val="0"/>
                <w:szCs w:val="21"/>
              </w:rPr>
            </w:pPr>
            <w:r>
              <w:rPr>
                <w:rFonts w:hint="eastAsia" w:ascii="宋体,微软雅黑" w:hAnsi="宋体" w:eastAsia="宋体,微软雅黑" w:cs="宋体"/>
                <w:color w:val="000000"/>
                <w:kern w:val="0"/>
              </w:rPr>
              <w:t>得分</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jc w:val="center"/>
        </w:trPr>
        <w:tc>
          <w:tcPr>
            <w:tcW w:w="1695" w:type="dxa"/>
            <w:vMerge w:val="restart"/>
            <w:tcBorders>
              <w:top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r>
              <w:rPr>
                <w:rFonts w:hint="eastAsia" w:ascii="宋体,微软雅黑" w:hAnsi="宋体" w:eastAsia="宋体,微软雅黑" w:cs="宋体"/>
                <w:color w:val="000000"/>
                <w:kern w:val="0"/>
              </w:rPr>
              <w:t>部门决策（</w:t>
            </w:r>
            <w:r>
              <w:rPr>
                <w:rFonts w:ascii="宋体,微软雅黑" w:hAnsi="宋体" w:eastAsia="宋体,微软雅黑" w:cs="宋体"/>
                <w:color w:val="000000"/>
                <w:kern w:val="0"/>
              </w:rPr>
              <w:t>25</w:t>
            </w:r>
            <w:r>
              <w:rPr>
                <w:rFonts w:hint="eastAsia" w:ascii="宋体,微软雅黑" w:hAnsi="宋体" w:eastAsia="宋体,微软雅黑" w:cs="宋体"/>
                <w:color w:val="000000"/>
                <w:kern w:val="0"/>
              </w:rPr>
              <w:t>分）</w:t>
            </w:r>
          </w:p>
        </w:tc>
        <w:tc>
          <w:tcPr>
            <w:tcW w:w="2265"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r>
              <w:rPr>
                <w:rFonts w:hint="eastAsia" w:ascii="宋体,微软雅黑" w:hAnsi="宋体" w:eastAsia="宋体,微软雅黑" w:cs="宋体"/>
                <w:color w:val="000000"/>
                <w:kern w:val="0"/>
              </w:rPr>
              <w:t>目标任务（</w:t>
            </w:r>
            <w:r>
              <w:rPr>
                <w:rFonts w:ascii="宋体,微软雅黑" w:hAnsi="宋体" w:eastAsia="宋体,微软雅黑" w:cs="宋体"/>
                <w:color w:val="000000"/>
                <w:kern w:val="0"/>
              </w:rPr>
              <w:t>15</w:t>
            </w:r>
            <w:r>
              <w:rPr>
                <w:rFonts w:hint="eastAsia" w:ascii="宋体,微软雅黑" w:hAnsi="宋体" w:eastAsia="宋体,微软雅黑" w:cs="宋体"/>
                <w:color w:val="000000"/>
                <w:kern w:val="0"/>
              </w:rPr>
              <w:t>分）</w:t>
            </w:r>
          </w:p>
        </w:tc>
        <w:tc>
          <w:tcPr>
            <w:tcW w:w="33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r>
              <w:rPr>
                <w:rFonts w:hint="eastAsia" w:ascii="宋体,微软雅黑" w:hAnsi="宋体" w:eastAsia="宋体,微软雅黑" w:cs="宋体"/>
                <w:color w:val="000000"/>
                <w:kern w:val="0"/>
              </w:rPr>
              <w:t>相关性（</w:t>
            </w:r>
            <w:r>
              <w:rPr>
                <w:rFonts w:ascii="宋体,微软雅黑" w:hAnsi="宋体" w:eastAsia="宋体,微软雅黑" w:cs="宋体"/>
                <w:color w:val="000000"/>
                <w:kern w:val="0"/>
              </w:rPr>
              <w:t>5</w:t>
            </w:r>
            <w:r>
              <w:rPr>
                <w:rFonts w:hint="eastAsia" w:ascii="宋体,微软雅黑" w:hAnsi="宋体" w:eastAsia="宋体,微软雅黑" w:cs="宋体"/>
                <w:color w:val="000000"/>
                <w:kern w:val="0"/>
              </w:rPr>
              <w:t>分）</w:t>
            </w:r>
          </w:p>
        </w:tc>
        <w:tc>
          <w:tcPr>
            <w:tcW w:w="2115" w:type="dxa"/>
            <w:tcBorders>
              <w:top w:val="single" w:color="000000" w:sz="6" w:space="0"/>
              <w:left w:val="single" w:color="000000" w:sz="6" w:space="0"/>
              <w:bottom w:val="single" w:color="000000" w:sz="6" w:space="0"/>
            </w:tcBorders>
            <w:shd w:val="clear" w:color="auto" w:fill="FFFFFF"/>
          </w:tcPr>
          <w:p>
            <w:pPr>
              <w:widowControl/>
              <w:jc w:val="left"/>
              <w:rPr>
                <w:rFonts w:ascii="宋体,微软雅黑" w:hAnsi="宋体" w:eastAsia="宋体,微软雅黑" w:cs="宋体"/>
                <w:color w:val="000000"/>
                <w:kern w:val="0"/>
                <w:szCs w:val="21"/>
              </w:rPr>
            </w:pPr>
            <w:r>
              <w:rPr>
                <w:rFonts w:ascii="宋体,微软雅黑" w:hAnsi="宋体" w:eastAsia="宋体,微软雅黑" w:cs="宋体"/>
                <w:color w:val="000000"/>
                <w:kern w:val="0"/>
              </w:rPr>
              <w:t>5</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jc w:val="center"/>
        </w:trPr>
        <w:tc>
          <w:tcPr>
            <w:tcW w:w="0" w:type="auto"/>
            <w:vMerge w:val="continue"/>
            <w:tcBorders>
              <w:top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p>
        </w:tc>
        <w:tc>
          <w:tcPr>
            <w:tcW w:w="33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r>
              <w:rPr>
                <w:rFonts w:hint="eastAsia" w:ascii="宋体,微软雅黑" w:hAnsi="宋体" w:eastAsia="宋体,微软雅黑" w:cs="宋体"/>
                <w:color w:val="000000"/>
                <w:kern w:val="0"/>
              </w:rPr>
              <w:t>明确性（</w:t>
            </w:r>
            <w:r>
              <w:rPr>
                <w:rFonts w:ascii="宋体,微软雅黑" w:hAnsi="宋体" w:eastAsia="宋体,微软雅黑" w:cs="宋体"/>
                <w:color w:val="000000"/>
                <w:kern w:val="0"/>
              </w:rPr>
              <w:t>5</w:t>
            </w:r>
            <w:r>
              <w:rPr>
                <w:rFonts w:hint="eastAsia" w:ascii="宋体,微软雅黑" w:hAnsi="宋体" w:eastAsia="宋体,微软雅黑" w:cs="宋体"/>
                <w:color w:val="000000"/>
                <w:kern w:val="0"/>
              </w:rPr>
              <w:t>分）</w:t>
            </w:r>
          </w:p>
        </w:tc>
        <w:tc>
          <w:tcPr>
            <w:tcW w:w="2115" w:type="dxa"/>
            <w:tcBorders>
              <w:top w:val="single" w:color="000000" w:sz="6" w:space="0"/>
              <w:left w:val="single" w:color="000000" w:sz="6" w:space="0"/>
              <w:bottom w:val="single" w:color="000000" w:sz="6" w:space="0"/>
            </w:tcBorders>
            <w:shd w:val="clear" w:color="auto" w:fill="FFFFFF"/>
          </w:tcPr>
          <w:p>
            <w:pPr>
              <w:widowControl/>
              <w:jc w:val="left"/>
              <w:rPr>
                <w:rFonts w:ascii="宋体,微软雅黑" w:hAnsi="宋体" w:eastAsia="宋体,微软雅黑" w:cs="宋体"/>
                <w:color w:val="000000"/>
                <w:kern w:val="0"/>
                <w:szCs w:val="21"/>
              </w:rPr>
            </w:pPr>
            <w:r>
              <w:rPr>
                <w:rFonts w:ascii="宋体,微软雅黑" w:hAnsi="宋体" w:eastAsia="宋体,微软雅黑" w:cs="宋体"/>
                <w:color w:val="000000"/>
                <w:kern w:val="0"/>
              </w:rPr>
              <w:t>5</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jc w:val="center"/>
        </w:trPr>
        <w:tc>
          <w:tcPr>
            <w:tcW w:w="0" w:type="auto"/>
            <w:vMerge w:val="continue"/>
            <w:tcBorders>
              <w:top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p>
        </w:tc>
        <w:tc>
          <w:tcPr>
            <w:tcW w:w="33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r>
              <w:rPr>
                <w:rFonts w:hint="eastAsia" w:ascii="宋体,微软雅黑" w:hAnsi="宋体" w:eastAsia="宋体,微软雅黑" w:cs="宋体"/>
                <w:color w:val="000000"/>
                <w:kern w:val="0"/>
              </w:rPr>
              <w:t>合理性（</w:t>
            </w:r>
            <w:r>
              <w:rPr>
                <w:rFonts w:ascii="宋体,微软雅黑" w:hAnsi="宋体" w:eastAsia="宋体,微软雅黑" w:cs="宋体"/>
                <w:color w:val="000000"/>
                <w:kern w:val="0"/>
              </w:rPr>
              <w:t>5</w:t>
            </w:r>
            <w:r>
              <w:rPr>
                <w:rFonts w:hint="eastAsia" w:ascii="宋体,微软雅黑" w:hAnsi="宋体" w:eastAsia="宋体,微软雅黑" w:cs="宋体"/>
                <w:color w:val="000000"/>
                <w:kern w:val="0"/>
              </w:rPr>
              <w:t>分）</w:t>
            </w:r>
          </w:p>
        </w:tc>
        <w:tc>
          <w:tcPr>
            <w:tcW w:w="2115" w:type="dxa"/>
            <w:tcBorders>
              <w:top w:val="single" w:color="000000" w:sz="6" w:space="0"/>
              <w:left w:val="single" w:color="000000" w:sz="6" w:space="0"/>
              <w:bottom w:val="single" w:color="000000" w:sz="6" w:space="0"/>
            </w:tcBorders>
            <w:shd w:val="clear" w:color="auto" w:fill="FFFFFF"/>
          </w:tcPr>
          <w:p>
            <w:pPr>
              <w:widowControl/>
              <w:jc w:val="left"/>
              <w:rPr>
                <w:rFonts w:ascii="宋体,微软雅黑" w:hAnsi="宋体" w:eastAsia="宋体,微软雅黑" w:cs="宋体"/>
                <w:color w:val="000000"/>
                <w:kern w:val="0"/>
                <w:szCs w:val="21"/>
              </w:rPr>
            </w:pPr>
            <w:r>
              <w:rPr>
                <w:rFonts w:ascii="宋体,微软雅黑" w:hAnsi="宋体" w:eastAsia="宋体,微软雅黑" w:cs="宋体"/>
                <w:color w:val="000000"/>
                <w:kern w:val="0"/>
              </w:rPr>
              <w:t>5</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jc w:val="center"/>
        </w:trPr>
        <w:tc>
          <w:tcPr>
            <w:tcW w:w="0" w:type="auto"/>
            <w:vMerge w:val="continue"/>
            <w:tcBorders>
              <w:top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p>
        </w:tc>
        <w:tc>
          <w:tcPr>
            <w:tcW w:w="2265"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r>
              <w:rPr>
                <w:rFonts w:hint="eastAsia" w:ascii="宋体,微软雅黑" w:hAnsi="宋体" w:eastAsia="宋体,微软雅黑" w:cs="宋体"/>
                <w:color w:val="000000"/>
                <w:kern w:val="0"/>
              </w:rPr>
              <w:t>预算编制（</w:t>
            </w:r>
            <w:r>
              <w:rPr>
                <w:rFonts w:ascii="宋体,微软雅黑" w:hAnsi="宋体" w:eastAsia="宋体,微软雅黑" w:cs="宋体"/>
                <w:color w:val="000000"/>
                <w:kern w:val="0"/>
              </w:rPr>
              <w:t>10</w:t>
            </w:r>
            <w:r>
              <w:rPr>
                <w:rFonts w:hint="eastAsia" w:ascii="宋体,微软雅黑" w:hAnsi="宋体" w:eastAsia="宋体,微软雅黑" w:cs="宋体"/>
                <w:color w:val="000000"/>
                <w:kern w:val="0"/>
              </w:rPr>
              <w:t>分）</w:t>
            </w:r>
          </w:p>
        </w:tc>
        <w:tc>
          <w:tcPr>
            <w:tcW w:w="33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r>
              <w:rPr>
                <w:rFonts w:hint="eastAsia" w:ascii="宋体,微软雅黑" w:hAnsi="宋体" w:eastAsia="宋体,微软雅黑" w:cs="宋体"/>
                <w:color w:val="000000"/>
                <w:kern w:val="0"/>
              </w:rPr>
              <w:t>测算依据（</w:t>
            </w:r>
            <w:r>
              <w:rPr>
                <w:rFonts w:ascii="宋体,微软雅黑" w:hAnsi="宋体" w:eastAsia="宋体,微软雅黑" w:cs="宋体"/>
                <w:color w:val="000000"/>
                <w:kern w:val="0"/>
              </w:rPr>
              <w:t>5</w:t>
            </w:r>
            <w:r>
              <w:rPr>
                <w:rFonts w:hint="eastAsia" w:ascii="宋体,微软雅黑" w:hAnsi="宋体" w:eastAsia="宋体,微软雅黑" w:cs="宋体"/>
                <w:color w:val="000000"/>
                <w:kern w:val="0"/>
              </w:rPr>
              <w:t>分）</w:t>
            </w:r>
          </w:p>
        </w:tc>
        <w:tc>
          <w:tcPr>
            <w:tcW w:w="2115" w:type="dxa"/>
            <w:tcBorders>
              <w:top w:val="single" w:color="000000" w:sz="6" w:space="0"/>
              <w:left w:val="single" w:color="000000" w:sz="6" w:space="0"/>
              <w:bottom w:val="single" w:color="000000" w:sz="6" w:space="0"/>
            </w:tcBorders>
            <w:shd w:val="clear" w:color="auto" w:fill="FFFFFF"/>
          </w:tcPr>
          <w:p>
            <w:pPr>
              <w:widowControl/>
              <w:jc w:val="left"/>
              <w:rPr>
                <w:rFonts w:ascii="宋体,微软雅黑" w:hAnsi="宋体" w:eastAsia="宋体,微软雅黑" w:cs="宋体"/>
                <w:color w:val="000000"/>
                <w:kern w:val="0"/>
                <w:szCs w:val="21"/>
              </w:rPr>
            </w:pPr>
            <w:r>
              <w:rPr>
                <w:rFonts w:ascii="宋体,微软雅黑" w:hAnsi="宋体" w:eastAsia="宋体,微软雅黑" w:cs="宋体"/>
                <w:color w:val="000000"/>
                <w:kern w:val="0"/>
              </w:rPr>
              <w:t>4</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jc w:val="center"/>
        </w:trPr>
        <w:tc>
          <w:tcPr>
            <w:tcW w:w="0" w:type="auto"/>
            <w:vMerge w:val="continue"/>
            <w:tcBorders>
              <w:top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p>
        </w:tc>
        <w:tc>
          <w:tcPr>
            <w:tcW w:w="33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r>
              <w:rPr>
                <w:rFonts w:hint="eastAsia" w:ascii="宋体,微软雅黑" w:hAnsi="宋体" w:eastAsia="宋体,微软雅黑" w:cs="宋体"/>
                <w:color w:val="000000"/>
                <w:kern w:val="0"/>
              </w:rPr>
              <w:t>目标管理（</w:t>
            </w:r>
            <w:r>
              <w:rPr>
                <w:rFonts w:ascii="宋体,微软雅黑" w:hAnsi="宋体" w:eastAsia="宋体,微软雅黑" w:cs="宋体"/>
                <w:color w:val="000000"/>
                <w:kern w:val="0"/>
              </w:rPr>
              <w:t>5</w:t>
            </w:r>
            <w:r>
              <w:rPr>
                <w:rFonts w:hint="eastAsia" w:ascii="宋体,微软雅黑" w:hAnsi="宋体" w:eastAsia="宋体,微软雅黑" w:cs="宋体"/>
                <w:color w:val="000000"/>
                <w:kern w:val="0"/>
              </w:rPr>
              <w:t>分）</w:t>
            </w:r>
          </w:p>
        </w:tc>
        <w:tc>
          <w:tcPr>
            <w:tcW w:w="2115" w:type="dxa"/>
            <w:tcBorders>
              <w:top w:val="single" w:color="000000" w:sz="6" w:space="0"/>
              <w:left w:val="single" w:color="000000" w:sz="6" w:space="0"/>
              <w:bottom w:val="single" w:color="000000" w:sz="6" w:space="0"/>
            </w:tcBorders>
            <w:shd w:val="clear" w:color="auto" w:fill="FFFFFF"/>
          </w:tcPr>
          <w:p>
            <w:pPr>
              <w:widowControl/>
              <w:jc w:val="left"/>
              <w:rPr>
                <w:rFonts w:ascii="宋体,微软雅黑" w:hAnsi="宋体" w:eastAsia="宋体,微软雅黑" w:cs="宋体"/>
                <w:color w:val="000000"/>
                <w:kern w:val="0"/>
                <w:szCs w:val="21"/>
              </w:rPr>
            </w:pPr>
            <w:r>
              <w:rPr>
                <w:rFonts w:ascii="宋体,微软雅黑" w:hAnsi="宋体" w:eastAsia="宋体,微软雅黑" w:cs="宋体"/>
                <w:color w:val="000000"/>
                <w:kern w:val="0"/>
              </w:rPr>
              <w:t>5</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jc w:val="center"/>
        </w:trPr>
        <w:tc>
          <w:tcPr>
            <w:tcW w:w="1695" w:type="dxa"/>
            <w:vMerge w:val="restart"/>
            <w:tcBorders>
              <w:top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r>
              <w:rPr>
                <w:rFonts w:hint="eastAsia" w:ascii="宋体,微软雅黑" w:hAnsi="宋体" w:eastAsia="宋体,微软雅黑" w:cs="宋体"/>
                <w:color w:val="000000"/>
                <w:kern w:val="0"/>
              </w:rPr>
              <w:t>综合管理（</w:t>
            </w:r>
            <w:r>
              <w:rPr>
                <w:rFonts w:ascii="宋体,微软雅黑" w:hAnsi="宋体" w:eastAsia="宋体,微软雅黑" w:cs="宋体"/>
                <w:color w:val="000000"/>
                <w:kern w:val="0"/>
              </w:rPr>
              <w:t>30</w:t>
            </w:r>
            <w:r>
              <w:rPr>
                <w:rFonts w:hint="eastAsia" w:ascii="宋体,微软雅黑" w:hAnsi="宋体" w:eastAsia="宋体,微软雅黑" w:cs="宋体"/>
                <w:color w:val="000000"/>
                <w:kern w:val="0"/>
              </w:rPr>
              <w:t>分）</w:t>
            </w:r>
          </w:p>
        </w:tc>
        <w:tc>
          <w:tcPr>
            <w:tcW w:w="2265"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r>
              <w:rPr>
                <w:rFonts w:hint="eastAsia" w:ascii="宋体,微软雅黑" w:hAnsi="宋体" w:eastAsia="宋体,微软雅黑" w:cs="宋体"/>
                <w:color w:val="000000"/>
                <w:kern w:val="0"/>
              </w:rPr>
              <w:t>专项资金分配时限（</w:t>
            </w:r>
            <w:r>
              <w:rPr>
                <w:rFonts w:ascii="宋体,微软雅黑" w:hAnsi="宋体" w:eastAsia="宋体,微软雅黑" w:cs="宋体"/>
                <w:color w:val="000000"/>
                <w:kern w:val="0"/>
              </w:rPr>
              <w:t>2</w:t>
            </w:r>
            <w:r>
              <w:rPr>
                <w:rFonts w:hint="eastAsia" w:ascii="宋体,微软雅黑" w:hAnsi="宋体" w:eastAsia="宋体,微软雅黑" w:cs="宋体"/>
                <w:color w:val="000000"/>
                <w:kern w:val="0"/>
              </w:rPr>
              <w:t>分）</w:t>
            </w:r>
          </w:p>
        </w:tc>
        <w:tc>
          <w:tcPr>
            <w:tcW w:w="33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r>
              <w:rPr>
                <w:rFonts w:hint="eastAsia" w:ascii="宋体,微软雅黑" w:hAnsi="宋体" w:eastAsia="宋体,微软雅黑" w:cs="宋体"/>
                <w:color w:val="000000"/>
                <w:kern w:val="0"/>
              </w:rPr>
              <w:t>省级财力专项预算分配时限（</w:t>
            </w:r>
            <w:r>
              <w:rPr>
                <w:rFonts w:ascii="宋体,微软雅黑" w:hAnsi="宋体" w:eastAsia="宋体,微软雅黑" w:cs="宋体"/>
                <w:color w:val="000000"/>
                <w:kern w:val="0"/>
              </w:rPr>
              <w:t>1</w:t>
            </w:r>
            <w:r>
              <w:rPr>
                <w:rFonts w:hint="eastAsia" w:ascii="宋体,微软雅黑" w:hAnsi="宋体" w:eastAsia="宋体,微软雅黑" w:cs="宋体"/>
                <w:color w:val="000000"/>
                <w:kern w:val="0"/>
              </w:rPr>
              <w:t>分）</w:t>
            </w:r>
          </w:p>
        </w:tc>
        <w:tc>
          <w:tcPr>
            <w:tcW w:w="2115" w:type="dxa"/>
            <w:tcBorders>
              <w:top w:val="single" w:color="000000" w:sz="6" w:space="0"/>
              <w:left w:val="single" w:color="000000" w:sz="6" w:space="0"/>
              <w:bottom w:val="single" w:color="000000" w:sz="6" w:space="0"/>
            </w:tcBorders>
            <w:shd w:val="clear" w:color="auto" w:fill="FFFFFF"/>
          </w:tcPr>
          <w:p>
            <w:pPr>
              <w:widowControl/>
              <w:jc w:val="left"/>
              <w:rPr>
                <w:rFonts w:ascii="宋体,微软雅黑" w:hAnsi="宋体" w:eastAsia="宋体,微软雅黑" w:cs="宋体"/>
                <w:color w:val="000000"/>
                <w:kern w:val="0"/>
                <w:szCs w:val="21"/>
              </w:rPr>
            </w:pPr>
            <w:r>
              <w:rPr>
                <w:rFonts w:hint="eastAsia" w:ascii="宋体,微软雅黑" w:hAnsi="宋体" w:eastAsia="宋体,微软雅黑" w:cs="宋体"/>
                <w:color w:val="000000"/>
                <w:kern w:val="0"/>
              </w:rPr>
              <w:t>不适用</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jc w:val="center"/>
        </w:trPr>
        <w:tc>
          <w:tcPr>
            <w:tcW w:w="0" w:type="auto"/>
            <w:vMerge w:val="continue"/>
            <w:tcBorders>
              <w:top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p>
        </w:tc>
        <w:tc>
          <w:tcPr>
            <w:tcW w:w="33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r>
              <w:rPr>
                <w:rFonts w:hint="eastAsia" w:ascii="宋体,微软雅黑" w:hAnsi="宋体" w:eastAsia="宋体,微软雅黑" w:cs="宋体"/>
                <w:color w:val="000000"/>
                <w:kern w:val="0"/>
              </w:rPr>
              <w:t>中央专款分配合规率（</w:t>
            </w:r>
            <w:r>
              <w:rPr>
                <w:rFonts w:ascii="宋体,微软雅黑" w:hAnsi="宋体" w:eastAsia="宋体,微软雅黑" w:cs="宋体"/>
                <w:color w:val="000000"/>
                <w:kern w:val="0"/>
              </w:rPr>
              <w:t>1</w:t>
            </w:r>
            <w:r>
              <w:rPr>
                <w:rFonts w:hint="eastAsia" w:ascii="宋体,微软雅黑" w:hAnsi="宋体" w:eastAsia="宋体,微软雅黑" w:cs="宋体"/>
                <w:color w:val="000000"/>
                <w:kern w:val="0"/>
              </w:rPr>
              <w:t>分）</w:t>
            </w:r>
          </w:p>
        </w:tc>
        <w:tc>
          <w:tcPr>
            <w:tcW w:w="2115" w:type="dxa"/>
            <w:tcBorders>
              <w:top w:val="single" w:color="000000" w:sz="6" w:space="0"/>
              <w:left w:val="single" w:color="000000" w:sz="6" w:space="0"/>
              <w:bottom w:val="single" w:color="000000" w:sz="6" w:space="0"/>
            </w:tcBorders>
            <w:shd w:val="clear" w:color="auto" w:fill="FFFFFF"/>
          </w:tcPr>
          <w:p>
            <w:pPr>
              <w:widowControl/>
              <w:jc w:val="left"/>
              <w:rPr>
                <w:rFonts w:ascii="宋体,微软雅黑" w:hAnsi="宋体" w:eastAsia="宋体,微软雅黑" w:cs="宋体"/>
                <w:color w:val="000000"/>
                <w:kern w:val="0"/>
                <w:szCs w:val="21"/>
              </w:rPr>
            </w:pPr>
            <w:r>
              <w:rPr>
                <w:rFonts w:hint="eastAsia" w:ascii="宋体,微软雅黑" w:hAnsi="宋体" w:eastAsia="宋体,微软雅黑" w:cs="宋体"/>
                <w:color w:val="000000"/>
                <w:kern w:val="0"/>
              </w:rPr>
              <w:t>不适用</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jc w:val="center"/>
        </w:trPr>
        <w:tc>
          <w:tcPr>
            <w:tcW w:w="0" w:type="auto"/>
            <w:vMerge w:val="continue"/>
            <w:tcBorders>
              <w:top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p>
        </w:tc>
        <w:tc>
          <w:tcPr>
            <w:tcW w:w="2265"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r>
              <w:rPr>
                <w:rFonts w:hint="eastAsia" w:ascii="宋体,微软雅黑" w:hAnsi="宋体" w:eastAsia="宋体,微软雅黑" w:cs="宋体"/>
                <w:color w:val="000000"/>
                <w:kern w:val="0"/>
              </w:rPr>
              <w:t>中期评估（</w:t>
            </w:r>
            <w:r>
              <w:rPr>
                <w:rFonts w:ascii="宋体,微软雅黑" w:hAnsi="宋体" w:eastAsia="宋体,微软雅黑" w:cs="宋体"/>
                <w:color w:val="000000"/>
                <w:kern w:val="0"/>
              </w:rPr>
              <w:t>2</w:t>
            </w:r>
            <w:r>
              <w:rPr>
                <w:rFonts w:hint="eastAsia" w:ascii="宋体,微软雅黑" w:hAnsi="宋体" w:eastAsia="宋体,微软雅黑" w:cs="宋体"/>
                <w:color w:val="000000"/>
                <w:kern w:val="0"/>
              </w:rPr>
              <w:t>分）</w:t>
            </w:r>
          </w:p>
        </w:tc>
        <w:tc>
          <w:tcPr>
            <w:tcW w:w="33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r>
              <w:rPr>
                <w:rFonts w:hint="eastAsia" w:ascii="宋体,微软雅黑" w:hAnsi="宋体" w:eastAsia="宋体,微软雅黑" w:cs="宋体"/>
                <w:color w:val="000000"/>
                <w:kern w:val="0"/>
              </w:rPr>
              <w:t>执行中期评估（</w:t>
            </w:r>
            <w:r>
              <w:rPr>
                <w:rFonts w:ascii="宋体,微软雅黑" w:hAnsi="宋体" w:eastAsia="宋体,微软雅黑" w:cs="宋体"/>
                <w:color w:val="000000"/>
                <w:kern w:val="0"/>
              </w:rPr>
              <w:t>2</w:t>
            </w:r>
            <w:r>
              <w:rPr>
                <w:rFonts w:hint="eastAsia" w:ascii="宋体,微软雅黑" w:hAnsi="宋体" w:eastAsia="宋体,微软雅黑" w:cs="宋体"/>
                <w:color w:val="000000"/>
                <w:kern w:val="0"/>
              </w:rPr>
              <w:t>分）</w:t>
            </w:r>
          </w:p>
        </w:tc>
        <w:tc>
          <w:tcPr>
            <w:tcW w:w="2115" w:type="dxa"/>
            <w:tcBorders>
              <w:top w:val="single" w:color="000000" w:sz="6" w:space="0"/>
              <w:left w:val="single" w:color="000000" w:sz="6" w:space="0"/>
              <w:bottom w:val="single" w:color="000000" w:sz="6" w:space="0"/>
            </w:tcBorders>
            <w:shd w:val="clear" w:color="auto" w:fill="FFFFFF"/>
          </w:tcPr>
          <w:p>
            <w:pPr>
              <w:widowControl/>
              <w:jc w:val="left"/>
              <w:rPr>
                <w:rFonts w:ascii="宋体,微软雅黑" w:hAnsi="宋体" w:eastAsia="宋体,微软雅黑" w:cs="宋体"/>
                <w:color w:val="000000"/>
                <w:kern w:val="0"/>
                <w:szCs w:val="21"/>
              </w:rPr>
            </w:pPr>
            <w:r>
              <w:rPr>
                <w:rFonts w:ascii="宋体,微软雅黑" w:hAnsi="宋体" w:eastAsia="宋体,微软雅黑" w:cs="宋体"/>
                <w:color w:val="000000"/>
                <w:kern w:val="0"/>
              </w:rPr>
              <w:t>1.93</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jc w:val="center"/>
        </w:trPr>
        <w:tc>
          <w:tcPr>
            <w:tcW w:w="0" w:type="auto"/>
            <w:vMerge w:val="continue"/>
            <w:tcBorders>
              <w:top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p>
        </w:tc>
        <w:tc>
          <w:tcPr>
            <w:tcW w:w="2265"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r>
              <w:rPr>
                <w:rFonts w:hint="eastAsia" w:ascii="宋体,微软雅黑" w:hAnsi="宋体" w:eastAsia="宋体,微软雅黑" w:cs="宋体"/>
                <w:color w:val="000000"/>
                <w:kern w:val="0"/>
              </w:rPr>
              <w:t>绩效监控（</w:t>
            </w:r>
            <w:r>
              <w:rPr>
                <w:rFonts w:ascii="宋体,微软雅黑" w:hAnsi="宋体" w:eastAsia="宋体,微软雅黑" w:cs="宋体"/>
                <w:color w:val="000000"/>
                <w:kern w:val="0"/>
              </w:rPr>
              <w:t>5</w:t>
            </w:r>
            <w:r>
              <w:rPr>
                <w:rFonts w:hint="eastAsia" w:ascii="宋体,微软雅黑" w:hAnsi="宋体" w:eastAsia="宋体,微软雅黑" w:cs="宋体"/>
                <w:color w:val="000000"/>
                <w:kern w:val="0"/>
              </w:rPr>
              <w:t>分）</w:t>
            </w:r>
          </w:p>
        </w:tc>
        <w:tc>
          <w:tcPr>
            <w:tcW w:w="33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r>
              <w:rPr>
                <w:rFonts w:hint="eastAsia" w:ascii="宋体,微软雅黑" w:hAnsi="宋体" w:eastAsia="宋体,微软雅黑" w:cs="宋体"/>
                <w:color w:val="000000"/>
                <w:kern w:val="0"/>
              </w:rPr>
              <w:t>预算执行进度监控（</w:t>
            </w:r>
            <w:r>
              <w:rPr>
                <w:rFonts w:ascii="宋体,微软雅黑" w:hAnsi="宋体" w:eastAsia="宋体,微软雅黑" w:cs="宋体"/>
                <w:color w:val="000000"/>
                <w:kern w:val="0"/>
              </w:rPr>
              <w:t>2</w:t>
            </w:r>
            <w:r>
              <w:rPr>
                <w:rFonts w:hint="eastAsia" w:ascii="宋体,微软雅黑" w:hAnsi="宋体" w:eastAsia="宋体,微软雅黑" w:cs="宋体"/>
                <w:color w:val="000000"/>
                <w:kern w:val="0"/>
              </w:rPr>
              <w:t>分）</w:t>
            </w:r>
          </w:p>
        </w:tc>
        <w:tc>
          <w:tcPr>
            <w:tcW w:w="2115" w:type="dxa"/>
            <w:tcBorders>
              <w:top w:val="single" w:color="000000" w:sz="6" w:space="0"/>
              <w:left w:val="single" w:color="000000" w:sz="6" w:space="0"/>
              <w:bottom w:val="single" w:color="000000" w:sz="6" w:space="0"/>
            </w:tcBorders>
            <w:shd w:val="clear" w:color="auto" w:fill="FFFFFF"/>
          </w:tcPr>
          <w:p>
            <w:pPr>
              <w:widowControl/>
              <w:jc w:val="left"/>
              <w:rPr>
                <w:rFonts w:ascii="宋体,微软雅黑" w:hAnsi="宋体" w:eastAsia="宋体,微软雅黑" w:cs="宋体"/>
                <w:color w:val="000000"/>
                <w:kern w:val="0"/>
                <w:szCs w:val="21"/>
              </w:rPr>
            </w:pPr>
            <w:r>
              <w:rPr>
                <w:rFonts w:ascii="宋体,微软雅黑" w:hAnsi="宋体" w:eastAsia="宋体,微软雅黑" w:cs="宋体"/>
                <w:color w:val="000000"/>
                <w:kern w:val="0"/>
              </w:rPr>
              <w:t>2</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jc w:val="center"/>
        </w:trPr>
        <w:tc>
          <w:tcPr>
            <w:tcW w:w="0" w:type="auto"/>
            <w:vMerge w:val="continue"/>
            <w:tcBorders>
              <w:top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p>
        </w:tc>
        <w:tc>
          <w:tcPr>
            <w:tcW w:w="33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r>
              <w:rPr>
                <w:rFonts w:hint="eastAsia" w:ascii="宋体,微软雅黑" w:hAnsi="宋体" w:eastAsia="宋体,微软雅黑" w:cs="宋体"/>
                <w:color w:val="000000"/>
                <w:kern w:val="0"/>
              </w:rPr>
              <w:t>绩效目标动态监控（</w:t>
            </w:r>
            <w:r>
              <w:rPr>
                <w:rFonts w:ascii="宋体,微软雅黑" w:hAnsi="宋体" w:eastAsia="宋体,微软雅黑" w:cs="宋体"/>
                <w:color w:val="000000"/>
                <w:kern w:val="0"/>
              </w:rPr>
              <w:t>3</w:t>
            </w:r>
            <w:r>
              <w:rPr>
                <w:rFonts w:hint="eastAsia" w:ascii="宋体,微软雅黑" w:hAnsi="宋体" w:eastAsia="宋体,微软雅黑" w:cs="宋体"/>
                <w:color w:val="000000"/>
                <w:kern w:val="0"/>
              </w:rPr>
              <w:t>分）</w:t>
            </w:r>
          </w:p>
        </w:tc>
        <w:tc>
          <w:tcPr>
            <w:tcW w:w="2115" w:type="dxa"/>
            <w:tcBorders>
              <w:top w:val="single" w:color="000000" w:sz="6" w:space="0"/>
              <w:left w:val="single" w:color="000000" w:sz="6" w:space="0"/>
              <w:bottom w:val="single" w:color="000000" w:sz="6" w:space="0"/>
            </w:tcBorders>
            <w:shd w:val="clear" w:color="auto" w:fill="FFFFFF"/>
          </w:tcPr>
          <w:p>
            <w:pPr>
              <w:widowControl/>
              <w:jc w:val="left"/>
              <w:rPr>
                <w:rFonts w:ascii="宋体,微软雅黑" w:hAnsi="宋体" w:eastAsia="宋体,微软雅黑" w:cs="宋体"/>
                <w:color w:val="000000"/>
                <w:kern w:val="0"/>
                <w:szCs w:val="21"/>
              </w:rPr>
            </w:pPr>
            <w:r>
              <w:rPr>
                <w:rFonts w:ascii="宋体,微软雅黑" w:hAnsi="宋体" w:eastAsia="宋体,微软雅黑" w:cs="宋体"/>
                <w:color w:val="000000"/>
                <w:kern w:val="0"/>
              </w:rPr>
              <w:t>1</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jc w:val="center"/>
        </w:trPr>
        <w:tc>
          <w:tcPr>
            <w:tcW w:w="0" w:type="auto"/>
            <w:vMerge w:val="continue"/>
            <w:tcBorders>
              <w:top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p>
        </w:tc>
        <w:tc>
          <w:tcPr>
            <w:tcW w:w="2265"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r>
              <w:rPr>
                <w:rFonts w:hint="eastAsia" w:ascii="宋体,微软雅黑" w:hAnsi="宋体" w:eastAsia="宋体,微软雅黑" w:cs="宋体"/>
                <w:color w:val="000000"/>
                <w:kern w:val="0"/>
              </w:rPr>
              <w:t>非税收入执收情况（</w:t>
            </w:r>
            <w:r>
              <w:rPr>
                <w:rFonts w:ascii="宋体,微软雅黑" w:hAnsi="宋体" w:eastAsia="宋体,微软雅黑" w:cs="宋体"/>
                <w:color w:val="000000"/>
                <w:kern w:val="0"/>
              </w:rPr>
              <w:t>2</w:t>
            </w:r>
            <w:r>
              <w:rPr>
                <w:rFonts w:hint="eastAsia" w:ascii="宋体,微软雅黑" w:hAnsi="宋体" w:eastAsia="宋体,微软雅黑" w:cs="宋体"/>
                <w:color w:val="000000"/>
                <w:kern w:val="0"/>
              </w:rPr>
              <w:t>分）</w:t>
            </w:r>
          </w:p>
        </w:tc>
        <w:tc>
          <w:tcPr>
            <w:tcW w:w="33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r>
              <w:rPr>
                <w:rFonts w:hint="eastAsia" w:ascii="宋体,微软雅黑" w:hAnsi="宋体" w:eastAsia="宋体,微软雅黑" w:cs="宋体"/>
                <w:color w:val="000000"/>
                <w:kern w:val="0"/>
              </w:rPr>
              <w:t>非税收入征收情况（</w:t>
            </w:r>
            <w:r>
              <w:rPr>
                <w:rFonts w:ascii="宋体,微软雅黑" w:hAnsi="宋体" w:eastAsia="宋体,微软雅黑" w:cs="宋体"/>
                <w:color w:val="000000"/>
                <w:kern w:val="0"/>
              </w:rPr>
              <w:t>1</w:t>
            </w:r>
            <w:r>
              <w:rPr>
                <w:rFonts w:hint="eastAsia" w:ascii="宋体,微软雅黑" w:hAnsi="宋体" w:eastAsia="宋体,微软雅黑" w:cs="宋体"/>
                <w:color w:val="000000"/>
                <w:kern w:val="0"/>
              </w:rPr>
              <w:t>分）</w:t>
            </w:r>
          </w:p>
        </w:tc>
        <w:tc>
          <w:tcPr>
            <w:tcW w:w="2115" w:type="dxa"/>
            <w:tcBorders>
              <w:top w:val="single" w:color="000000" w:sz="6" w:space="0"/>
              <w:left w:val="single" w:color="000000" w:sz="6" w:space="0"/>
              <w:bottom w:val="single" w:color="000000" w:sz="6" w:space="0"/>
            </w:tcBorders>
            <w:shd w:val="clear" w:color="auto" w:fill="FFFFFF"/>
          </w:tcPr>
          <w:p>
            <w:pPr>
              <w:widowControl/>
              <w:jc w:val="left"/>
              <w:rPr>
                <w:rFonts w:ascii="宋体,微软雅黑" w:hAnsi="宋体" w:eastAsia="宋体,微软雅黑" w:cs="宋体"/>
                <w:color w:val="000000"/>
                <w:kern w:val="0"/>
                <w:szCs w:val="21"/>
              </w:rPr>
            </w:pPr>
            <w:r>
              <w:rPr>
                <w:rFonts w:ascii="宋体,微软雅黑" w:hAnsi="宋体" w:eastAsia="宋体,微软雅黑" w:cs="宋体"/>
                <w:color w:val="000000"/>
                <w:kern w:val="0"/>
              </w:rPr>
              <w:t>1</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jc w:val="center"/>
        </w:trPr>
        <w:tc>
          <w:tcPr>
            <w:tcW w:w="0" w:type="auto"/>
            <w:vMerge w:val="continue"/>
            <w:tcBorders>
              <w:top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p>
        </w:tc>
        <w:tc>
          <w:tcPr>
            <w:tcW w:w="33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r>
              <w:rPr>
                <w:rFonts w:hint="eastAsia" w:ascii="宋体,微软雅黑" w:hAnsi="宋体" w:eastAsia="宋体,微软雅黑" w:cs="宋体"/>
                <w:color w:val="000000"/>
                <w:kern w:val="0"/>
              </w:rPr>
              <w:t>非税收入上缴情况（</w:t>
            </w:r>
            <w:r>
              <w:rPr>
                <w:rFonts w:ascii="宋体,微软雅黑" w:hAnsi="宋体" w:eastAsia="宋体,微软雅黑" w:cs="宋体"/>
                <w:color w:val="000000"/>
                <w:kern w:val="0"/>
              </w:rPr>
              <w:t>1</w:t>
            </w:r>
            <w:r>
              <w:rPr>
                <w:rFonts w:hint="eastAsia" w:ascii="宋体,微软雅黑" w:hAnsi="宋体" w:eastAsia="宋体,微软雅黑" w:cs="宋体"/>
                <w:color w:val="000000"/>
                <w:kern w:val="0"/>
              </w:rPr>
              <w:t>分）</w:t>
            </w:r>
          </w:p>
        </w:tc>
        <w:tc>
          <w:tcPr>
            <w:tcW w:w="2115" w:type="dxa"/>
            <w:tcBorders>
              <w:top w:val="single" w:color="000000" w:sz="6" w:space="0"/>
              <w:left w:val="single" w:color="000000" w:sz="6" w:space="0"/>
              <w:bottom w:val="single" w:color="000000" w:sz="6" w:space="0"/>
            </w:tcBorders>
            <w:shd w:val="clear" w:color="auto" w:fill="FFFFFF"/>
          </w:tcPr>
          <w:p>
            <w:pPr>
              <w:widowControl/>
              <w:jc w:val="left"/>
              <w:rPr>
                <w:rFonts w:ascii="宋体,微软雅黑" w:hAnsi="宋体" w:eastAsia="宋体,微软雅黑" w:cs="宋体"/>
                <w:color w:val="000000"/>
                <w:kern w:val="0"/>
                <w:szCs w:val="21"/>
              </w:rPr>
            </w:pPr>
            <w:r>
              <w:rPr>
                <w:rFonts w:ascii="宋体,微软雅黑" w:hAnsi="宋体" w:eastAsia="宋体,微软雅黑" w:cs="宋体"/>
                <w:color w:val="000000"/>
                <w:kern w:val="0"/>
              </w:rPr>
              <w:t>1</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jc w:val="center"/>
        </w:trPr>
        <w:tc>
          <w:tcPr>
            <w:tcW w:w="0" w:type="auto"/>
            <w:vMerge w:val="continue"/>
            <w:tcBorders>
              <w:top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p>
        </w:tc>
        <w:tc>
          <w:tcPr>
            <w:tcW w:w="2265"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r>
              <w:rPr>
                <w:rFonts w:hint="eastAsia" w:ascii="宋体,微软雅黑" w:hAnsi="宋体" w:eastAsia="宋体,微软雅黑" w:cs="宋体"/>
                <w:color w:val="000000"/>
                <w:kern w:val="0"/>
              </w:rPr>
              <w:t>资产管理（</w:t>
            </w:r>
            <w:r>
              <w:rPr>
                <w:rFonts w:ascii="宋体,微软雅黑" w:hAnsi="宋体" w:eastAsia="宋体,微软雅黑" w:cs="宋体"/>
                <w:color w:val="000000"/>
                <w:kern w:val="0"/>
              </w:rPr>
              <w:t>6</w:t>
            </w:r>
            <w:r>
              <w:rPr>
                <w:rFonts w:hint="eastAsia" w:ascii="宋体,微软雅黑" w:hAnsi="宋体" w:eastAsia="宋体,微软雅黑" w:cs="宋体"/>
                <w:color w:val="000000"/>
                <w:kern w:val="0"/>
              </w:rPr>
              <w:t>分）</w:t>
            </w:r>
          </w:p>
        </w:tc>
        <w:tc>
          <w:tcPr>
            <w:tcW w:w="33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r>
              <w:rPr>
                <w:rFonts w:hint="eastAsia" w:ascii="宋体,微软雅黑" w:hAnsi="宋体" w:eastAsia="宋体,微软雅黑" w:cs="宋体"/>
                <w:color w:val="000000"/>
                <w:kern w:val="0"/>
              </w:rPr>
              <w:t>资产管理信息化情况（</w:t>
            </w:r>
            <w:r>
              <w:rPr>
                <w:rFonts w:ascii="宋体,微软雅黑" w:hAnsi="宋体" w:eastAsia="宋体,微软雅黑" w:cs="宋体"/>
                <w:color w:val="000000"/>
                <w:kern w:val="0"/>
              </w:rPr>
              <w:t>2</w:t>
            </w:r>
            <w:r>
              <w:rPr>
                <w:rFonts w:hint="eastAsia" w:ascii="宋体,微软雅黑" w:hAnsi="宋体" w:eastAsia="宋体,微软雅黑" w:cs="宋体"/>
                <w:color w:val="000000"/>
                <w:kern w:val="0"/>
              </w:rPr>
              <w:t>分）</w:t>
            </w:r>
          </w:p>
        </w:tc>
        <w:tc>
          <w:tcPr>
            <w:tcW w:w="2115" w:type="dxa"/>
            <w:tcBorders>
              <w:top w:val="single" w:color="000000" w:sz="6" w:space="0"/>
              <w:left w:val="single" w:color="000000" w:sz="6" w:space="0"/>
              <w:bottom w:val="single" w:color="000000" w:sz="6" w:space="0"/>
            </w:tcBorders>
            <w:shd w:val="clear" w:color="auto" w:fill="FFFFFF"/>
          </w:tcPr>
          <w:p>
            <w:pPr>
              <w:widowControl/>
              <w:jc w:val="left"/>
              <w:rPr>
                <w:rFonts w:ascii="宋体,微软雅黑" w:hAnsi="宋体" w:eastAsia="宋体,微软雅黑" w:cs="宋体"/>
                <w:color w:val="000000"/>
                <w:kern w:val="0"/>
                <w:szCs w:val="21"/>
              </w:rPr>
            </w:pPr>
            <w:r>
              <w:rPr>
                <w:rFonts w:ascii="宋体,微软雅黑" w:hAnsi="宋体" w:eastAsia="宋体,微软雅黑" w:cs="宋体"/>
                <w:color w:val="000000"/>
                <w:kern w:val="0"/>
              </w:rPr>
              <w:t>2</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jc w:val="center"/>
        </w:trPr>
        <w:tc>
          <w:tcPr>
            <w:tcW w:w="0" w:type="auto"/>
            <w:vMerge w:val="continue"/>
            <w:tcBorders>
              <w:top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p>
        </w:tc>
        <w:tc>
          <w:tcPr>
            <w:tcW w:w="33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r>
              <w:rPr>
                <w:rFonts w:hint="eastAsia" w:ascii="宋体,微软雅黑" w:hAnsi="宋体" w:eastAsia="宋体,微软雅黑" w:cs="宋体"/>
                <w:color w:val="000000"/>
                <w:kern w:val="0"/>
              </w:rPr>
              <w:t>行政事业单位资产报告情况（</w:t>
            </w:r>
            <w:r>
              <w:rPr>
                <w:rFonts w:ascii="宋体,微软雅黑" w:hAnsi="宋体" w:eastAsia="宋体,微软雅黑" w:cs="宋体"/>
                <w:color w:val="000000"/>
                <w:kern w:val="0"/>
              </w:rPr>
              <w:t>2</w:t>
            </w:r>
            <w:r>
              <w:rPr>
                <w:rFonts w:hint="eastAsia" w:ascii="宋体,微软雅黑" w:hAnsi="宋体" w:eastAsia="宋体,微软雅黑" w:cs="宋体"/>
                <w:color w:val="000000"/>
                <w:kern w:val="0"/>
              </w:rPr>
              <w:t>分）</w:t>
            </w:r>
          </w:p>
        </w:tc>
        <w:tc>
          <w:tcPr>
            <w:tcW w:w="2115" w:type="dxa"/>
            <w:tcBorders>
              <w:top w:val="single" w:color="000000" w:sz="6" w:space="0"/>
              <w:left w:val="single" w:color="000000" w:sz="6" w:space="0"/>
              <w:bottom w:val="single" w:color="000000" w:sz="6" w:space="0"/>
            </w:tcBorders>
            <w:shd w:val="clear" w:color="auto" w:fill="FFFFFF"/>
          </w:tcPr>
          <w:p>
            <w:pPr>
              <w:widowControl/>
              <w:jc w:val="left"/>
              <w:rPr>
                <w:rFonts w:ascii="宋体,微软雅黑" w:hAnsi="宋体" w:eastAsia="宋体,微软雅黑" w:cs="宋体"/>
                <w:color w:val="000000"/>
                <w:kern w:val="0"/>
                <w:szCs w:val="21"/>
              </w:rPr>
            </w:pPr>
            <w:r>
              <w:rPr>
                <w:rFonts w:ascii="宋体,微软雅黑" w:hAnsi="宋体" w:eastAsia="宋体,微软雅黑" w:cs="宋体"/>
                <w:color w:val="000000"/>
                <w:kern w:val="0"/>
              </w:rPr>
              <w:t>2</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jc w:val="center"/>
        </w:trPr>
        <w:tc>
          <w:tcPr>
            <w:tcW w:w="0" w:type="auto"/>
            <w:vMerge w:val="continue"/>
            <w:tcBorders>
              <w:top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p>
        </w:tc>
        <w:tc>
          <w:tcPr>
            <w:tcW w:w="33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r>
              <w:rPr>
                <w:rFonts w:hint="eastAsia" w:ascii="宋体,微软雅黑" w:hAnsi="宋体" w:eastAsia="宋体,微软雅黑" w:cs="宋体"/>
                <w:color w:val="000000"/>
                <w:kern w:val="0"/>
              </w:rPr>
              <w:t>资产管理与预算管理相结合（</w:t>
            </w:r>
            <w:r>
              <w:rPr>
                <w:rFonts w:ascii="宋体,微软雅黑" w:hAnsi="宋体" w:eastAsia="宋体,微软雅黑" w:cs="宋体"/>
                <w:color w:val="000000"/>
                <w:kern w:val="0"/>
              </w:rPr>
              <w:t>2</w:t>
            </w:r>
            <w:r>
              <w:rPr>
                <w:rFonts w:hint="eastAsia" w:ascii="宋体,微软雅黑" w:hAnsi="宋体" w:eastAsia="宋体,微软雅黑" w:cs="宋体"/>
                <w:color w:val="000000"/>
                <w:kern w:val="0"/>
              </w:rPr>
              <w:t>分）</w:t>
            </w:r>
          </w:p>
        </w:tc>
        <w:tc>
          <w:tcPr>
            <w:tcW w:w="2115" w:type="dxa"/>
            <w:tcBorders>
              <w:top w:val="single" w:color="000000" w:sz="6" w:space="0"/>
              <w:left w:val="single" w:color="000000" w:sz="6" w:space="0"/>
              <w:bottom w:val="single" w:color="000000" w:sz="6" w:space="0"/>
            </w:tcBorders>
            <w:shd w:val="clear" w:color="auto" w:fill="FFFFFF"/>
          </w:tcPr>
          <w:p>
            <w:pPr>
              <w:widowControl/>
              <w:jc w:val="left"/>
              <w:rPr>
                <w:rFonts w:ascii="宋体,微软雅黑" w:hAnsi="宋体" w:eastAsia="宋体,微软雅黑" w:cs="宋体"/>
                <w:color w:val="000000"/>
                <w:kern w:val="0"/>
                <w:szCs w:val="21"/>
              </w:rPr>
            </w:pPr>
            <w:r>
              <w:rPr>
                <w:rFonts w:ascii="宋体,微软雅黑" w:hAnsi="宋体" w:eastAsia="宋体,微软雅黑" w:cs="宋体"/>
                <w:color w:val="000000"/>
                <w:kern w:val="0"/>
              </w:rPr>
              <w:t>2</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jc w:val="center"/>
        </w:trPr>
        <w:tc>
          <w:tcPr>
            <w:tcW w:w="0" w:type="auto"/>
            <w:vMerge w:val="continue"/>
            <w:tcBorders>
              <w:top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p>
        </w:tc>
        <w:tc>
          <w:tcPr>
            <w:tcW w:w="2265"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r>
              <w:rPr>
                <w:rFonts w:hint="eastAsia" w:ascii="宋体,微软雅黑" w:hAnsi="宋体" w:eastAsia="宋体,微软雅黑" w:cs="宋体"/>
                <w:color w:val="000000"/>
                <w:kern w:val="0"/>
              </w:rPr>
              <w:t>内控制度管理（</w:t>
            </w:r>
            <w:r>
              <w:rPr>
                <w:rFonts w:ascii="宋体,微软雅黑" w:hAnsi="宋体" w:eastAsia="宋体,微软雅黑" w:cs="宋体"/>
                <w:color w:val="000000"/>
                <w:kern w:val="0"/>
              </w:rPr>
              <w:t>2</w:t>
            </w:r>
            <w:r>
              <w:rPr>
                <w:rFonts w:hint="eastAsia" w:ascii="宋体,微软雅黑" w:hAnsi="宋体" w:eastAsia="宋体,微软雅黑" w:cs="宋体"/>
                <w:color w:val="000000"/>
                <w:kern w:val="0"/>
              </w:rPr>
              <w:t>分）</w:t>
            </w:r>
          </w:p>
        </w:tc>
        <w:tc>
          <w:tcPr>
            <w:tcW w:w="33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r>
              <w:rPr>
                <w:rFonts w:hint="eastAsia" w:ascii="宋体,微软雅黑" w:hAnsi="宋体" w:eastAsia="宋体,微软雅黑" w:cs="宋体"/>
                <w:color w:val="000000"/>
                <w:kern w:val="0"/>
              </w:rPr>
              <w:t>内部控制度健全完整（</w:t>
            </w:r>
            <w:r>
              <w:rPr>
                <w:rFonts w:ascii="宋体,微软雅黑" w:hAnsi="宋体" w:eastAsia="宋体,微软雅黑" w:cs="宋体"/>
                <w:color w:val="000000"/>
                <w:kern w:val="0"/>
              </w:rPr>
              <w:t>2</w:t>
            </w:r>
            <w:r>
              <w:rPr>
                <w:rFonts w:hint="eastAsia" w:ascii="宋体,微软雅黑" w:hAnsi="宋体" w:eastAsia="宋体,微软雅黑" w:cs="宋体"/>
                <w:color w:val="000000"/>
                <w:kern w:val="0"/>
              </w:rPr>
              <w:t>分）</w:t>
            </w:r>
          </w:p>
        </w:tc>
        <w:tc>
          <w:tcPr>
            <w:tcW w:w="2115" w:type="dxa"/>
            <w:tcBorders>
              <w:top w:val="single" w:color="000000" w:sz="6" w:space="0"/>
              <w:left w:val="single" w:color="000000" w:sz="6" w:space="0"/>
              <w:bottom w:val="single" w:color="000000" w:sz="6" w:space="0"/>
            </w:tcBorders>
            <w:shd w:val="clear" w:color="auto" w:fill="FFFFFF"/>
          </w:tcPr>
          <w:p>
            <w:pPr>
              <w:widowControl/>
              <w:jc w:val="left"/>
              <w:rPr>
                <w:rFonts w:ascii="宋体,微软雅黑" w:hAnsi="宋体" w:eastAsia="宋体,微软雅黑" w:cs="宋体"/>
                <w:color w:val="000000"/>
                <w:kern w:val="0"/>
                <w:szCs w:val="21"/>
              </w:rPr>
            </w:pPr>
            <w:r>
              <w:rPr>
                <w:rFonts w:ascii="宋体,微软雅黑" w:hAnsi="宋体" w:eastAsia="宋体,微软雅黑" w:cs="宋体"/>
                <w:color w:val="000000"/>
                <w:kern w:val="0"/>
              </w:rPr>
              <w:t>1.5</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jc w:val="center"/>
        </w:trPr>
        <w:tc>
          <w:tcPr>
            <w:tcW w:w="0" w:type="auto"/>
            <w:vMerge w:val="continue"/>
            <w:tcBorders>
              <w:top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p>
        </w:tc>
        <w:tc>
          <w:tcPr>
            <w:tcW w:w="2265"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r>
              <w:rPr>
                <w:rFonts w:hint="eastAsia" w:ascii="宋体,微软雅黑" w:hAnsi="宋体" w:eastAsia="宋体,微软雅黑" w:cs="宋体"/>
                <w:color w:val="000000"/>
                <w:kern w:val="0"/>
              </w:rPr>
              <w:t>信息公开（</w:t>
            </w:r>
            <w:r>
              <w:rPr>
                <w:rFonts w:ascii="宋体,微软雅黑" w:hAnsi="宋体" w:eastAsia="宋体,微软雅黑" w:cs="宋体"/>
                <w:color w:val="000000"/>
                <w:kern w:val="0"/>
              </w:rPr>
              <w:t>6</w:t>
            </w:r>
            <w:r>
              <w:rPr>
                <w:rFonts w:hint="eastAsia" w:ascii="宋体,微软雅黑" w:hAnsi="宋体" w:eastAsia="宋体,微软雅黑" w:cs="宋体"/>
                <w:color w:val="000000"/>
                <w:kern w:val="0"/>
              </w:rPr>
              <w:t>分）</w:t>
            </w:r>
          </w:p>
        </w:tc>
        <w:tc>
          <w:tcPr>
            <w:tcW w:w="33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r>
              <w:rPr>
                <w:rFonts w:hint="eastAsia" w:ascii="宋体,微软雅黑" w:hAnsi="宋体" w:eastAsia="宋体,微软雅黑" w:cs="宋体"/>
                <w:color w:val="000000"/>
                <w:kern w:val="0"/>
              </w:rPr>
              <w:t>预算公开（</w:t>
            </w:r>
            <w:r>
              <w:rPr>
                <w:rFonts w:ascii="宋体,微软雅黑" w:hAnsi="宋体" w:eastAsia="宋体,微软雅黑" w:cs="宋体"/>
                <w:color w:val="000000"/>
                <w:kern w:val="0"/>
              </w:rPr>
              <w:t>2</w:t>
            </w:r>
            <w:r>
              <w:rPr>
                <w:rFonts w:hint="eastAsia" w:ascii="宋体,微软雅黑" w:hAnsi="宋体" w:eastAsia="宋体,微软雅黑" w:cs="宋体"/>
                <w:color w:val="000000"/>
                <w:kern w:val="0"/>
              </w:rPr>
              <w:t>分）</w:t>
            </w:r>
          </w:p>
        </w:tc>
        <w:tc>
          <w:tcPr>
            <w:tcW w:w="2115" w:type="dxa"/>
            <w:tcBorders>
              <w:top w:val="single" w:color="000000" w:sz="6" w:space="0"/>
              <w:left w:val="single" w:color="000000" w:sz="6" w:space="0"/>
              <w:bottom w:val="single" w:color="000000" w:sz="6" w:space="0"/>
            </w:tcBorders>
            <w:shd w:val="clear" w:color="auto" w:fill="FFFFFF"/>
          </w:tcPr>
          <w:p>
            <w:pPr>
              <w:widowControl/>
              <w:jc w:val="left"/>
              <w:rPr>
                <w:rFonts w:ascii="宋体,微软雅黑" w:hAnsi="宋体" w:eastAsia="宋体,微软雅黑" w:cs="宋体"/>
                <w:color w:val="000000"/>
                <w:kern w:val="0"/>
                <w:szCs w:val="21"/>
              </w:rPr>
            </w:pPr>
            <w:r>
              <w:rPr>
                <w:rFonts w:ascii="宋体,微软雅黑" w:hAnsi="宋体" w:eastAsia="宋体,微软雅黑" w:cs="宋体"/>
                <w:color w:val="000000"/>
                <w:kern w:val="0"/>
              </w:rPr>
              <w:t>2</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jc w:val="center"/>
        </w:trPr>
        <w:tc>
          <w:tcPr>
            <w:tcW w:w="0" w:type="auto"/>
            <w:vMerge w:val="continue"/>
            <w:tcBorders>
              <w:top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p>
        </w:tc>
        <w:tc>
          <w:tcPr>
            <w:tcW w:w="33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r>
              <w:rPr>
                <w:rFonts w:hint="eastAsia" w:ascii="宋体,微软雅黑" w:hAnsi="宋体" w:eastAsia="宋体,微软雅黑" w:cs="宋体"/>
                <w:color w:val="000000"/>
                <w:kern w:val="0"/>
              </w:rPr>
              <w:t>决算公开（</w:t>
            </w:r>
            <w:r>
              <w:rPr>
                <w:rFonts w:ascii="宋体,微软雅黑" w:hAnsi="宋体" w:eastAsia="宋体,微软雅黑" w:cs="宋体"/>
                <w:color w:val="000000"/>
                <w:kern w:val="0"/>
              </w:rPr>
              <w:t>2</w:t>
            </w:r>
            <w:r>
              <w:rPr>
                <w:rFonts w:hint="eastAsia" w:ascii="宋体,微软雅黑" w:hAnsi="宋体" w:eastAsia="宋体,微软雅黑" w:cs="宋体"/>
                <w:color w:val="000000"/>
                <w:kern w:val="0"/>
              </w:rPr>
              <w:t>分）</w:t>
            </w:r>
          </w:p>
        </w:tc>
        <w:tc>
          <w:tcPr>
            <w:tcW w:w="2115" w:type="dxa"/>
            <w:tcBorders>
              <w:top w:val="single" w:color="000000" w:sz="6" w:space="0"/>
              <w:left w:val="single" w:color="000000" w:sz="6" w:space="0"/>
              <w:bottom w:val="single" w:color="000000" w:sz="6" w:space="0"/>
            </w:tcBorders>
            <w:shd w:val="clear" w:color="auto" w:fill="FFFFFF"/>
          </w:tcPr>
          <w:p>
            <w:pPr>
              <w:widowControl/>
              <w:jc w:val="left"/>
              <w:rPr>
                <w:rFonts w:ascii="宋体,微软雅黑" w:hAnsi="宋体" w:eastAsia="宋体,微软雅黑" w:cs="宋体"/>
                <w:color w:val="000000"/>
                <w:kern w:val="0"/>
                <w:szCs w:val="21"/>
              </w:rPr>
            </w:pPr>
            <w:r>
              <w:rPr>
                <w:rFonts w:ascii="宋体,微软雅黑" w:hAnsi="宋体" w:eastAsia="宋体,微软雅黑" w:cs="宋体"/>
                <w:color w:val="000000"/>
                <w:kern w:val="0"/>
              </w:rPr>
              <w:t>2</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jc w:val="center"/>
        </w:trPr>
        <w:tc>
          <w:tcPr>
            <w:tcW w:w="0" w:type="auto"/>
            <w:vMerge w:val="continue"/>
            <w:tcBorders>
              <w:top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p>
        </w:tc>
        <w:tc>
          <w:tcPr>
            <w:tcW w:w="33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r>
              <w:rPr>
                <w:rFonts w:hint="eastAsia" w:ascii="宋体,微软雅黑" w:hAnsi="宋体" w:eastAsia="宋体,微软雅黑" w:cs="宋体"/>
                <w:color w:val="000000"/>
                <w:kern w:val="0"/>
              </w:rPr>
              <w:t>绩效信息公开（</w:t>
            </w:r>
            <w:r>
              <w:rPr>
                <w:rFonts w:ascii="宋体,微软雅黑" w:hAnsi="宋体" w:eastAsia="宋体,微软雅黑" w:cs="宋体"/>
                <w:color w:val="000000"/>
                <w:kern w:val="0"/>
              </w:rPr>
              <w:t>2</w:t>
            </w:r>
            <w:r>
              <w:rPr>
                <w:rFonts w:hint="eastAsia" w:ascii="宋体,微软雅黑" w:hAnsi="宋体" w:eastAsia="宋体,微软雅黑" w:cs="宋体"/>
                <w:color w:val="000000"/>
                <w:kern w:val="0"/>
              </w:rPr>
              <w:t>分）</w:t>
            </w:r>
          </w:p>
        </w:tc>
        <w:tc>
          <w:tcPr>
            <w:tcW w:w="2115" w:type="dxa"/>
            <w:tcBorders>
              <w:top w:val="single" w:color="000000" w:sz="6" w:space="0"/>
              <w:left w:val="single" w:color="000000" w:sz="6" w:space="0"/>
              <w:bottom w:val="single" w:color="000000" w:sz="6" w:space="0"/>
            </w:tcBorders>
            <w:shd w:val="clear" w:color="auto" w:fill="FFFFFF"/>
          </w:tcPr>
          <w:p>
            <w:pPr>
              <w:widowControl/>
              <w:jc w:val="left"/>
              <w:rPr>
                <w:rFonts w:ascii="宋体,微软雅黑" w:hAnsi="宋体" w:eastAsia="宋体,微软雅黑" w:cs="宋体"/>
                <w:color w:val="000000"/>
                <w:kern w:val="0"/>
                <w:szCs w:val="21"/>
              </w:rPr>
            </w:pPr>
            <w:r>
              <w:rPr>
                <w:rFonts w:ascii="宋体,微软雅黑" w:hAnsi="宋体" w:eastAsia="宋体,微软雅黑" w:cs="宋体"/>
                <w:color w:val="000000"/>
                <w:kern w:val="0"/>
              </w:rPr>
              <w:t>2</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jc w:val="center"/>
        </w:trPr>
        <w:tc>
          <w:tcPr>
            <w:tcW w:w="0" w:type="auto"/>
            <w:vMerge w:val="continue"/>
            <w:tcBorders>
              <w:top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p>
        </w:tc>
        <w:tc>
          <w:tcPr>
            <w:tcW w:w="2265"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r>
              <w:rPr>
                <w:rFonts w:hint="eastAsia" w:ascii="宋体,微软雅黑" w:hAnsi="宋体" w:eastAsia="宋体,微软雅黑" w:cs="宋体"/>
                <w:color w:val="000000"/>
                <w:kern w:val="0"/>
              </w:rPr>
              <w:t>绩效评价（</w:t>
            </w:r>
            <w:r>
              <w:rPr>
                <w:rFonts w:ascii="宋体,微软雅黑" w:hAnsi="宋体" w:eastAsia="宋体,微软雅黑" w:cs="宋体"/>
                <w:color w:val="000000"/>
                <w:kern w:val="0"/>
              </w:rPr>
              <w:t>5</w:t>
            </w:r>
            <w:r>
              <w:rPr>
                <w:rFonts w:hint="eastAsia" w:ascii="宋体,微软雅黑" w:hAnsi="宋体" w:eastAsia="宋体,微软雅黑" w:cs="宋体"/>
                <w:color w:val="000000"/>
                <w:kern w:val="0"/>
              </w:rPr>
              <w:t>分）</w:t>
            </w:r>
          </w:p>
        </w:tc>
        <w:tc>
          <w:tcPr>
            <w:tcW w:w="33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r>
              <w:rPr>
                <w:rFonts w:hint="eastAsia" w:ascii="宋体,微软雅黑" w:hAnsi="宋体" w:eastAsia="宋体,微软雅黑" w:cs="宋体"/>
                <w:color w:val="000000"/>
                <w:kern w:val="0"/>
              </w:rPr>
              <w:t>绩效评价开展（</w:t>
            </w:r>
            <w:r>
              <w:rPr>
                <w:rFonts w:ascii="宋体,微软雅黑" w:hAnsi="宋体" w:eastAsia="宋体,微软雅黑" w:cs="宋体"/>
                <w:color w:val="000000"/>
                <w:kern w:val="0"/>
              </w:rPr>
              <w:t>2</w:t>
            </w:r>
            <w:r>
              <w:rPr>
                <w:rFonts w:hint="eastAsia" w:ascii="宋体,微软雅黑" w:hAnsi="宋体" w:eastAsia="宋体,微软雅黑" w:cs="宋体"/>
                <w:color w:val="000000"/>
                <w:kern w:val="0"/>
              </w:rPr>
              <w:t>分）</w:t>
            </w:r>
          </w:p>
        </w:tc>
        <w:tc>
          <w:tcPr>
            <w:tcW w:w="2115" w:type="dxa"/>
            <w:tcBorders>
              <w:top w:val="single" w:color="000000" w:sz="6" w:space="0"/>
              <w:left w:val="single" w:color="000000" w:sz="6" w:space="0"/>
              <w:bottom w:val="single" w:color="000000" w:sz="6" w:space="0"/>
            </w:tcBorders>
            <w:shd w:val="clear" w:color="auto" w:fill="FFFFFF"/>
          </w:tcPr>
          <w:p>
            <w:pPr>
              <w:widowControl/>
              <w:jc w:val="left"/>
              <w:rPr>
                <w:rFonts w:ascii="宋体,微软雅黑" w:hAnsi="宋体" w:eastAsia="宋体,微软雅黑" w:cs="宋体"/>
                <w:color w:val="000000"/>
                <w:kern w:val="0"/>
                <w:szCs w:val="21"/>
              </w:rPr>
            </w:pPr>
            <w:r>
              <w:rPr>
                <w:rFonts w:ascii="宋体,微软雅黑" w:hAnsi="宋体" w:eastAsia="宋体,微软雅黑" w:cs="宋体"/>
                <w:color w:val="000000"/>
                <w:kern w:val="0"/>
              </w:rPr>
              <w:t>2</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jc w:val="center"/>
        </w:trPr>
        <w:tc>
          <w:tcPr>
            <w:tcW w:w="0" w:type="auto"/>
            <w:vMerge w:val="continue"/>
            <w:tcBorders>
              <w:top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p>
        </w:tc>
        <w:tc>
          <w:tcPr>
            <w:tcW w:w="33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r>
              <w:rPr>
                <w:rFonts w:hint="eastAsia" w:ascii="宋体,微软雅黑" w:hAnsi="宋体" w:eastAsia="宋体,微软雅黑" w:cs="宋体"/>
                <w:color w:val="000000"/>
                <w:kern w:val="0"/>
              </w:rPr>
              <w:t>评价结果应用（</w:t>
            </w:r>
            <w:r>
              <w:rPr>
                <w:rFonts w:ascii="宋体,微软雅黑" w:hAnsi="宋体" w:eastAsia="宋体,微软雅黑" w:cs="宋体"/>
                <w:color w:val="000000"/>
                <w:kern w:val="0"/>
              </w:rPr>
              <w:t>3</w:t>
            </w:r>
            <w:r>
              <w:rPr>
                <w:rFonts w:hint="eastAsia" w:ascii="宋体,微软雅黑" w:hAnsi="宋体" w:eastAsia="宋体,微软雅黑" w:cs="宋体"/>
                <w:color w:val="000000"/>
                <w:kern w:val="0"/>
              </w:rPr>
              <w:t>分）</w:t>
            </w:r>
          </w:p>
        </w:tc>
        <w:tc>
          <w:tcPr>
            <w:tcW w:w="2115" w:type="dxa"/>
            <w:tcBorders>
              <w:top w:val="single" w:color="000000" w:sz="6" w:space="0"/>
              <w:left w:val="single" w:color="000000" w:sz="6" w:space="0"/>
              <w:bottom w:val="single" w:color="000000" w:sz="6" w:space="0"/>
            </w:tcBorders>
            <w:shd w:val="clear" w:color="auto" w:fill="FFFFFF"/>
          </w:tcPr>
          <w:p>
            <w:pPr>
              <w:widowControl/>
              <w:jc w:val="left"/>
              <w:rPr>
                <w:rFonts w:ascii="宋体,微软雅黑" w:hAnsi="宋体" w:eastAsia="宋体,微软雅黑" w:cs="宋体"/>
                <w:color w:val="000000"/>
                <w:kern w:val="0"/>
                <w:szCs w:val="21"/>
              </w:rPr>
            </w:pPr>
            <w:r>
              <w:rPr>
                <w:rFonts w:ascii="宋体,微软雅黑" w:hAnsi="宋体" w:eastAsia="宋体,微软雅黑" w:cs="宋体"/>
                <w:color w:val="000000"/>
                <w:kern w:val="0"/>
              </w:rPr>
              <w:t>2</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jc w:val="center"/>
        </w:trPr>
        <w:tc>
          <w:tcPr>
            <w:tcW w:w="1695" w:type="dxa"/>
            <w:vMerge w:val="restart"/>
            <w:tcBorders>
              <w:top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r>
              <w:rPr>
                <w:rFonts w:hint="eastAsia" w:ascii="宋体,微软雅黑" w:hAnsi="宋体" w:eastAsia="宋体,微软雅黑" w:cs="宋体"/>
                <w:color w:val="000000"/>
                <w:kern w:val="0"/>
              </w:rPr>
              <w:t>部门绩效情况（</w:t>
            </w:r>
            <w:r>
              <w:rPr>
                <w:rFonts w:ascii="宋体,微软雅黑" w:hAnsi="宋体" w:eastAsia="宋体,微软雅黑" w:cs="宋体"/>
                <w:color w:val="000000"/>
                <w:kern w:val="0"/>
              </w:rPr>
              <w:t>45</w:t>
            </w:r>
            <w:r>
              <w:rPr>
                <w:rFonts w:hint="eastAsia" w:ascii="宋体,微软雅黑" w:hAnsi="宋体" w:eastAsia="宋体,微软雅黑" w:cs="宋体"/>
                <w:color w:val="000000"/>
                <w:kern w:val="0"/>
              </w:rPr>
              <w:t>分）</w:t>
            </w:r>
          </w:p>
        </w:tc>
        <w:tc>
          <w:tcPr>
            <w:tcW w:w="2265"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r>
              <w:rPr>
                <w:rFonts w:hint="eastAsia" w:ascii="宋体,微软雅黑" w:hAnsi="宋体" w:eastAsia="宋体,微软雅黑" w:cs="宋体"/>
                <w:color w:val="000000"/>
                <w:kern w:val="0"/>
              </w:rPr>
              <w:t>履职成效（</w:t>
            </w:r>
            <w:r>
              <w:rPr>
                <w:rFonts w:ascii="宋体,微软雅黑" w:hAnsi="宋体" w:eastAsia="宋体,微软雅黑" w:cs="宋体"/>
                <w:color w:val="000000"/>
                <w:kern w:val="0"/>
              </w:rPr>
              <w:t>20</w:t>
            </w:r>
            <w:r>
              <w:rPr>
                <w:rFonts w:hint="eastAsia" w:ascii="宋体,微软雅黑" w:hAnsi="宋体" w:eastAsia="宋体,微软雅黑" w:cs="宋体"/>
                <w:color w:val="000000"/>
                <w:kern w:val="0"/>
              </w:rPr>
              <w:t>分）</w:t>
            </w:r>
          </w:p>
        </w:tc>
        <w:tc>
          <w:tcPr>
            <w:tcW w:w="33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r>
              <w:rPr>
                <w:rFonts w:hint="eastAsia" w:ascii="宋体,微软雅黑" w:hAnsi="宋体" w:eastAsia="宋体,微软雅黑" w:cs="宋体"/>
                <w:color w:val="000000"/>
                <w:kern w:val="0"/>
              </w:rPr>
              <w:t>数量指标（重点任务完成率）</w:t>
            </w:r>
          </w:p>
        </w:tc>
        <w:tc>
          <w:tcPr>
            <w:tcW w:w="2115" w:type="dxa"/>
            <w:tcBorders>
              <w:top w:val="single" w:color="000000" w:sz="6" w:space="0"/>
              <w:left w:val="single" w:color="000000" w:sz="6" w:space="0"/>
              <w:bottom w:val="single" w:color="000000" w:sz="6" w:space="0"/>
            </w:tcBorders>
            <w:shd w:val="clear" w:color="auto" w:fill="FFFFFF"/>
          </w:tcPr>
          <w:p>
            <w:pPr>
              <w:widowControl/>
              <w:jc w:val="left"/>
              <w:rPr>
                <w:rFonts w:ascii="宋体,微软雅黑" w:hAnsi="宋体" w:eastAsia="宋体,微软雅黑" w:cs="宋体"/>
                <w:color w:val="000000"/>
                <w:kern w:val="0"/>
                <w:szCs w:val="21"/>
              </w:rPr>
            </w:pPr>
            <w:r>
              <w:rPr>
                <w:rFonts w:ascii="宋体,微软雅黑" w:hAnsi="宋体" w:eastAsia="宋体,微软雅黑" w:cs="宋体"/>
                <w:color w:val="000000"/>
                <w:kern w:val="0"/>
              </w:rPr>
              <w:t>4</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jc w:val="center"/>
        </w:trPr>
        <w:tc>
          <w:tcPr>
            <w:tcW w:w="0" w:type="auto"/>
            <w:vMerge w:val="continue"/>
            <w:tcBorders>
              <w:top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p>
        </w:tc>
        <w:tc>
          <w:tcPr>
            <w:tcW w:w="33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r>
              <w:rPr>
                <w:rFonts w:hint="eastAsia" w:ascii="宋体,微软雅黑" w:hAnsi="宋体" w:eastAsia="宋体,微软雅黑" w:cs="宋体"/>
                <w:color w:val="000000"/>
                <w:kern w:val="0"/>
              </w:rPr>
              <w:t>质量指标（重点任务完成质量）</w:t>
            </w:r>
          </w:p>
        </w:tc>
        <w:tc>
          <w:tcPr>
            <w:tcW w:w="2115" w:type="dxa"/>
            <w:tcBorders>
              <w:top w:val="single" w:color="000000" w:sz="6" w:space="0"/>
              <w:left w:val="single" w:color="000000" w:sz="6" w:space="0"/>
              <w:bottom w:val="single" w:color="000000" w:sz="6" w:space="0"/>
            </w:tcBorders>
            <w:shd w:val="clear" w:color="auto" w:fill="FFFFFF"/>
          </w:tcPr>
          <w:p>
            <w:pPr>
              <w:widowControl/>
              <w:jc w:val="left"/>
              <w:rPr>
                <w:rFonts w:ascii="宋体,微软雅黑" w:hAnsi="宋体" w:eastAsia="宋体,微软雅黑" w:cs="宋体"/>
                <w:color w:val="000000"/>
                <w:kern w:val="0"/>
                <w:szCs w:val="21"/>
              </w:rPr>
            </w:pPr>
            <w:r>
              <w:rPr>
                <w:rFonts w:ascii="宋体,微软雅黑" w:hAnsi="宋体" w:eastAsia="宋体,微软雅黑" w:cs="宋体"/>
                <w:color w:val="000000"/>
                <w:kern w:val="0"/>
              </w:rPr>
              <w:t>4</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jc w:val="center"/>
        </w:trPr>
        <w:tc>
          <w:tcPr>
            <w:tcW w:w="0" w:type="auto"/>
            <w:vMerge w:val="continue"/>
            <w:tcBorders>
              <w:top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p>
        </w:tc>
        <w:tc>
          <w:tcPr>
            <w:tcW w:w="33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r>
              <w:rPr>
                <w:rFonts w:hint="eastAsia" w:ascii="宋体,微软雅黑" w:hAnsi="宋体" w:eastAsia="宋体,微软雅黑" w:cs="宋体"/>
                <w:color w:val="000000"/>
                <w:kern w:val="0"/>
              </w:rPr>
              <w:t>时效指标（完成时效）</w:t>
            </w:r>
          </w:p>
        </w:tc>
        <w:tc>
          <w:tcPr>
            <w:tcW w:w="2115" w:type="dxa"/>
            <w:tcBorders>
              <w:top w:val="single" w:color="000000" w:sz="6" w:space="0"/>
              <w:left w:val="single" w:color="000000" w:sz="6" w:space="0"/>
              <w:bottom w:val="single" w:color="000000" w:sz="6" w:space="0"/>
            </w:tcBorders>
            <w:shd w:val="clear" w:color="auto" w:fill="FFFFFF"/>
          </w:tcPr>
          <w:p>
            <w:pPr>
              <w:widowControl/>
              <w:jc w:val="left"/>
              <w:rPr>
                <w:rFonts w:ascii="宋体,微软雅黑" w:hAnsi="宋体" w:eastAsia="宋体,微软雅黑" w:cs="宋体"/>
                <w:color w:val="000000"/>
                <w:kern w:val="0"/>
                <w:szCs w:val="21"/>
              </w:rPr>
            </w:pPr>
            <w:r>
              <w:rPr>
                <w:rFonts w:ascii="宋体,微软雅黑" w:hAnsi="宋体" w:eastAsia="宋体,微软雅黑" w:cs="宋体"/>
                <w:color w:val="000000"/>
                <w:kern w:val="0"/>
              </w:rPr>
              <w:t>4</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jc w:val="center"/>
        </w:trPr>
        <w:tc>
          <w:tcPr>
            <w:tcW w:w="0" w:type="auto"/>
            <w:vMerge w:val="continue"/>
            <w:tcBorders>
              <w:top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p>
        </w:tc>
        <w:tc>
          <w:tcPr>
            <w:tcW w:w="33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r>
              <w:rPr>
                <w:rFonts w:hint="eastAsia" w:ascii="宋体,微软雅黑" w:hAnsi="宋体" w:eastAsia="宋体,微软雅黑" w:cs="宋体"/>
                <w:color w:val="000000"/>
                <w:kern w:val="0"/>
              </w:rPr>
              <w:t>社会效益</w:t>
            </w:r>
          </w:p>
        </w:tc>
        <w:tc>
          <w:tcPr>
            <w:tcW w:w="2115" w:type="dxa"/>
            <w:tcBorders>
              <w:top w:val="single" w:color="000000" w:sz="6" w:space="0"/>
              <w:left w:val="single" w:color="000000" w:sz="6" w:space="0"/>
              <w:bottom w:val="single" w:color="000000" w:sz="6" w:space="0"/>
            </w:tcBorders>
            <w:shd w:val="clear" w:color="auto" w:fill="FFFFFF"/>
          </w:tcPr>
          <w:p>
            <w:pPr>
              <w:widowControl/>
              <w:jc w:val="left"/>
              <w:rPr>
                <w:rFonts w:ascii="宋体,微软雅黑" w:hAnsi="宋体" w:eastAsia="宋体,微软雅黑" w:cs="宋体"/>
                <w:color w:val="000000"/>
                <w:kern w:val="0"/>
                <w:szCs w:val="21"/>
              </w:rPr>
            </w:pPr>
            <w:r>
              <w:rPr>
                <w:rFonts w:ascii="宋体,微软雅黑" w:hAnsi="宋体" w:eastAsia="宋体,微软雅黑" w:cs="宋体"/>
                <w:color w:val="000000"/>
                <w:kern w:val="0"/>
              </w:rPr>
              <w:t>3</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jc w:val="center"/>
        </w:trPr>
        <w:tc>
          <w:tcPr>
            <w:tcW w:w="0" w:type="auto"/>
            <w:vMerge w:val="continue"/>
            <w:tcBorders>
              <w:top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p>
        </w:tc>
        <w:tc>
          <w:tcPr>
            <w:tcW w:w="33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r>
              <w:rPr>
                <w:rFonts w:hint="eastAsia" w:ascii="宋体,微软雅黑" w:hAnsi="宋体" w:eastAsia="宋体,微软雅黑" w:cs="宋体"/>
                <w:color w:val="000000"/>
                <w:kern w:val="0"/>
              </w:rPr>
              <w:t>经济效益</w:t>
            </w:r>
          </w:p>
        </w:tc>
        <w:tc>
          <w:tcPr>
            <w:tcW w:w="2115" w:type="dxa"/>
            <w:tcBorders>
              <w:top w:val="single" w:color="000000" w:sz="6" w:space="0"/>
              <w:left w:val="single" w:color="000000" w:sz="6" w:space="0"/>
              <w:bottom w:val="single" w:color="000000" w:sz="6" w:space="0"/>
            </w:tcBorders>
            <w:shd w:val="clear" w:color="auto" w:fill="FFFFFF"/>
          </w:tcPr>
          <w:p>
            <w:pPr>
              <w:widowControl/>
              <w:jc w:val="left"/>
              <w:rPr>
                <w:rFonts w:ascii="宋体,微软雅黑" w:hAnsi="宋体" w:eastAsia="宋体,微软雅黑" w:cs="宋体"/>
                <w:color w:val="000000"/>
                <w:kern w:val="0"/>
                <w:szCs w:val="21"/>
              </w:rPr>
            </w:pPr>
            <w:r>
              <w:rPr>
                <w:rFonts w:ascii="宋体,微软雅黑" w:hAnsi="宋体" w:eastAsia="宋体,微软雅黑" w:cs="宋体"/>
                <w:color w:val="000000"/>
                <w:kern w:val="0"/>
              </w:rPr>
              <w:t>3</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jc w:val="center"/>
        </w:trPr>
        <w:tc>
          <w:tcPr>
            <w:tcW w:w="0" w:type="auto"/>
            <w:vMerge w:val="continue"/>
            <w:tcBorders>
              <w:top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p>
        </w:tc>
        <w:tc>
          <w:tcPr>
            <w:tcW w:w="2265"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r>
              <w:rPr>
                <w:rFonts w:hint="eastAsia" w:ascii="宋体,微软雅黑" w:hAnsi="宋体" w:eastAsia="宋体,微软雅黑" w:cs="宋体"/>
                <w:color w:val="000000"/>
                <w:kern w:val="0"/>
              </w:rPr>
              <w:t>可持续发展能力（</w:t>
            </w:r>
            <w:r>
              <w:rPr>
                <w:rFonts w:ascii="宋体,微软雅黑" w:hAnsi="宋体" w:eastAsia="宋体,微软雅黑" w:cs="宋体"/>
                <w:color w:val="000000"/>
                <w:kern w:val="0"/>
              </w:rPr>
              <w:t>15</w:t>
            </w:r>
            <w:r>
              <w:rPr>
                <w:rFonts w:hint="eastAsia" w:ascii="宋体,微软雅黑" w:hAnsi="宋体" w:eastAsia="宋体,微软雅黑" w:cs="宋体"/>
                <w:color w:val="000000"/>
                <w:kern w:val="0"/>
              </w:rPr>
              <w:t>分）</w:t>
            </w:r>
          </w:p>
        </w:tc>
        <w:tc>
          <w:tcPr>
            <w:tcW w:w="33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r>
              <w:rPr>
                <w:rFonts w:hint="eastAsia" w:ascii="宋体,微软雅黑" w:hAnsi="宋体" w:eastAsia="宋体,微软雅黑" w:cs="宋体"/>
                <w:color w:val="000000"/>
                <w:kern w:val="0"/>
              </w:rPr>
              <w:t>重点改革（重点工作）完成情况（</w:t>
            </w:r>
            <w:r>
              <w:rPr>
                <w:rFonts w:ascii="宋体,微软雅黑" w:hAnsi="宋体" w:eastAsia="宋体,微软雅黑" w:cs="宋体"/>
                <w:color w:val="000000"/>
                <w:kern w:val="0"/>
              </w:rPr>
              <w:t>5</w:t>
            </w:r>
            <w:r>
              <w:rPr>
                <w:rFonts w:hint="eastAsia" w:ascii="宋体,微软雅黑" w:hAnsi="宋体" w:eastAsia="宋体,微软雅黑" w:cs="宋体"/>
                <w:color w:val="000000"/>
                <w:kern w:val="0"/>
              </w:rPr>
              <w:t>分）</w:t>
            </w:r>
          </w:p>
        </w:tc>
        <w:tc>
          <w:tcPr>
            <w:tcW w:w="2115" w:type="dxa"/>
            <w:tcBorders>
              <w:top w:val="single" w:color="000000" w:sz="6" w:space="0"/>
              <w:left w:val="single" w:color="000000" w:sz="6" w:space="0"/>
              <w:bottom w:val="single" w:color="000000" w:sz="6" w:space="0"/>
            </w:tcBorders>
            <w:shd w:val="clear" w:color="auto" w:fill="FFFFFF"/>
          </w:tcPr>
          <w:p>
            <w:pPr>
              <w:widowControl/>
              <w:jc w:val="left"/>
              <w:rPr>
                <w:rFonts w:ascii="宋体,微软雅黑" w:hAnsi="宋体" w:eastAsia="宋体,微软雅黑" w:cs="宋体"/>
                <w:color w:val="000000"/>
                <w:kern w:val="0"/>
                <w:szCs w:val="21"/>
              </w:rPr>
            </w:pPr>
            <w:r>
              <w:rPr>
                <w:rFonts w:ascii="宋体,微软雅黑" w:hAnsi="宋体" w:eastAsia="宋体,微软雅黑" w:cs="宋体"/>
                <w:color w:val="000000"/>
                <w:kern w:val="0"/>
              </w:rPr>
              <w:t>5</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jc w:val="center"/>
        </w:trPr>
        <w:tc>
          <w:tcPr>
            <w:tcW w:w="0" w:type="auto"/>
            <w:vMerge w:val="continue"/>
            <w:tcBorders>
              <w:top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p>
        </w:tc>
        <w:tc>
          <w:tcPr>
            <w:tcW w:w="33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r>
              <w:rPr>
                <w:rFonts w:hint="eastAsia" w:ascii="宋体,微软雅黑" w:hAnsi="宋体" w:eastAsia="宋体,微软雅黑" w:cs="宋体"/>
                <w:color w:val="000000"/>
                <w:kern w:val="0"/>
              </w:rPr>
              <w:t>科技（制度、方法、机制等）创新（</w:t>
            </w:r>
            <w:r>
              <w:rPr>
                <w:rFonts w:ascii="宋体,微软雅黑" w:hAnsi="宋体" w:eastAsia="宋体,微软雅黑" w:cs="宋体"/>
                <w:color w:val="000000"/>
                <w:kern w:val="0"/>
              </w:rPr>
              <w:t>5</w:t>
            </w:r>
            <w:r>
              <w:rPr>
                <w:rFonts w:hint="eastAsia" w:ascii="宋体,微软雅黑" w:hAnsi="宋体" w:eastAsia="宋体,微软雅黑" w:cs="宋体"/>
                <w:color w:val="000000"/>
                <w:kern w:val="0"/>
              </w:rPr>
              <w:t>分）</w:t>
            </w:r>
          </w:p>
        </w:tc>
        <w:tc>
          <w:tcPr>
            <w:tcW w:w="2115" w:type="dxa"/>
            <w:tcBorders>
              <w:top w:val="single" w:color="000000" w:sz="6" w:space="0"/>
              <w:left w:val="single" w:color="000000" w:sz="6" w:space="0"/>
              <w:bottom w:val="single" w:color="000000" w:sz="6" w:space="0"/>
            </w:tcBorders>
            <w:shd w:val="clear" w:color="auto" w:fill="FFFFFF"/>
          </w:tcPr>
          <w:p>
            <w:pPr>
              <w:widowControl/>
              <w:jc w:val="left"/>
              <w:rPr>
                <w:rFonts w:ascii="宋体,微软雅黑" w:hAnsi="宋体" w:eastAsia="宋体,微软雅黑" w:cs="宋体"/>
                <w:color w:val="000000"/>
                <w:kern w:val="0"/>
                <w:szCs w:val="21"/>
              </w:rPr>
            </w:pPr>
            <w:r>
              <w:rPr>
                <w:rFonts w:ascii="宋体,微软雅黑" w:hAnsi="宋体" w:eastAsia="宋体,微软雅黑" w:cs="宋体"/>
                <w:color w:val="000000"/>
                <w:kern w:val="0"/>
              </w:rPr>
              <w:t>4</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jc w:val="center"/>
        </w:trPr>
        <w:tc>
          <w:tcPr>
            <w:tcW w:w="0" w:type="auto"/>
            <w:vMerge w:val="continue"/>
            <w:tcBorders>
              <w:top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p>
        </w:tc>
        <w:tc>
          <w:tcPr>
            <w:tcW w:w="33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r>
              <w:rPr>
                <w:rFonts w:hint="eastAsia" w:ascii="宋体,微软雅黑" w:hAnsi="宋体" w:eastAsia="宋体,微软雅黑" w:cs="宋体"/>
                <w:color w:val="000000"/>
                <w:kern w:val="0"/>
              </w:rPr>
              <w:t>人才培养（</w:t>
            </w:r>
            <w:r>
              <w:rPr>
                <w:rFonts w:ascii="宋体,微软雅黑" w:hAnsi="宋体" w:eastAsia="宋体,微软雅黑" w:cs="宋体"/>
                <w:color w:val="000000"/>
                <w:kern w:val="0"/>
              </w:rPr>
              <w:t>5</w:t>
            </w:r>
            <w:r>
              <w:rPr>
                <w:rFonts w:hint="eastAsia" w:ascii="宋体,微软雅黑" w:hAnsi="宋体" w:eastAsia="宋体,微软雅黑" w:cs="宋体"/>
                <w:color w:val="000000"/>
                <w:kern w:val="0"/>
              </w:rPr>
              <w:t>分）</w:t>
            </w:r>
          </w:p>
        </w:tc>
        <w:tc>
          <w:tcPr>
            <w:tcW w:w="2115" w:type="dxa"/>
            <w:tcBorders>
              <w:top w:val="single" w:color="000000" w:sz="6" w:space="0"/>
              <w:left w:val="single" w:color="000000" w:sz="6" w:space="0"/>
              <w:bottom w:val="single" w:color="000000" w:sz="6" w:space="0"/>
            </w:tcBorders>
            <w:shd w:val="clear" w:color="auto" w:fill="FFFFFF"/>
          </w:tcPr>
          <w:p>
            <w:pPr>
              <w:widowControl/>
              <w:jc w:val="left"/>
              <w:rPr>
                <w:rFonts w:ascii="宋体,微软雅黑" w:hAnsi="宋体" w:eastAsia="宋体,微软雅黑" w:cs="宋体"/>
                <w:color w:val="000000"/>
                <w:kern w:val="0"/>
                <w:szCs w:val="21"/>
              </w:rPr>
            </w:pPr>
            <w:r>
              <w:rPr>
                <w:rFonts w:ascii="宋体,微软雅黑" w:hAnsi="宋体" w:eastAsia="宋体,微软雅黑" w:cs="宋体"/>
                <w:color w:val="000000"/>
                <w:kern w:val="0"/>
              </w:rPr>
              <w:t>5</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jc w:val="center"/>
        </w:trPr>
        <w:tc>
          <w:tcPr>
            <w:tcW w:w="0" w:type="auto"/>
            <w:vMerge w:val="continue"/>
            <w:tcBorders>
              <w:top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p>
        </w:tc>
        <w:tc>
          <w:tcPr>
            <w:tcW w:w="2265" w:type="dxa"/>
            <w:vMerge w:val="restart"/>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r>
              <w:rPr>
                <w:rFonts w:hint="eastAsia" w:ascii="宋体,微软雅黑" w:hAnsi="宋体" w:eastAsia="宋体,微软雅黑" w:cs="宋体"/>
                <w:color w:val="000000"/>
                <w:kern w:val="0"/>
              </w:rPr>
              <w:t>满意度（</w:t>
            </w:r>
            <w:r>
              <w:rPr>
                <w:rFonts w:ascii="宋体,微软雅黑" w:hAnsi="宋体" w:eastAsia="宋体,微软雅黑" w:cs="宋体"/>
                <w:color w:val="000000"/>
                <w:kern w:val="0"/>
              </w:rPr>
              <w:t>10</w:t>
            </w:r>
            <w:r>
              <w:rPr>
                <w:rFonts w:hint="eastAsia" w:ascii="宋体,微软雅黑" w:hAnsi="宋体" w:eastAsia="宋体,微软雅黑" w:cs="宋体"/>
                <w:color w:val="000000"/>
                <w:kern w:val="0"/>
              </w:rPr>
              <w:t>分）</w:t>
            </w:r>
          </w:p>
        </w:tc>
        <w:tc>
          <w:tcPr>
            <w:tcW w:w="33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r>
              <w:rPr>
                <w:rFonts w:hint="eastAsia" w:ascii="宋体,微软雅黑" w:hAnsi="宋体" w:eastAsia="宋体,微软雅黑" w:cs="宋体"/>
                <w:color w:val="000000"/>
                <w:kern w:val="0"/>
              </w:rPr>
              <w:t>协作部门满意度（</w:t>
            </w:r>
            <w:r>
              <w:rPr>
                <w:rFonts w:ascii="宋体,微软雅黑" w:hAnsi="宋体" w:eastAsia="宋体,微软雅黑" w:cs="宋体"/>
                <w:color w:val="000000"/>
                <w:kern w:val="0"/>
              </w:rPr>
              <w:t>3</w:t>
            </w:r>
            <w:r>
              <w:rPr>
                <w:rFonts w:hint="eastAsia" w:ascii="宋体,微软雅黑" w:hAnsi="宋体" w:eastAsia="宋体,微软雅黑" w:cs="宋体"/>
                <w:color w:val="000000"/>
                <w:kern w:val="0"/>
              </w:rPr>
              <w:t>分）</w:t>
            </w:r>
          </w:p>
        </w:tc>
        <w:tc>
          <w:tcPr>
            <w:tcW w:w="2115" w:type="dxa"/>
            <w:tcBorders>
              <w:top w:val="single" w:color="000000" w:sz="6" w:space="0"/>
              <w:left w:val="single" w:color="000000" w:sz="6" w:space="0"/>
              <w:bottom w:val="single" w:color="000000" w:sz="6" w:space="0"/>
            </w:tcBorders>
            <w:shd w:val="clear" w:color="auto" w:fill="FFFFFF"/>
          </w:tcPr>
          <w:p>
            <w:pPr>
              <w:widowControl/>
              <w:jc w:val="left"/>
              <w:rPr>
                <w:rFonts w:ascii="宋体,微软雅黑" w:hAnsi="宋体" w:eastAsia="宋体,微软雅黑" w:cs="宋体"/>
                <w:color w:val="000000"/>
                <w:kern w:val="0"/>
                <w:szCs w:val="21"/>
              </w:rPr>
            </w:pPr>
            <w:r>
              <w:rPr>
                <w:rFonts w:ascii="宋体,微软雅黑" w:hAnsi="宋体" w:eastAsia="宋体,微软雅黑" w:cs="宋体"/>
                <w:color w:val="000000"/>
                <w:kern w:val="0"/>
              </w:rPr>
              <w:t>3</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jc w:val="center"/>
        </w:trPr>
        <w:tc>
          <w:tcPr>
            <w:tcW w:w="0" w:type="auto"/>
            <w:vMerge w:val="continue"/>
            <w:tcBorders>
              <w:top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p>
        </w:tc>
        <w:tc>
          <w:tcPr>
            <w:tcW w:w="33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r>
              <w:rPr>
                <w:rFonts w:hint="eastAsia" w:ascii="宋体,微软雅黑" w:hAnsi="宋体" w:eastAsia="宋体,微软雅黑" w:cs="宋体"/>
                <w:color w:val="000000"/>
                <w:kern w:val="0"/>
              </w:rPr>
              <w:t>管理对象满意度（</w:t>
            </w:r>
            <w:r>
              <w:rPr>
                <w:rFonts w:ascii="宋体,微软雅黑" w:hAnsi="宋体" w:eastAsia="宋体,微软雅黑" w:cs="宋体"/>
                <w:color w:val="000000"/>
                <w:kern w:val="0"/>
              </w:rPr>
              <w:t>3</w:t>
            </w:r>
            <w:r>
              <w:rPr>
                <w:rFonts w:hint="eastAsia" w:ascii="宋体,微软雅黑" w:hAnsi="宋体" w:eastAsia="宋体,微软雅黑" w:cs="宋体"/>
                <w:color w:val="000000"/>
                <w:kern w:val="0"/>
              </w:rPr>
              <w:t>分）</w:t>
            </w:r>
          </w:p>
        </w:tc>
        <w:tc>
          <w:tcPr>
            <w:tcW w:w="2115" w:type="dxa"/>
            <w:tcBorders>
              <w:top w:val="single" w:color="000000" w:sz="6" w:space="0"/>
              <w:left w:val="single" w:color="000000" w:sz="6" w:space="0"/>
              <w:bottom w:val="single" w:color="000000" w:sz="6" w:space="0"/>
            </w:tcBorders>
            <w:shd w:val="clear" w:color="auto" w:fill="FFFFFF"/>
          </w:tcPr>
          <w:p>
            <w:pPr>
              <w:widowControl/>
              <w:jc w:val="left"/>
              <w:rPr>
                <w:rFonts w:ascii="宋体,微软雅黑" w:hAnsi="宋体" w:eastAsia="宋体,微软雅黑" w:cs="宋体"/>
                <w:color w:val="000000"/>
                <w:kern w:val="0"/>
                <w:szCs w:val="21"/>
              </w:rPr>
            </w:pPr>
            <w:r>
              <w:rPr>
                <w:rFonts w:ascii="宋体,微软雅黑" w:hAnsi="宋体" w:eastAsia="宋体,微软雅黑" w:cs="宋体"/>
                <w:color w:val="000000"/>
                <w:kern w:val="0"/>
              </w:rPr>
              <w:t>3</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jc w:val="center"/>
        </w:trPr>
        <w:tc>
          <w:tcPr>
            <w:tcW w:w="0" w:type="auto"/>
            <w:vMerge w:val="continue"/>
            <w:tcBorders>
              <w:top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p>
        </w:tc>
        <w:tc>
          <w:tcPr>
            <w:tcW w:w="0" w:type="auto"/>
            <w:vMerge w:val="continue"/>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p>
        </w:tc>
        <w:tc>
          <w:tcPr>
            <w:tcW w:w="3390" w:type="dxa"/>
            <w:tcBorders>
              <w:top w:val="single" w:color="000000" w:sz="6" w:space="0"/>
              <w:left w:val="single" w:color="000000" w:sz="6" w:space="0"/>
              <w:bottom w:val="single" w:color="000000" w:sz="6" w:space="0"/>
              <w:right w:val="single" w:color="000000" w:sz="6" w:space="0"/>
            </w:tcBorders>
            <w:shd w:val="clear" w:color="auto" w:fill="FFFFFF"/>
            <w:vAlign w:val="center"/>
          </w:tcPr>
          <w:p>
            <w:pPr>
              <w:widowControl/>
              <w:jc w:val="left"/>
              <w:rPr>
                <w:rFonts w:ascii="宋体,微软雅黑" w:hAnsi="宋体" w:eastAsia="宋体,微软雅黑" w:cs="宋体"/>
                <w:color w:val="000000"/>
                <w:kern w:val="0"/>
                <w:szCs w:val="21"/>
              </w:rPr>
            </w:pPr>
            <w:r>
              <w:rPr>
                <w:rFonts w:hint="eastAsia" w:ascii="宋体,微软雅黑" w:hAnsi="宋体" w:eastAsia="宋体,微软雅黑" w:cs="宋体"/>
                <w:color w:val="000000"/>
                <w:kern w:val="0"/>
              </w:rPr>
              <w:t>社会公众满意度（</w:t>
            </w:r>
            <w:r>
              <w:rPr>
                <w:rFonts w:ascii="宋体,微软雅黑" w:hAnsi="宋体" w:eastAsia="宋体,微软雅黑" w:cs="宋体"/>
                <w:color w:val="000000"/>
                <w:kern w:val="0"/>
              </w:rPr>
              <w:t>4</w:t>
            </w:r>
            <w:r>
              <w:rPr>
                <w:rFonts w:hint="eastAsia" w:ascii="宋体,微软雅黑" w:hAnsi="宋体" w:eastAsia="宋体,微软雅黑" w:cs="宋体"/>
                <w:color w:val="000000"/>
                <w:kern w:val="0"/>
              </w:rPr>
              <w:t>分）</w:t>
            </w:r>
          </w:p>
        </w:tc>
        <w:tc>
          <w:tcPr>
            <w:tcW w:w="2115" w:type="dxa"/>
            <w:tcBorders>
              <w:top w:val="single" w:color="000000" w:sz="6" w:space="0"/>
              <w:left w:val="single" w:color="000000" w:sz="6" w:space="0"/>
              <w:bottom w:val="single" w:color="000000" w:sz="6" w:space="0"/>
            </w:tcBorders>
            <w:shd w:val="clear" w:color="auto" w:fill="FFFFFF"/>
          </w:tcPr>
          <w:p>
            <w:pPr>
              <w:widowControl/>
              <w:jc w:val="left"/>
              <w:rPr>
                <w:rFonts w:ascii="宋体,微软雅黑" w:hAnsi="宋体" w:eastAsia="宋体,微软雅黑" w:cs="宋体"/>
                <w:color w:val="000000"/>
                <w:kern w:val="0"/>
                <w:szCs w:val="21"/>
              </w:rPr>
            </w:pPr>
            <w:r>
              <w:rPr>
                <w:rFonts w:ascii="宋体,微软雅黑" w:hAnsi="宋体" w:eastAsia="宋体,微软雅黑" w:cs="宋体"/>
                <w:color w:val="000000"/>
                <w:kern w:val="0"/>
              </w:rPr>
              <w:t>4</w:t>
            </w:r>
          </w:p>
        </w:tc>
      </w:tr>
    </w:tbl>
    <w:p>
      <w:pPr>
        <w:spacing w:line="600" w:lineRule="exact"/>
        <w:jc w:val="center"/>
        <w:outlineLvl w:val="0"/>
        <w:rPr>
          <w:rFonts w:ascii="仿宋_GB2312" w:hAnsi="Calibri" w:eastAsia="仿宋_GB2312"/>
          <w:sz w:val="32"/>
          <w:szCs w:val="32"/>
          <w:shd w:val="clear" w:color="auto" w:fill="FFFFFF"/>
          <w:lang w:val="zh-CN"/>
        </w:rPr>
      </w:pPr>
    </w:p>
    <w:p>
      <w:pPr>
        <w:pStyle w:val="3"/>
        <w:rPr>
          <w:rFonts w:hint="eastAsia" w:ascii="方正小标宋简体" w:hAnsi="宋体" w:eastAsia="仿宋"/>
          <w:sz w:val="44"/>
          <w:szCs w:val="44"/>
          <w:lang w:val="en-US" w:eastAsia="zh-CN"/>
        </w:rPr>
      </w:pPr>
      <w:r>
        <w:rPr>
          <w:rStyle w:val="19"/>
          <w:rFonts w:hint="eastAsia" w:ascii="仿宋" w:hAnsi="仿宋" w:eastAsia="仿宋"/>
          <w:b w:val="0"/>
          <w:bCs w:val="0"/>
          <w:sz w:val="32"/>
          <w:szCs w:val="32"/>
        </w:rPr>
        <w:t>附件</w:t>
      </w:r>
      <w:r>
        <w:rPr>
          <w:rStyle w:val="19"/>
          <w:rFonts w:hint="eastAsia" w:ascii="仿宋" w:hAnsi="仿宋" w:eastAsia="仿宋"/>
          <w:b w:val="0"/>
          <w:bCs w:val="0"/>
          <w:sz w:val="32"/>
          <w:szCs w:val="32"/>
          <w:lang w:val="en-US" w:eastAsia="zh-CN"/>
        </w:rPr>
        <w:t>2</w:t>
      </w:r>
    </w:p>
    <w:p>
      <w:pPr>
        <w:pStyle w:val="34"/>
        <w:spacing w:line="580" w:lineRule="exact"/>
        <w:jc w:val="center"/>
        <w:rPr>
          <w:rFonts w:hint="eastAsia" w:ascii="方正小标宋简体" w:hAnsi="宋体" w:eastAsia="方正小标宋简体"/>
          <w:sz w:val="44"/>
          <w:szCs w:val="44"/>
          <w:lang w:val="en-US" w:eastAsia="zh-CN"/>
        </w:rPr>
      </w:pPr>
      <w:r>
        <w:rPr>
          <w:rFonts w:hint="eastAsia" w:ascii="方正小标宋简体" w:hAnsi="宋体" w:eastAsia="方正小标宋简体"/>
          <w:sz w:val="44"/>
          <w:szCs w:val="44"/>
          <w:lang w:val="en-US" w:eastAsia="zh-CN"/>
        </w:rPr>
        <w:t>2018年跃进渠应急抢险工作经费</w:t>
      </w:r>
    </w:p>
    <w:p>
      <w:pPr>
        <w:pStyle w:val="34"/>
        <w:spacing w:line="580" w:lineRule="exact"/>
        <w:jc w:val="center"/>
        <w:rPr>
          <w:rFonts w:ascii="仿宋_GB2312" w:hAnsi="宋体" w:eastAsia="仿宋_GB2312"/>
          <w:color w:val="auto"/>
          <w:kern w:val="2"/>
          <w:sz w:val="32"/>
          <w:szCs w:val="32"/>
        </w:rPr>
      </w:pPr>
      <w:r>
        <w:rPr>
          <w:rFonts w:hint="eastAsia" w:ascii="方正小标宋简体" w:hAnsi="宋体" w:eastAsia="方正小标宋简体"/>
          <w:sz w:val="44"/>
          <w:szCs w:val="44"/>
        </w:rPr>
        <w:t>项目支出绩效</w:t>
      </w:r>
      <w:r>
        <w:rPr>
          <w:rFonts w:hint="eastAsia" w:ascii="方正小标宋简体" w:hAnsi="宋体" w:eastAsia="方正小标宋简体"/>
          <w:sz w:val="44"/>
          <w:szCs w:val="44"/>
          <w:lang w:eastAsia="zh-CN"/>
        </w:rPr>
        <w:t>评价</w:t>
      </w:r>
      <w:r>
        <w:rPr>
          <w:rFonts w:hint="eastAsia" w:ascii="方正小标宋简体" w:hAnsi="宋体" w:eastAsia="方正小标宋简体"/>
          <w:sz w:val="44"/>
          <w:szCs w:val="44"/>
        </w:rPr>
        <w:t>报告</w:t>
      </w:r>
    </w:p>
    <w:p>
      <w:pPr>
        <w:pStyle w:val="34"/>
        <w:spacing w:line="580" w:lineRule="exact"/>
        <w:ind w:firstLine="640"/>
        <w:jc w:val="center"/>
        <w:rPr>
          <w:rFonts w:ascii="宋体"/>
          <w:color w:val="auto"/>
          <w:kern w:val="2"/>
          <w:sz w:val="32"/>
          <w:szCs w:val="32"/>
        </w:rPr>
      </w:pPr>
    </w:p>
    <w:p>
      <w:pPr>
        <w:spacing w:line="580" w:lineRule="exact"/>
        <w:ind w:firstLine="640" w:firstLineChars="200"/>
        <w:rPr>
          <w:rFonts w:hint="eastAsia" w:ascii="仿宋" w:hAnsi="仿宋" w:eastAsia="仿宋" w:cs="仿宋_GB2312"/>
          <w:sz w:val="32"/>
          <w:szCs w:val="32"/>
          <w:lang w:eastAsia="zh-CN"/>
        </w:rPr>
      </w:pPr>
      <w:r>
        <w:rPr>
          <w:rFonts w:hint="eastAsia" w:ascii="仿宋" w:hAnsi="仿宋" w:eastAsia="仿宋" w:cs="仿宋_GB2312"/>
          <w:sz w:val="32"/>
          <w:szCs w:val="32"/>
          <w:lang w:eastAsia="zh-CN"/>
        </w:rPr>
        <w:t>一、评价工作开展及项目情况</w:t>
      </w:r>
    </w:p>
    <w:p>
      <w:pPr>
        <w:spacing w:line="58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（一）现场评价抽样选点情况。</w:t>
      </w:r>
    </w:p>
    <w:p>
      <w:pPr>
        <w:spacing w:line="580" w:lineRule="exact"/>
        <w:ind w:firstLine="640" w:firstLineChars="200"/>
        <w:rPr>
          <w:rFonts w:hint="eastAsia" w:ascii="仿宋" w:hAnsi="仿宋" w:eastAsia="仿宋" w:cs="仿宋_GB2312"/>
          <w:sz w:val="32"/>
          <w:szCs w:val="32"/>
        </w:rPr>
      </w:pPr>
      <w:r>
        <w:rPr>
          <w:rFonts w:hint="eastAsia" w:ascii="仿宋" w:hAnsi="仿宋" w:eastAsia="仿宋" w:cs="仿宋_GB2312"/>
          <w:sz w:val="32"/>
          <w:szCs w:val="32"/>
        </w:rPr>
        <w:t>该项目由跃进渠</w:t>
      </w:r>
      <w:r>
        <w:rPr>
          <w:rFonts w:hint="eastAsia" w:ascii="仿宋" w:hAnsi="仿宋" w:eastAsia="仿宋" w:cs="仿宋_GB2312"/>
          <w:sz w:val="32"/>
          <w:szCs w:val="32"/>
          <w:lang w:eastAsia="zh-CN"/>
        </w:rPr>
        <w:t>保护</w:t>
      </w:r>
      <w:r>
        <w:rPr>
          <w:rFonts w:hint="eastAsia" w:ascii="仿宋" w:hAnsi="仿宋" w:eastAsia="仿宋" w:cs="仿宋_GB2312"/>
          <w:sz w:val="32"/>
          <w:szCs w:val="32"/>
        </w:rPr>
        <w:t>服务中心实施，</w:t>
      </w:r>
      <w:r>
        <w:rPr>
          <w:rFonts w:hint="eastAsia" w:ascii="仿宋" w:hAnsi="仿宋" w:eastAsia="仿宋" w:cs="仿宋_GB2312"/>
          <w:sz w:val="32"/>
          <w:szCs w:val="32"/>
          <w:lang w:eastAsia="zh-CN"/>
        </w:rPr>
        <w:t>采取业主单位自评和</w:t>
      </w:r>
      <w:r>
        <w:rPr>
          <w:rFonts w:hint="eastAsia" w:ascii="仿宋" w:hAnsi="仿宋" w:eastAsia="仿宋" w:cs="仿宋_GB2312"/>
          <w:sz w:val="32"/>
          <w:szCs w:val="32"/>
        </w:rPr>
        <w:t>评价</w:t>
      </w:r>
      <w:r>
        <w:rPr>
          <w:rFonts w:hint="eastAsia" w:ascii="仿宋" w:hAnsi="仿宋" w:eastAsia="仿宋" w:cs="仿宋_GB2312"/>
          <w:sz w:val="32"/>
          <w:szCs w:val="32"/>
          <w:lang w:eastAsia="zh-CN"/>
        </w:rPr>
        <w:t>工作</w:t>
      </w:r>
      <w:r>
        <w:rPr>
          <w:rFonts w:hint="eastAsia" w:ascii="仿宋" w:hAnsi="仿宋" w:eastAsia="仿宋" w:cs="仿宋_GB2312"/>
          <w:sz w:val="32"/>
          <w:szCs w:val="32"/>
        </w:rPr>
        <w:t>组</w:t>
      </w:r>
      <w:r>
        <w:rPr>
          <w:rFonts w:hint="eastAsia" w:ascii="仿宋" w:hAnsi="仿宋" w:eastAsia="仿宋" w:cs="仿宋_GB2312"/>
          <w:sz w:val="32"/>
          <w:szCs w:val="32"/>
          <w:lang w:eastAsia="zh-CN"/>
        </w:rPr>
        <w:t>复评的方式进行项目评价，</w:t>
      </w:r>
      <w:r>
        <w:rPr>
          <w:rFonts w:hint="eastAsia" w:ascii="仿宋" w:hAnsi="仿宋" w:eastAsia="仿宋" w:cs="仿宋_GB2312"/>
          <w:sz w:val="32"/>
          <w:szCs w:val="32"/>
        </w:rPr>
        <w:t>将跃进渠救灾工程作为绩效考评抽取点。</w:t>
      </w:r>
    </w:p>
    <w:p>
      <w:pPr>
        <w:spacing w:line="580" w:lineRule="exact"/>
        <w:ind w:firstLine="640" w:firstLineChars="200"/>
        <w:rPr>
          <w:rFonts w:ascii="仿宋" w:hAnsi="仿宋" w:eastAsia="仿宋" w:cs="仿宋_GB2312"/>
          <w:sz w:val="32"/>
          <w:szCs w:val="32"/>
          <w:lang w:val="zh-CN"/>
        </w:rPr>
      </w:pPr>
      <w:r>
        <w:rPr>
          <w:rFonts w:hint="eastAsia" w:ascii="仿宋" w:hAnsi="仿宋" w:eastAsia="仿宋" w:cs="仿宋_GB2312"/>
          <w:sz w:val="32"/>
          <w:szCs w:val="32"/>
          <w:lang w:val="zh-CN"/>
        </w:rPr>
        <w:t>（二）项目资金申报及批复情况。</w:t>
      </w:r>
      <w:r>
        <w:rPr>
          <w:rFonts w:ascii="仿宋" w:hAnsi="仿宋" w:eastAsia="仿宋" w:cs="仿宋_GB2312"/>
          <w:sz w:val="32"/>
          <w:szCs w:val="32"/>
          <w:lang w:val="zh-CN"/>
        </w:rPr>
        <w:t>2018</w:t>
      </w:r>
      <w:r>
        <w:rPr>
          <w:rFonts w:hint="eastAsia" w:ascii="仿宋" w:hAnsi="仿宋" w:eastAsia="仿宋" w:cs="仿宋_GB2312"/>
          <w:sz w:val="32"/>
          <w:szCs w:val="32"/>
          <w:lang w:val="zh-CN"/>
        </w:rPr>
        <w:t>年跃进渠遭遇了“</w:t>
      </w:r>
      <w:r>
        <w:rPr>
          <w:rFonts w:ascii="仿宋" w:hAnsi="仿宋" w:eastAsia="仿宋" w:cs="仿宋_GB2312"/>
          <w:sz w:val="32"/>
          <w:szCs w:val="32"/>
          <w:lang w:val="zh-CN"/>
        </w:rPr>
        <w:t>5.21</w:t>
      </w:r>
      <w:r>
        <w:rPr>
          <w:rFonts w:hint="eastAsia" w:ascii="仿宋" w:hAnsi="仿宋" w:eastAsia="仿宋" w:cs="仿宋_GB2312"/>
          <w:sz w:val="32"/>
          <w:szCs w:val="32"/>
          <w:lang w:val="zh-CN"/>
        </w:rPr>
        <w:t>”、“</w:t>
      </w:r>
      <w:r>
        <w:rPr>
          <w:rFonts w:ascii="仿宋" w:hAnsi="仿宋" w:eastAsia="仿宋" w:cs="仿宋_GB2312"/>
          <w:sz w:val="32"/>
          <w:szCs w:val="32"/>
          <w:lang w:val="zh-CN"/>
        </w:rPr>
        <w:t>6.26</w:t>
      </w:r>
      <w:r>
        <w:rPr>
          <w:rFonts w:hint="eastAsia" w:ascii="仿宋" w:hAnsi="仿宋" w:eastAsia="仿宋" w:cs="仿宋_GB2312"/>
          <w:sz w:val="32"/>
          <w:szCs w:val="32"/>
          <w:lang w:val="zh-CN"/>
        </w:rPr>
        <w:t>”、“</w:t>
      </w:r>
      <w:r>
        <w:rPr>
          <w:rFonts w:ascii="仿宋" w:hAnsi="仿宋" w:eastAsia="仿宋" w:cs="仿宋_GB2312"/>
          <w:sz w:val="32"/>
          <w:szCs w:val="32"/>
          <w:lang w:val="zh-CN"/>
        </w:rPr>
        <w:t>7.01</w:t>
      </w:r>
      <w:r>
        <w:rPr>
          <w:rFonts w:hint="eastAsia" w:ascii="仿宋" w:hAnsi="仿宋" w:eastAsia="仿宋" w:cs="仿宋_GB2312"/>
          <w:sz w:val="32"/>
          <w:szCs w:val="32"/>
          <w:lang w:val="zh-CN"/>
        </w:rPr>
        <w:t>”三次大暴雨，导致跃进渠周边山体及渠道内外坡滑坡、垮塌严重，引水石河堰灾损严重，市财政批复下达</w:t>
      </w:r>
      <w:r>
        <w:rPr>
          <w:rFonts w:ascii="仿宋" w:hAnsi="仿宋" w:eastAsia="仿宋" w:cs="仿宋_GB2312"/>
          <w:sz w:val="32"/>
          <w:szCs w:val="32"/>
          <w:lang w:val="zh-CN"/>
        </w:rPr>
        <w:t>2018</w:t>
      </w:r>
      <w:r>
        <w:rPr>
          <w:rFonts w:hint="eastAsia" w:ascii="仿宋" w:hAnsi="仿宋" w:eastAsia="仿宋" w:cs="仿宋_GB2312"/>
          <w:sz w:val="32"/>
          <w:szCs w:val="32"/>
          <w:lang w:val="zh-CN"/>
        </w:rPr>
        <w:t>年市级预备费</w:t>
      </w:r>
      <w:r>
        <w:rPr>
          <w:rFonts w:ascii="仿宋" w:hAnsi="仿宋" w:eastAsia="仿宋" w:cs="仿宋_GB2312"/>
          <w:sz w:val="32"/>
          <w:szCs w:val="32"/>
          <w:lang w:val="zh-CN"/>
        </w:rPr>
        <w:t>198</w:t>
      </w:r>
      <w:r>
        <w:rPr>
          <w:rFonts w:hint="eastAsia" w:ascii="仿宋" w:hAnsi="仿宋" w:eastAsia="仿宋" w:cs="仿宋_GB2312"/>
          <w:sz w:val="32"/>
          <w:szCs w:val="32"/>
          <w:lang w:val="zh-CN"/>
        </w:rPr>
        <w:t>万元（乐市财预报</w:t>
      </w:r>
      <w:r>
        <w:rPr>
          <w:rFonts w:ascii="仿宋" w:hAnsi="仿宋" w:eastAsia="仿宋" w:cs="仿宋_GB2312"/>
          <w:sz w:val="32"/>
          <w:szCs w:val="32"/>
          <w:lang w:val="zh-CN"/>
        </w:rPr>
        <w:t>[2018]67</w:t>
      </w:r>
      <w:r>
        <w:rPr>
          <w:rFonts w:hint="eastAsia" w:ascii="仿宋" w:hAnsi="仿宋" w:eastAsia="仿宋" w:cs="仿宋_GB2312"/>
          <w:sz w:val="32"/>
          <w:szCs w:val="32"/>
          <w:lang w:val="zh-CN"/>
        </w:rPr>
        <w:t>号文）（乐水函</w:t>
      </w:r>
      <w:r>
        <w:rPr>
          <w:rFonts w:ascii="仿宋" w:hAnsi="仿宋" w:eastAsia="仿宋" w:cs="仿宋_GB2312"/>
          <w:sz w:val="32"/>
          <w:szCs w:val="32"/>
          <w:lang w:val="zh-CN"/>
        </w:rPr>
        <w:t>[2018]293</w:t>
      </w:r>
      <w:r>
        <w:rPr>
          <w:rFonts w:hint="eastAsia" w:ascii="仿宋" w:hAnsi="仿宋" w:eastAsia="仿宋" w:cs="仿宋_GB2312"/>
          <w:sz w:val="32"/>
          <w:szCs w:val="32"/>
          <w:lang w:val="zh-CN"/>
        </w:rPr>
        <w:t>号文）。该资金符合资金管理办法等相关规定。</w:t>
      </w:r>
    </w:p>
    <w:p>
      <w:pPr>
        <w:spacing w:line="580" w:lineRule="exact"/>
        <w:ind w:firstLine="640" w:firstLineChars="200"/>
        <w:rPr>
          <w:rFonts w:ascii="仿宋" w:hAnsi="仿宋" w:eastAsia="仿宋" w:cs="仿宋_GB2312"/>
          <w:sz w:val="32"/>
          <w:szCs w:val="32"/>
        </w:rPr>
      </w:pPr>
      <w:r>
        <w:rPr>
          <w:rFonts w:hint="eastAsia" w:ascii="仿宋" w:hAnsi="仿宋" w:eastAsia="仿宋" w:cs="仿宋_GB2312"/>
          <w:sz w:val="32"/>
          <w:szCs w:val="32"/>
          <w:lang w:val="zh-CN"/>
        </w:rPr>
        <w:t>（三）项目绩效目标。</w:t>
      </w:r>
      <w:r>
        <w:rPr>
          <w:rFonts w:hint="eastAsia" w:ascii="仿宋" w:hAnsi="仿宋" w:eastAsia="仿宋" w:cs="仿宋_GB2312"/>
          <w:sz w:val="32"/>
          <w:szCs w:val="32"/>
        </w:rPr>
        <w:t>项目主要建设内容：干渠</w:t>
      </w:r>
      <w:r>
        <w:rPr>
          <w:rFonts w:ascii="仿宋" w:hAnsi="仿宋" w:eastAsia="仿宋" w:cs="仿宋_GB2312"/>
          <w:sz w:val="32"/>
          <w:szCs w:val="32"/>
        </w:rPr>
        <w:t>31+270-31+310</w:t>
      </w:r>
      <w:r>
        <w:rPr>
          <w:rFonts w:hint="eastAsia" w:ascii="仿宋" w:hAnsi="仿宋" w:eastAsia="仿宋" w:cs="仿宋_GB2312"/>
          <w:sz w:val="32"/>
          <w:szCs w:val="32"/>
        </w:rPr>
        <w:t>段外坡水毁修复、干渠</w:t>
      </w:r>
      <w:r>
        <w:rPr>
          <w:rFonts w:ascii="仿宋" w:hAnsi="仿宋" w:eastAsia="仿宋" w:cs="仿宋_GB2312"/>
          <w:sz w:val="32"/>
          <w:szCs w:val="32"/>
        </w:rPr>
        <w:t>31+330-31+370</w:t>
      </w:r>
      <w:r>
        <w:rPr>
          <w:rFonts w:hint="eastAsia" w:ascii="仿宋" w:hAnsi="仿宋" w:eastAsia="仿宋" w:cs="仿宋_GB2312"/>
          <w:sz w:val="32"/>
          <w:szCs w:val="32"/>
        </w:rPr>
        <w:t>段右堤水毁修复、干渠</w:t>
      </w:r>
      <w:r>
        <w:rPr>
          <w:rFonts w:ascii="仿宋" w:hAnsi="仿宋" w:eastAsia="仿宋" w:cs="仿宋_GB2312"/>
          <w:sz w:val="32"/>
          <w:szCs w:val="32"/>
        </w:rPr>
        <w:t>32+205-32+255</w:t>
      </w:r>
      <w:r>
        <w:rPr>
          <w:rFonts w:hint="eastAsia" w:ascii="仿宋" w:hAnsi="仿宋" w:eastAsia="仿宋" w:cs="仿宋_GB2312"/>
          <w:sz w:val="32"/>
          <w:szCs w:val="32"/>
        </w:rPr>
        <w:t>段外坡水毁修复、干渠</w:t>
      </w:r>
      <w:r>
        <w:rPr>
          <w:rFonts w:ascii="仿宋" w:hAnsi="仿宋" w:eastAsia="仿宋" w:cs="仿宋_GB2312"/>
          <w:sz w:val="32"/>
          <w:szCs w:val="32"/>
        </w:rPr>
        <w:t>32+260-32+275</w:t>
      </w:r>
      <w:r>
        <w:rPr>
          <w:rFonts w:hint="eastAsia" w:ascii="仿宋" w:hAnsi="仿宋" w:eastAsia="仿宋" w:cs="仿宋_GB2312"/>
          <w:sz w:val="32"/>
          <w:szCs w:val="32"/>
        </w:rPr>
        <w:t>段外坡水毁修复、干渠</w:t>
      </w:r>
      <w:r>
        <w:rPr>
          <w:rFonts w:ascii="仿宋" w:hAnsi="仿宋" w:eastAsia="仿宋" w:cs="仿宋_GB2312"/>
          <w:sz w:val="32"/>
          <w:szCs w:val="32"/>
        </w:rPr>
        <w:t>32+400-32+425</w:t>
      </w:r>
      <w:r>
        <w:rPr>
          <w:rFonts w:hint="eastAsia" w:ascii="仿宋" w:hAnsi="仿宋" w:eastAsia="仿宋" w:cs="仿宋_GB2312"/>
          <w:sz w:val="32"/>
          <w:szCs w:val="32"/>
        </w:rPr>
        <w:t>段外坡水毁修复、干渠零星段落竹笼、树木及垮塌土石方清理，临江支渠全渠竹笼、树木及垮塌土石方清理。该工程抢险完工后将消除渠道安全隐患，满足春灌用水需求及防汛工作要求，并保证了沿渠村民生命和财产安全。该工程经乐山市抢险救灾工程项目联席会议确定为应急抢险工程，乐山市水利电力建筑勘察设计研究院于</w:t>
      </w:r>
      <w:r>
        <w:rPr>
          <w:rFonts w:ascii="仿宋" w:hAnsi="仿宋" w:eastAsia="仿宋" w:cs="仿宋_GB2312"/>
          <w:sz w:val="32"/>
          <w:szCs w:val="32"/>
        </w:rPr>
        <w:t>2018</w:t>
      </w:r>
      <w:r>
        <w:rPr>
          <w:rFonts w:hint="eastAsia" w:ascii="仿宋" w:hAnsi="仿宋" w:eastAsia="仿宋" w:cs="仿宋_GB2312"/>
          <w:sz w:val="32"/>
          <w:szCs w:val="32"/>
        </w:rPr>
        <w:t>年</w:t>
      </w:r>
      <w:r>
        <w:rPr>
          <w:rFonts w:ascii="仿宋" w:hAnsi="仿宋" w:eastAsia="仿宋" w:cs="仿宋_GB2312"/>
          <w:sz w:val="32"/>
          <w:szCs w:val="32"/>
        </w:rPr>
        <w:t>7</w:t>
      </w:r>
      <w:r>
        <w:rPr>
          <w:rFonts w:hint="eastAsia" w:ascii="仿宋" w:hAnsi="仿宋" w:eastAsia="仿宋" w:cs="仿宋_GB2312"/>
          <w:sz w:val="32"/>
          <w:szCs w:val="32"/>
        </w:rPr>
        <w:t>月编制实施方案，乐山市水务局于</w:t>
      </w:r>
      <w:r>
        <w:rPr>
          <w:rFonts w:ascii="仿宋" w:hAnsi="仿宋" w:eastAsia="仿宋" w:cs="仿宋_GB2312"/>
          <w:sz w:val="32"/>
          <w:szCs w:val="32"/>
        </w:rPr>
        <w:t>2018</w:t>
      </w:r>
      <w:r>
        <w:rPr>
          <w:rFonts w:hint="eastAsia" w:ascii="仿宋" w:hAnsi="仿宋" w:eastAsia="仿宋" w:cs="仿宋_GB2312"/>
          <w:sz w:val="32"/>
          <w:szCs w:val="32"/>
        </w:rPr>
        <w:t>年</w:t>
      </w:r>
      <w:r>
        <w:rPr>
          <w:rFonts w:ascii="仿宋" w:hAnsi="仿宋" w:eastAsia="仿宋" w:cs="仿宋_GB2312"/>
          <w:sz w:val="32"/>
          <w:szCs w:val="32"/>
        </w:rPr>
        <w:t>7</w:t>
      </w:r>
      <w:r>
        <w:rPr>
          <w:rFonts w:hint="eastAsia" w:ascii="仿宋" w:hAnsi="仿宋" w:eastAsia="仿宋" w:cs="仿宋_GB2312"/>
          <w:sz w:val="32"/>
          <w:szCs w:val="32"/>
        </w:rPr>
        <w:t>月</w:t>
      </w:r>
      <w:r>
        <w:rPr>
          <w:rFonts w:ascii="仿宋" w:hAnsi="仿宋" w:eastAsia="仿宋" w:cs="仿宋_GB2312"/>
          <w:sz w:val="32"/>
          <w:szCs w:val="32"/>
        </w:rPr>
        <w:t>18</w:t>
      </w:r>
      <w:r>
        <w:rPr>
          <w:rFonts w:hint="eastAsia" w:ascii="仿宋" w:hAnsi="仿宋" w:eastAsia="仿宋" w:cs="仿宋_GB2312"/>
          <w:sz w:val="32"/>
          <w:szCs w:val="32"/>
        </w:rPr>
        <w:t>日对该方案进行了批复（乐水函</w:t>
      </w:r>
      <w:r>
        <w:rPr>
          <w:rFonts w:ascii="仿宋" w:hAnsi="仿宋" w:eastAsia="仿宋" w:cs="仿宋_GB2312"/>
          <w:sz w:val="32"/>
          <w:szCs w:val="32"/>
        </w:rPr>
        <w:t>〔2018</w:t>
      </w:r>
      <w:r>
        <w:rPr>
          <w:rFonts w:hint="eastAsia" w:ascii="仿宋" w:hAnsi="仿宋" w:eastAsia="仿宋" w:cs="仿宋_GB2312"/>
          <w:sz w:val="32"/>
          <w:szCs w:val="32"/>
        </w:rPr>
        <w:t>〕</w:t>
      </w:r>
      <w:r>
        <w:rPr>
          <w:rFonts w:ascii="仿宋" w:hAnsi="仿宋" w:eastAsia="仿宋" w:cs="仿宋_GB2312"/>
          <w:sz w:val="32"/>
          <w:szCs w:val="32"/>
        </w:rPr>
        <w:t>293</w:t>
      </w:r>
      <w:r>
        <w:rPr>
          <w:rFonts w:hint="eastAsia" w:ascii="仿宋" w:hAnsi="仿宋" w:eastAsia="仿宋" w:cs="仿宋_GB2312"/>
          <w:sz w:val="32"/>
          <w:szCs w:val="32"/>
        </w:rPr>
        <w:t>号）。</w:t>
      </w:r>
      <w:r>
        <w:rPr>
          <w:rFonts w:ascii="仿宋" w:hAnsi="仿宋" w:eastAsia="仿宋" w:cs="仿宋_GB2312"/>
          <w:sz w:val="32"/>
          <w:szCs w:val="32"/>
        </w:rPr>
        <w:t>2018</w:t>
      </w:r>
      <w:r>
        <w:rPr>
          <w:rFonts w:hint="eastAsia" w:ascii="仿宋" w:hAnsi="仿宋" w:eastAsia="仿宋" w:cs="仿宋_GB2312"/>
          <w:sz w:val="32"/>
          <w:szCs w:val="32"/>
        </w:rPr>
        <w:t>年</w:t>
      </w:r>
      <w:r>
        <w:rPr>
          <w:rFonts w:ascii="仿宋" w:hAnsi="仿宋" w:eastAsia="仿宋" w:cs="仿宋_GB2312"/>
          <w:sz w:val="32"/>
          <w:szCs w:val="32"/>
        </w:rPr>
        <w:t>7</w:t>
      </w:r>
      <w:r>
        <w:rPr>
          <w:rFonts w:hint="eastAsia" w:ascii="仿宋" w:hAnsi="仿宋" w:eastAsia="仿宋" w:cs="仿宋_GB2312"/>
          <w:sz w:val="32"/>
          <w:szCs w:val="32"/>
        </w:rPr>
        <w:t>月</w:t>
      </w:r>
      <w:r>
        <w:rPr>
          <w:rFonts w:ascii="仿宋" w:hAnsi="仿宋" w:eastAsia="仿宋" w:cs="仿宋_GB2312"/>
          <w:sz w:val="32"/>
          <w:szCs w:val="32"/>
        </w:rPr>
        <w:t>20</w:t>
      </w:r>
      <w:r>
        <w:rPr>
          <w:rFonts w:hint="eastAsia" w:ascii="仿宋" w:hAnsi="仿宋" w:eastAsia="仿宋" w:cs="仿宋_GB2312"/>
          <w:sz w:val="32"/>
          <w:szCs w:val="32"/>
        </w:rPr>
        <w:t>日根据乐山市水务局党组会议的内容（乐水党组定</w:t>
      </w:r>
      <w:r>
        <w:rPr>
          <w:rFonts w:ascii="仿宋" w:hAnsi="仿宋" w:eastAsia="仿宋" w:cs="仿宋_GB2312"/>
          <w:sz w:val="32"/>
          <w:szCs w:val="32"/>
        </w:rPr>
        <w:t>〔2018</w:t>
      </w:r>
      <w:r>
        <w:rPr>
          <w:rFonts w:hint="eastAsia" w:ascii="仿宋" w:hAnsi="仿宋" w:eastAsia="仿宋" w:cs="仿宋_GB2312"/>
          <w:sz w:val="32"/>
          <w:szCs w:val="32"/>
        </w:rPr>
        <w:t>〕</w:t>
      </w:r>
      <w:r>
        <w:rPr>
          <w:rFonts w:ascii="仿宋" w:hAnsi="仿宋" w:eastAsia="仿宋" w:cs="仿宋_GB2312"/>
          <w:sz w:val="32"/>
          <w:szCs w:val="32"/>
        </w:rPr>
        <w:t>14</w:t>
      </w:r>
      <w:r>
        <w:rPr>
          <w:rFonts w:hint="eastAsia" w:ascii="仿宋" w:hAnsi="仿宋" w:eastAsia="仿宋" w:cs="仿宋_GB2312"/>
          <w:sz w:val="32"/>
          <w:szCs w:val="32"/>
        </w:rPr>
        <w:t>号）直接指定中电建都乐建设开发有限公司为施工单位，</w:t>
      </w:r>
      <w:r>
        <w:rPr>
          <w:rFonts w:ascii="仿宋" w:hAnsi="仿宋" w:eastAsia="仿宋" w:cs="仿宋_GB2312"/>
          <w:sz w:val="32"/>
          <w:szCs w:val="32"/>
        </w:rPr>
        <w:t>2018</w:t>
      </w:r>
      <w:r>
        <w:rPr>
          <w:rFonts w:hint="eastAsia" w:ascii="仿宋" w:hAnsi="仿宋" w:eastAsia="仿宋" w:cs="仿宋_GB2312"/>
          <w:sz w:val="32"/>
          <w:szCs w:val="32"/>
        </w:rPr>
        <w:t>年</w:t>
      </w:r>
      <w:r>
        <w:rPr>
          <w:rFonts w:ascii="仿宋" w:hAnsi="仿宋" w:eastAsia="仿宋" w:cs="仿宋_GB2312"/>
          <w:sz w:val="32"/>
          <w:szCs w:val="32"/>
        </w:rPr>
        <w:t>8</w:t>
      </w:r>
      <w:r>
        <w:rPr>
          <w:rFonts w:hint="eastAsia" w:ascii="仿宋" w:hAnsi="仿宋" w:eastAsia="仿宋" w:cs="仿宋_GB2312"/>
          <w:sz w:val="32"/>
          <w:szCs w:val="32"/>
        </w:rPr>
        <w:t>月</w:t>
      </w:r>
      <w:r>
        <w:rPr>
          <w:rFonts w:ascii="仿宋" w:hAnsi="仿宋" w:eastAsia="仿宋" w:cs="仿宋_GB2312"/>
          <w:sz w:val="32"/>
          <w:szCs w:val="32"/>
        </w:rPr>
        <w:t>7</w:t>
      </w:r>
      <w:r>
        <w:rPr>
          <w:rFonts w:hint="eastAsia" w:ascii="仿宋" w:hAnsi="仿宋" w:eastAsia="仿宋" w:cs="仿宋_GB2312"/>
          <w:sz w:val="32"/>
          <w:szCs w:val="32"/>
        </w:rPr>
        <w:t>日签定施工合同，合同价款为</w:t>
      </w:r>
      <w:r>
        <w:rPr>
          <w:rFonts w:ascii="仿宋" w:hAnsi="仿宋" w:eastAsia="仿宋" w:cs="仿宋_GB2312"/>
          <w:sz w:val="32"/>
          <w:szCs w:val="32"/>
        </w:rPr>
        <w:t>178.52</w:t>
      </w:r>
      <w:r>
        <w:rPr>
          <w:rFonts w:hint="eastAsia" w:ascii="仿宋" w:hAnsi="仿宋" w:eastAsia="仿宋" w:cs="仿宋_GB2312"/>
          <w:sz w:val="32"/>
          <w:szCs w:val="32"/>
        </w:rPr>
        <w:t>万元，工程于</w:t>
      </w:r>
      <w:r>
        <w:rPr>
          <w:rFonts w:ascii="仿宋" w:hAnsi="仿宋" w:eastAsia="仿宋" w:cs="仿宋_GB2312"/>
          <w:sz w:val="32"/>
          <w:szCs w:val="32"/>
        </w:rPr>
        <w:t>2018</w:t>
      </w:r>
      <w:r>
        <w:rPr>
          <w:rFonts w:hint="eastAsia" w:ascii="仿宋" w:hAnsi="仿宋" w:eastAsia="仿宋" w:cs="仿宋_GB2312"/>
          <w:sz w:val="32"/>
          <w:szCs w:val="32"/>
        </w:rPr>
        <w:t>年</w:t>
      </w:r>
      <w:r>
        <w:rPr>
          <w:rFonts w:ascii="仿宋" w:hAnsi="仿宋" w:eastAsia="仿宋" w:cs="仿宋_GB2312"/>
          <w:sz w:val="32"/>
          <w:szCs w:val="32"/>
        </w:rPr>
        <w:t>9</w:t>
      </w:r>
      <w:r>
        <w:rPr>
          <w:rFonts w:hint="eastAsia" w:ascii="仿宋" w:hAnsi="仿宋" w:eastAsia="仿宋" w:cs="仿宋_GB2312"/>
          <w:sz w:val="32"/>
          <w:szCs w:val="32"/>
        </w:rPr>
        <w:t>月</w:t>
      </w:r>
      <w:r>
        <w:rPr>
          <w:rFonts w:ascii="仿宋" w:hAnsi="仿宋" w:eastAsia="仿宋" w:cs="仿宋_GB2312"/>
          <w:sz w:val="32"/>
          <w:szCs w:val="32"/>
        </w:rPr>
        <w:t>7</w:t>
      </w:r>
      <w:r>
        <w:rPr>
          <w:rFonts w:hint="eastAsia" w:ascii="仿宋" w:hAnsi="仿宋" w:eastAsia="仿宋" w:cs="仿宋_GB2312"/>
          <w:sz w:val="32"/>
          <w:szCs w:val="32"/>
        </w:rPr>
        <w:t>日全部完工，乐山市财政评审中心于</w:t>
      </w:r>
      <w:r>
        <w:rPr>
          <w:rFonts w:ascii="仿宋" w:hAnsi="仿宋" w:eastAsia="仿宋" w:cs="仿宋_GB2312"/>
          <w:sz w:val="32"/>
          <w:szCs w:val="32"/>
        </w:rPr>
        <w:t>2019</w:t>
      </w:r>
      <w:r>
        <w:rPr>
          <w:rFonts w:hint="eastAsia" w:ascii="仿宋" w:hAnsi="仿宋" w:eastAsia="仿宋" w:cs="仿宋_GB2312"/>
          <w:sz w:val="32"/>
          <w:szCs w:val="32"/>
        </w:rPr>
        <w:t>年</w:t>
      </w:r>
      <w:r>
        <w:rPr>
          <w:rFonts w:ascii="仿宋" w:hAnsi="仿宋" w:eastAsia="仿宋" w:cs="仿宋_GB2312"/>
          <w:sz w:val="32"/>
          <w:szCs w:val="32"/>
        </w:rPr>
        <w:t>1</w:t>
      </w:r>
      <w:r>
        <w:rPr>
          <w:rFonts w:hint="eastAsia" w:ascii="仿宋" w:hAnsi="仿宋" w:eastAsia="仿宋" w:cs="仿宋_GB2312"/>
          <w:sz w:val="32"/>
          <w:szCs w:val="32"/>
        </w:rPr>
        <w:t>月出具结算评审报告。</w:t>
      </w:r>
    </w:p>
    <w:p>
      <w:pPr>
        <w:spacing w:line="580" w:lineRule="exact"/>
        <w:ind w:firstLine="640" w:firstLineChars="200"/>
        <w:rPr>
          <w:rFonts w:ascii="仿宋" w:hAnsi="仿宋" w:eastAsia="仿宋" w:cs="仿宋_GB2312"/>
          <w:sz w:val="32"/>
          <w:szCs w:val="32"/>
        </w:rPr>
      </w:pPr>
      <w:r>
        <w:rPr>
          <w:rFonts w:hint="eastAsia" w:ascii="仿宋" w:hAnsi="仿宋" w:eastAsia="仿宋" w:cs="仿宋_GB2312"/>
          <w:sz w:val="32"/>
          <w:szCs w:val="32"/>
          <w:lang w:val="zh-CN"/>
        </w:rPr>
        <w:t>（四）项目资金申报相符性。</w:t>
      </w:r>
      <w:r>
        <w:rPr>
          <w:rFonts w:hint="eastAsia" w:ascii="仿宋" w:hAnsi="仿宋" w:eastAsia="仿宋" w:cs="仿宋_GB2312"/>
          <w:sz w:val="32"/>
          <w:szCs w:val="32"/>
        </w:rPr>
        <w:t>该工程项目申报内容与项目实施内容基本相符，其中工程量清单中干渠</w:t>
      </w:r>
      <w:r>
        <w:rPr>
          <w:rFonts w:ascii="仿宋" w:hAnsi="仿宋" w:eastAsia="仿宋" w:cs="仿宋_GB2312"/>
          <w:sz w:val="32"/>
          <w:szCs w:val="32"/>
        </w:rPr>
        <w:t>40+100-40+130</w:t>
      </w:r>
      <w:r>
        <w:rPr>
          <w:rFonts w:hint="eastAsia" w:ascii="仿宋" w:hAnsi="仿宋" w:eastAsia="仿宋" w:cs="仿宋_GB2312"/>
          <w:sz w:val="32"/>
          <w:szCs w:val="32"/>
        </w:rPr>
        <w:t>段由峨眉山市三水厂予以修复，具体原因详见“跃进渠</w:t>
      </w:r>
      <w:r>
        <w:rPr>
          <w:rFonts w:ascii="仿宋" w:hAnsi="仿宋" w:eastAsia="仿宋" w:cs="仿宋_GB2312"/>
          <w:sz w:val="32"/>
          <w:szCs w:val="32"/>
        </w:rPr>
        <w:t>2018</w:t>
      </w:r>
      <w:r>
        <w:rPr>
          <w:rFonts w:hint="eastAsia" w:ascii="仿宋" w:hAnsi="仿宋" w:eastAsia="仿宋" w:cs="仿宋_GB2312"/>
          <w:sz w:val="32"/>
          <w:szCs w:val="32"/>
        </w:rPr>
        <w:t>年水毁应急抢险工程”项目变更情况的会议纪要，其申报目标合理可行。</w:t>
      </w:r>
    </w:p>
    <w:p>
      <w:pPr>
        <w:spacing w:line="580" w:lineRule="exact"/>
        <w:ind w:firstLine="640" w:firstLineChars="200"/>
        <w:rPr>
          <w:rFonts w:hint="eastAsia" w:ascii="仿宋" w:hAnsi="仿宋" w:eastAsia="仿宋" w:cs="仿宋_GB2312"/>
          <w:sz w:val="32"/>
          <w:szCs w:val="32"/>
          <w:lang w:eastAsia="zh-CN"/>
        </w:rPr>
      </w:pPr>
      <w:r>
        <w:rPr>
          <w:rFonts w:hint="eastAsia" w:ascii="仿宋" w:hAnsi="仿宋" w:eastAsia="仿宋" w:cs="仿宋_GB2312"/>
          <w:sz w:val="32"/>
          <w:szCs w:val="32"/>
        </w:rPr>
        <w:t>二、</w:t>
      </w:r>
      <w:r>
        <w:rPr>
          <w:rFonts w:hint="eastAsia" w:ascii="仿宋" w:hAnsi="仿宋" w:eastAsia="仿宋" w:cs="仿宋_GB2312"/>
          <w:sz w:val="32"/>
          <w:szCs w:val="32"/>
          <w:lang w:eastAsia="zh-CN"/>
        </w:rPr>
        <w:t>评价结论及绩效分析</w:t>
      </w:r>
    </w:p>
    <w:p>
      <w:pPr>
        <w:spacing w:line="580" w:lineRule="exact"/>
        <w:ind w:firstLine="640" w:firstLineChars="200"/>
        <w:rPr>
          <w:rFonts w:hint="eastAsia" w:ascii="仿宋" w:hAnsi="仿宋" w:eastAsia="仿宋" w:cs="仿宋_GB2312"/>
          <w:sz w:val="32"/>
          <w:szCs w:val="32"/>
          <w:lang w:eastAsia="zh-CN"/>
        </w:rPr>
      </w:pPr>
      <w:r>
        <w:rPr>
          <w:rFonts w:hint="eastAsia" w:ascii="仿宋" w:hAnsi="仿宋" w:eastAsia="仿宋" w:cs="仿宋_GB2312"/>
          <w:sz w:val="32"/>
          <w:szCs w:val="32"/>
          <w:lang w:eastAsia="zh-CN"/>
        </w:rPr>
        <w:t>（一）评价结论</w:t>
      </w:r>
    </w:p>
    <w:p>
      <w:pPr>
        <w:spacing w:line="580" w:lineRule="exact"/>
        <w:ind w:firstLine="640" w:firstLineChars="200"/>
        <w:rPr>
          <w:rFonts w:hAnsi="仿宋_GB2312" w:cs="仿宋_GB2312"/>
        </w:rPr>
      </w:pPr>
      <w:r>
        <w:rPr>
          <w:rFonts w:hint="eastAsia" w:ascii="仿宋" w:hAnsi="仿宋" w:eastAsia="仿宋" w:cs="仿宋_GB2312"/>
          <w:sz w:val="32"/>
          <w:szCs w:val="32"/>
        </w:rPr>
        <w:t>跃进渠应急抢险工程项目是在渠系受灾后的抢险工程，绩效目标明确、合理，资金分配、使用规范，项目完成及时，对保障灌区生产用水及灌区人民生活安全具有重大意义，发挥了资金效益，使用效果好，群众满意度较高。</w:t>
      </w:r>
    </w:p>
    <w:p>
      <w:pPr>
        <w:spacing w:line="620" w:lineRule="exact"/>
        <w:jc w:val="center"/>
        <w:rPr>
          <w:rFonts w:ascii="宋体" w:hAnsi="宋体" w:eastAsia="宋体"/>
          <w:b/>
          <w:sz w:val="24"/>
        </w:rPr>
      </w:pPr>
      <w:r>
        <w:rPr>
          <w:rFonts w:hint="eastAsia" w:ascii="宋体" w:hAnsi="宋体" w:eastAsia="宋体"/>
          <w:b/>
        </w:rPr>
        <w:t>项目支出绩效评价指标体系</w:t>
      </w:r>
    </w:p>
    <w:p>
      <w:pPr>
        <w:spacing w:line="240" w:lineRule="exact"/>
        <w:jc w:val="center"/>
        <w:rPr>
          <w:rFonts w:ascii="宋体" w:hAnsi="宋体" w:eastAsia="宋体"/>
          <w:b/>
          <w:sz w:val="24"/>
        </w:rPr>
      </w:pPr>
    </w:p>
    <w:tbl>
      <w:tblPr>
        <w:tblStyle w:val="13"/>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2"/>
        <w:gridCol w:w="822"/>
        <w:gridCol w:w="1375"/>
        <w:gridCol w:w="510"/>
        <w:gridCol w:w="55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822" w:type="dxa"/>
            <w:vMerge w:val="restart"/>
            <w:shd w:val="clear" w:color="auto" w:fill="auto"/>
            <w:vAlign w:val="center"/>
          </w:tcPr>
          <w:p>
            <w:pPr>
              <w:widowControl/>
              <w:spacing w:line="260" w:lineRule="exact"/>
              <w:jc w:val="center"/>
              <w:rPr>
                <w:rFonts w:ascii="宋体" w:hAnsi="宋体" w:eastAsia="宋体" w:cs="宋体"/>
                <w:b/>
                <w:bCs/>
                <w:kern w:val="0"/>
                <w:sz w:val="21"/>
                <w:szCs w:val="21"/>
              </w:rPr>
            </w:pPr>
            <w:r>
              <w:rPr>
                <w:rFonts w:hint="eastAsia" w:ascii="宋体" w:hAnsi="宋体" w:eastAsia="宋体" w:cs="宋体"/>
                <w:b/>
                <w:bCs/>
                <w:kern w:val="0"/>
                <w:sz w:val="21"/>
                <w:szCs w:val="21"/>
              </w:rPr>
              <w:t>一级</w:t>
            </w:r>
          </w:p>
          <w:p>
            <w:pPr>
              <w:widowControl/>
              <w:spacing w:line="260" w:lineRule="exact"/>
              <w:jc w:val="center"/>
              <w:rPr>
                <w:rFonts w:ascii="宋体" w:hAnsi="宋体" w:eastAsia="宋体" w:cs="宋体"/>
                <w:b/>
                <w:bCs/>
                <w:kern w:val="0"/>
                <w:sz w:val="21"/>
                <w:szCs w:val="21"/>
              </w:rPr>
            </w:pPr>
            <w:r>
              <w:rPr>
                <w:rFonts w:hint="eastAsia" w:ascii="宋体" w:hAnsi="宋体" w:eastAsia="宋体" w:cs="宋体"/>
                <w:b/>
                <w:bCs/>
                <w:kern w:val="0"/>
                <w:sz w:val="21"/>
                <w:szCs w:val="21"/>
              </w:rPr>
              <w:t>指标</w:t>
            </w:r>
          </w:p>
        </w:tc>
        <w:tc>
          <w:tcPr>
            <w:tcW w:w="822" w:type="dxa"/>
            <w:vMerge w:val="restart"/>
            <w:shd w:val="clear" w:color="auto" w:fill="auto"/>
            <w:vAlign w:val="center"/>
          </w:tcPr>
          <w:p>
            <w:pPr>
              <w:widowControl/>
              <w:spacing w:line="260" w:lineRule="exact"/>
              <w:jc w:val="center"/>
              <w:rPr>
                <w:rFonts w:ascii="宋体" w:hAnsi="宋体" w:eastAsia="宋体" w:cs="宋体"/>
                <w:b/>
                <w:bCs/>
                <w:kern w:val="0"/>
                <w:sz w:val="21"/>
                <w:szCs w:val="21"/>
              </w:rPr>
            </w:pPr>
            <w:r>
              <w:rPr>
                <w:rFonts w:hint="eastAsia" w:ascii="宋体" w:hAnsi="宋体" w:eastAsia="宋体" w:cs="宋体"/>
                <w:b/>
                <w:bCs/>
                <w:kern w:val="0"/>
                <w:sz w:val="21"/>
                <w:szCs w:val="21"/>
              </w:rPr>
              <w:t>二级</w:t>
            </w:r>
          </w:p>
          <w:p>
            <w:pPr>
              <w:widowControl/>
              <w:spacing w:line="260" w:lineRule="exact"/>
              <w:jc w:val="center"/>
              <w:rPr>
                <w:rFonts w:ascii="宋体" w:hAnsi="宋体" w:eastAsia="宋体" w:cs="宋体"/>
                <w:b/>
                <w:bCs/>
                <w:kern w:val="0"/>
                <w:sz w:val="21"/>
                <w:szCs w:val="21"/>
              </w:rPr>
            </w:pPr>
            <w:r>
              <w:rPr>
                <w:rFonts w:hint="eastAsia" w:ascii="宋体" w:hAnsi="宋体" w:eastAsia="宋体" w:cs="宋体"/>
                <w:b/>
                <w:bCs/>
                <w:kern w:val="0"/>
                <w:sz w:val="21"/>
                <w:szCs w:val="21"/>
              </w:rPr>
              <w:t>指标</w:t>
            </w:r>
          </w:p>
        </w:tc>
        <w:tc>
          <w:tcPr>
            <w:tcW w:w="1375" w:type="dxa"/>
            <w:vMerge w:val="restart"/>
            <w:shd w:val="clear" w:color="auto" w:fill="auto"/>
            <w:vAlign w:val="center"/>
          </w:tcPr>
          <w:p>
            <w:pPr>
              <w:widowControl/>
              <w:spacing w:line="260" w:lineRule="exact"/>
              <w:jc w:val="center"/>
              <w:rPr>
                <w:rFonts w:ascii="宋体" w:hAnsi="宋体" w:eastAsia="宋体" w:cs="宋体"/>
                <w:b/>
                <w:bCs/>
                <w:kern w:val="0"/>
                <w:sz w:val="21"/>
                <w:szCs w:val="21"/>
              </w:rPr>
            </w:pPr>
            <w:r>
              <w:rPr>
                <w:rFonts w:hint="eastAsia" w:ascii="宋体" w:hAnsi="宋体" w:eastAsia="宋体" w:cs="宋体"/>
                <w:b/>
                <w:bCs/>
                <w:kern w:val="0"/>
                <w:sz w:val="21"/>
                <w:szCs w:val="21"/>
              </w:rPr>
              <w:t>三级指标</w:t>
            </w:r>
          </w:p>
        </w:tc>
        <w:tc>
          <w:tcPr>
            <w:tcW w:w="510" w:type="dxa"/>
            <w:vMerge w:val="restart"/>
            <w:shd w:val="clear" w:color="auto" w:fill="auto"/>
            <w:vAlign w:val="center"/>
          </w:tcPr>
          <w:p>
            <w:pPr>
              <w:widowControl/>
              <w:spacing w:line="260" w:lineRule="exact"/>
              <w:jc w:val="center"/>
              <w:rPr>
                <w:rFonts w:ascii="宋体" w:hAnsi="宋体" w:eastAsia="宋体" w:cs="宋体"/>
                <w:b/>
                <w:bCs/>
                <w:kern w:val="0"/>
                <w:sz w:val="21"/>
                <w:szCs w:val="21"/>
              </w:rPr>
            </w:pPr>
            <w:r>
              <w:rPr>
                <w:rFonts w:hint="eastAsia" w:ascii="宋体" w:hAnsi="宋体" w:eastAsia="宋体" w:cs="宋体"/>
                <w:b/>
                <w:bCs/>
                <w:kern w:val="0"/>
                <w:sz w:val="21"/>
                <w:szCs w:val="21"/>
              </w:rPr>
              <w:t>评分</w:t>
            </w:r>
          </w:p>
        </w:tc>
        <w:tc>
          <w:tcPr>
            <w:tcW w:w="5543" w:type="dxa"/>
            <w:vMerge w:val="restart"/>
            <w:shd w:val="clear" w:color="auto" w:fill="auto"/>
            <w:vAlign w:val="center"/>
          </w:tcPr>
          <w:p>
            <w:pPr>
              <w:widowControl/>
              <w:spacing w:line="260" w:lineRule="exact"/>
              <w:jc w:val="center"/>
              <w:rPr>
                <w:rFonts w:ascii="宋体" w:hAnsi="宋体" w:eastAsia="宋体" w:cs="宋体"/>
                <w:b/>
                <w:bCs/>
                <w:kern w:val="0"/>
                <w:sz w:val="21"/>
                <w:szCs w:val="21"/>
              </w:rPr>
            </w:pPr>
            <w:r>
              <w:rPr>
                <w:rFonts w:hint="eastAsia" w:ascii="宋体" w:hAnsi="宋体" w:eastAsia="宋体" w:cs="宋体"/>
                <w:b/>
                <w:bCs/>
                <w:kern w:val="0"/>
                <w:sz w:val="21"/>
                <w:szCs w:val="21"/>
              </w:rPr>
              <w:t>指标评价内容</w:t>
            </w:r>
            <w:r>
              <w:rPr>
                <w:rFonts w:hint="eastAsia" w:ascii="宋体" w:hAnsi="宋体" w:eastAsia="宋体" w:cs="宋体"/>
                <w:b/>
                <w:bCs/>
                <w:kern w:val="0"/>
                <w:sz w:val="21"/>
                <w:szCs w:val="21"/>
              </w:rPr>
              <w:br w:type="textWrapping"/>
            </w:r>
            <w:r>
              <w:rPr>
                <w:rFonts w:hint="eastAsia" w:ascii="宋体" w:hAnsi="宋体" w:eastAsia="宋体" w:cs="宋体"/>
                <w:kern w:val="0"/>
                <w:sz w:val="21"/>
                <w:szCs w:val="21"/>
              </w:rPr>
              <w:t>（公式计算结果＝x）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822" w:type="dxa"/>
            <w:vMerge w:val="continue"/>
            <w:shd w:val="clear" w:color="auto" w:fill="auto"/>
            <w:vAlign w:val="center"/>
          </w:tcPr>
          <w:p>
            <w:pPr>
              <w:widowControl/>
              <w:spacing w:line="260" w:lineRule="exact"/>
              <w:jc w:val="left"/>
              <w:rPr>
                <w:rFonts w:ascii="宋体" w:hAnsi="宋体" w:eastAsia="宋体" w:cs="宋体"/>
                <w:b/>
                <w:bCs/>
                <w:kern w:val="0"/>
                <w:sz w:val="21"/>
                <w:szCs w:val="21"/>
              </w:rPr>
            </w:pPr>
          </w:p>
        </w:tc>
        <w:tc>
          <w:tcPr>
            <w:tcW w:w="822" w:type="dxa"/>
            <w:vMerge w:val="continue"/>
            <w:shd w:val="clear" w:color="auto" w:fill="auto"/>
            <w:vAlign w:val="center"/>
          </w:tcPr>
          <w:p>
            <w:pPr>
              <w:widowControl/>
              <w:spacing w:line="260" w:lineRule="exact"/>
              <w:jc w:val="left"/>
              <w:rPr>
                <w:rFonts w:ascii="宋体" w:hAnsi="宋体" w:eastAsia="宋体" w:cs="宋体"/>
                <w:b/>
                <w:bCs/>
                <w:kern w:val="0"/>
                <w:sz w:val="21"/>
                <w:szCs w:val="21"/>
              </w:rPr>
            </w:pPr>
          </w:p>
        </w:tc>
        <w:tc>
          <w:tcPr>
            <w:tcW w:w="1375" w:type="dxa"/>
            <w:vMerge w:val="continue"/>
            <w:shd w:val="clear" w:color="auto" w:fill="auto"/>
            <w:vAlign w:val="center"/>
          </w:tcPr>
          <w:p>
            <w:pPr>
              <w:widowControl/>
              <w:spacing w:line="260" w:lineRule="exact"/>
              <w:jc w:val="left"/>
              <w:rPr>
                <w:rFonts w:ascii="宋体" w:hAnsi="宋体" w:eastAsia="宋体" w:cs="宋体"/>
                <w:b/>
                <w:bCs/>
                <w:kern w:val="0"/>
                <w:sz w:val="21"/>
                <w:szCs w:val="21"/>
              </w:rPr>
            </w:pPr>
          </w:p>
        </w:tc>
        <w:tc>
          <w:tcPr>
            <w:tcW w:w="510" w:type="dxa"/>
            <w:vMerge w:val="continue"/>
            <w:shd w:val="clear" w:color="auto" w:fill="auto"/>
            <w:vAlign w:val="center"/>
          </w:tcPr>
          <w:p>
            <w:pPr>
              <w:widowControl/>
              <w:spacing w:line="260" w:lineRule="exact"/>
              <w:jc w:val="left"/>
              <w:rPr>
                <w:rFonts w:ascii="宋体" w:hAnsi="宋体" w:eastAsia="宋体" w:cs="宋体"/>
                <w:b/>
                <w:bCs/>
                <w:kern w:val="0"/>
                <w:sz w:val="21"/>
                <w:szCs w:val="21"/>
              </w:rPr>
            </w:pPr>
          </w:p>
        </w:tc>
        <w:tc>
          <w:tcPr>
            <w:tcW w:w="5543" w:type="dxa"/>
            <w:vMerge w:val="continue"/>
            <w:shd w:val="clear" w:color="auto" w:fill="auto"/>
            <w:vAlign w:val="center"/>
          </w:tcPr>
          <w:p>
            <w:pPr>
              <w:widowControl/>
              <w:spacing w:line="260" w:lineRule="exact"/>
              <w:jc w:val="left"/>
              <w:rPr>
                <w:rFonts w:ascii="宋体" w:hAnsi="宋体" w:eastAsia="宋体" w:cs="宋体"/>
                <w:b/>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jc w:val="center"/>
        </w:trPr>
        <w:tc>
          <w:tcPr>
            <w:tcW w:w="822" w:type="dxa"/>
            <w:vMerge w:val="continue"/>
            <w:shd w:val="clear" w:color="auto" w:fill="auto"/>
            <w:vAlign w:val="center"/>
          </w:tcPr>
          <w:p>
            <w:pPr>
              <w:widowControl/>
              <w:spacing w:line="260" w:lineRule="exact"/>
              <w:jc w:val="left"/>
              <w:rPr>
                <w:rFonts w:ascii="宋体" w:hAnsi="宋体" w:eastAsia="宋体" w:cs="宋体"/>
                <w:b/>
                <w:bCs/>
                <w:kern w:val="0"/>
                <w:sz w:val="21"/>
                <w:szCs w:val="21"/>
              </w:rPr>
            </w:pPr>
          </w:p>
        </w:tc>
        <w:tc>
          <w:tcPr>
            <w:tcW w:w="822" w:type="dxa"/>
            <w:vMerge w:val="continue"/>
            <w:shd w:val="clear" w:color="auto" w:fill="auto"/>
            <w:vAlign w:val="center"/>
          </w:tcPr>
          <w:p>
            <w:pPr>
              <w:widowControl/>
              <w:spacing w:line="260" w:lineRule="exact"/>
              <w:jc w:val="left"/>
              <w:rPr>
                <w:rFonts w:ascii="宋体" w:hAnsi="宋体" w:eastAsia="宋体" w:cs="宋体"/>
                <w:b/>
                <w:bCs/>
                <w:kern w:val="0"/>
                <w:sz w:val="21"/>
                <w:szCs w:val="21"/>
              </w:rPr>
            </w:pPr>
          </w:p>
        </w:tc>
        <w:tc>
          <w:tcPr>
            <w:tcW w:w="1375" w:type="dxa"/>
            <w:vMerge w:val="continue"/>
            <w:shd w:val="clear" w:color="auto" w:fill="auto"/>
            <w:vAlign w:val="center"/>
          </w:tcPr>
          <w:p>
            <w:pPr>
              <w:widowControl/>
              <w:spacing w:line="260" w:lineRule="exact"/>
              <w:jc w:val="left"/>
              <w:rPr>
                <w:rFonts w:ascii="宋体" w:hAnsi="宋体" w:eastAsia="宋体" w:cs="宋体"/>
                <w:b/>
                <w:bCs/>
                <w:kern w:val="0"/>
                <w:sz w:val="21"/>
                <w:szCs w:val="21"/>
              </w:rPr>
            </w:pPr>
          </w:p>
        </w:tc>
        <w:tc>
          <w:tcPr>
            <w:tcW w:w="510" w:type="dxa"/>
            <w:vMerge w:val="continue"/>
            <w:shd w:val="clear" w:color="auto" w:fill="auto"/>
            <w:vAlign w:val="center"/>
          </w:tcPr>
          <w:p>
            <w:pPr>
              <w:widowControl/>
              <w:spacing w:line="260" w:lineRule="exact"/>
              <w:jc w:val="left"/>
              <w:rPr>
                <w:rFonts w:ascii="宋体" w:hAnsi="宋体" w:eastAsia="宋体" w:cs="宋体"/>
                <w:b/>
                <w:bCs/>
                <w:kern w:val="0"/>
                <w:sz w:val="21"/>
                <w:szCs w:val="21"/>
              </w:rPr>
            </w:pPr>
          </w:p>
        </w:tc>
        <w:tc>
          <w:tcPr>
            <w:tcW w:w="5543" w:type="dxa"/>
            <w:vMerge w:val="continue"/>
            <w:shd w:val="clear" w:color="auto" w:fill="auto"/>
            <w:vAlign w:val="center"/>
          </w:tcPr>
          <w:p>
            <w:pPr>
              <w:widowControl/>
              <w:spacing w:line="260" w:lineRule="exact"/>
              <w:jc w:val="left"/>
              <w:rPr>
                <w:rFonts w:ascii="宋体" w:hAnsi="宋体" w:eastAsia="宋体" w:cs="宋体"/>
                <w:b/>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22" w:type="dxa"/>
            <w:vMerge w:val="restart"/>
            <w:shd w:val="clear" w:color="auto" w:fill="auto"/>
            <w:textDirection w:val="tbRlV"/>
            <w:vAlign w:val="center"/>
          </w:tcPr>
          <w:p>
            <w:pPr>
              <w:widowControl/>
              <w:spacing w:line="260" w:lineRule="exact"/>
              <w:jc w:val="center"/>
              <w:rPr>
                <w:rFonts w:ascii="宋体" w:hAnsi="宋体" w:eastAsia="宋体" w:cs="宋体"/>
                <w:kern w:val="0"/>
                <w:sz w:val="21"/>
                <w:szCs w:val="21"/>
              </w:rPr>
            </w:pPr>
            <w:r>
              <w:rPr>
                <w:rFonts w:hint="eastAsia" w:ascii="宋体" w:hAnsi="宋体" w:eastAsia="宋体" w:cs="宋体"/>
                <w:kern w:val="0"/>
                <w:sz w:val="21"/>
                <w:szCs w:val="21"/>
              </w:rPr>
              <w:t>（20分）</w:t>
            </w:r>
            <w:r>
              <w:rPr>
                <w:rFonts w:hint="eastAsia" w:ascii="宋体" w:hAnsi="宋体" w:eastAsia="宋体" w:cs="宋体"/>
                <w:kern w:val="0"/>
                <w:sz w:val="21"/>
                <w:szCs w:val="21"/>
              </w:rPr>
              <w:br w:type="textWrapping"/>
            </w:r>
            <w:r>
              <w:rPr>
                <w:rFonts w:hint="eastAsia" w:ascii="宋体" w:hAnsi="宋体" w:eastAsia="宋体" w:cs="宋体"/>
                <w:kern w:val="0"/>
                <w:sz w:val="21"/>
                <w:szCs w:val="21"/>
              </w:rPr>
              <w:t>项目决策</w:t>
            </w:r>
          </w:p>
        </w:tc>
        <w:tc>
          <w:tcPr>
            <w:tcW w:w="822" w:type="dxa"/>
            <w:vMerge w:val="restart"/>
            <w:shd w:val="clear" w:color="auto" w:fill="auto"/>
            <w:textDirection w:val="tbRlV"/>
            <w:vAlign w:val="center"/>
          </w:tcPr>
          <w:p>
            <w:pPr>
              <w:widowControl/>
              <w:spacing w:line="260" w:lineRule="exact"/>
              <w:jc w:val="center"/>
              <w:rPr>
                <w:rFonts w:ascii="宋体" w:hAnsi="宋体" w:eastAsia="宋体" w:cs="宋体"/>
                <w:kern w:val="0"/>
                <w:sz w:val="21"/>
                <w:szCs w:val="21"/>
              </w:rPr>
            </w:pPr>
            <w:r>
              <w:rPr>
                <w:rFonts w:hint="eastAsia" w:ascii="宋体" w:hAnsi="宋体" w:eastAsia="宋体" w:cs="宋体"/>
                <w:kern w:val="0"/>
                <w:sz w:val="21"/>
                <w:szCs w:val="21"/>
              </w:rPr>
              <w:t>（10分）</w:t>
            </w:r>
            <w:r>
              <w:rPr>
                <w:rFonts w:hint="eastAsia" w:ascii="宋体" w:hAnsi="宋体" w:eastAsia="宋体" w:cs="宋体"/>
                <w:kern w:val="0"/>
                <w:sz w:val="21"/>
                <w:szCs w:val="21"/>
              </w:rPr>
              <w:br w:type="textWrapping"/>
            </w:r>
            <w:r>
              <w:rPr>
                <w:rFonts w:hint="eastAsia" w:ascii="宋体" w:hAnsi="宋体" w:eastAsia="宋体" w:cs="宋体"/>
                <w:kern w:val="0"/>
                <w:sz w:val="21"/>
                <w:szCs w:val="21"/>
              </w:rPr>
              <w:t>科学决策</w:t>
            </w:r>
          </w:p>
        </w:tc>
        <w:tc>
          <w:tcPr>
            <w:tcW w:w="1375" w:type="dxa"/>
            <w:shd w:val="clear" w:color="auto" w:fill="auto"/>
            <w:vAlign w:val="center"/>
          </w:tcPr>
          <w:p>
            <w:pPr>
              <w:widowControl/>
              <w:spacing w:line="260" w:lineRule="exact"/>
              <w:jc w:val="center"/>
              <w:rPr>
                <w:rFonts w:ascii="宋体" w:hAnsi="宋体" w:eastAsia="宋体" w:cs="宋体"/>
                <w:kern w:val="0"/>
                <w:sz w:val="21"/>
                <w:szCs w:val="21"/>
              </w:rPr>
            </w:pPr>
            <w:r>
              <w:rPr>
                <w:rFonts w:hint="eastAsia" w:ascii="宋体" w:hAnsi="宋体" w:eastAsia="宋体" w:cs="宋体"/>
                <w:kern w:val="0"/>
                <w:sz w:val="21"/>
                <w:szCs w:val="21"/>
              </w:rPr>
              <w:t>必要性</w:t>
            </w:r>
            <w:r>
              <w:rPr>
                <w:rFonts w:hint="eastAsia" w:ascii="宋体" w:hAnsi="宋体" w:eastAsia="宋体" w:cs="宋体"/>
                <w:kern w:val="0"/>
                <w:sz w:val="21"/>
                <w:szCs w:val="21"/>
              </w:rPr>
              <w:br w:type="textWrapping"/>
            </w:r>
            <w:r>
              <w:rPr>
                <w:rFonts w:hint="eastAsia" w:ascii="宋体" w:hAnsi="宋体" w:eastAsia="宋体" w:cs="宋体"/>
                <w:kern w:val="0"/>
                <w:sz w:val="21"/>
                <w:szCs w:val="21"/>
              </w:rPr>
              <w:t>（政策依据)</w:t>
            </w:r>
          </w:p>
        </w:tc>
        <w:tc>
          <w:tcPr>
            <w:tcW w:w="510" w:type="dxa"/>
            <w:shd w:val="clear" w:color="auto" w:fill="auto"/>
            <w:vAlign w:val="center"/>
          </w:tcPr>
          <w:p>
            <w:pPr>
              <w:widowControl/>
              <w:spacing w:line="260" w:lineRule="exact"/>
              <w:jc w:val="center"/>
              <w:rPr>
                <w:rFonts w:ascii="宋体" w:hAnsi="宋体" w:eastAsia="宋体" w:cs="宋体"/>
                <w:kern w:val="0"/>
                <w:sz w:val="21"/>
                <w:szCs w:val="21"/>
              </w:rPr>
            </w:pPr>
            <w:r>
              <w:rPr>
                <w:rFonts w:hint="eastAsia" w:ascii="宋体" w:hAnsi="宋体" w:eastAsia="宋体" w:cs="宋体"/>
                <w:kern w:val="0"/>
                <w:sz w:val="21"/>
                <w:szCs w:val="21"/>
              </w:rPr>
              <w:t>5</w:t>
            </w:r>
          </w:p>
        </w:tc>
        <w:tc>
          <w:tcPr>
            <w:tcW w:w="5543" w:type="dxa"/>
            <w:shd w:val="clear" w:color="auto" w:fill="auto"/>
            <w:vAlign w:val="center"/>
          </w:tcPr>
          <w:p>
            <w:pPr>
              <w:widowControl/>
              <w:spacing w:line="260" w:lineRule="exact"/>
              <w:jc w:val="left"/>
              <w:rPr>
                <w:rFonts w:ascii="宋体" w:hAnsi="宋体" w:eastAsia="宋体" w:cs="宋体"/>
                <w:kern w:val="0"/>
                <w:sz w:val="21"/>
                <w:szCs w:val="21"/>
              </w:rPr>
            </w:pPr>
            <w:r>
              <w:rPr>
                <w:rFonts w:hint="eastAsia" w:ascii="宋体" w:hAnsi="宋体" w:eastAsia="宋体" w:cs="宋体"/>
                <w:kern w:val="0"/>
                <w:sz w:val="21"/>
                <w:szCs w:val="21"/>
              </w:rPr>
              <w:t>项目符合党中央、国务院和省委、省政府决策部署；符合当前经济社会发展需要，政策和实际需求的吻合程度高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22" w:type="dxa"/>
            <w:vMerge w:val="continue"/>
            <w:shd w:val="clear" w:color="auto" w:fill="auto"/>
            <w:vAlign w:val="center"/>
          </w:tcPr>
          <w:p>
            <w:pPr>
              <w:widowControl/>
              <w:spacing w:line="260" w:lineRule="exact"/>
              <w:jc w:val="left"/>
              <w:rPr>
                <w:rFonts w:ascii="宋体" w:hAnsi="宋体" w:eastAsia="宋体" w:cs="宋体"/>
                <w:kern w:val="0"/>
                <w:sz w:val="21"/>
                <w:szCs w:val="21"/>
              </w:rPr>
            </w:pPr>
          </w:p>
        </w:tc>
        <w:tc>
          <w:tcPr>
            <w:tcW w:w="822" w:type="dxa"/>
            <w:vMerge w:val="continue"/>
            <w:shd w:val="clear" w:color="auto" w:fill="auto"/>
            <w:vAlign w:val="center"/>
          </w:tcPr>
          <w:p>
            <w:pPr>
              <w:widowControl/>
              <w:spacing w:line="260" w:lineRule="exact"/>
              <w:jc w:val="left"/>
              <w:rPr>
                <w:rFonts w:ascii="宋体" w:hAnsi="宋体" w:eastAsia="宋体" w:cs="宋体"/>
                <w:kern w:val="0"/>
                <w:sz w:val="21"/>
                <w:szCs w:val="21"/>
              </w:rPr>
            </w:pPr>
          </w:p>
        </w:tc>
        <w:tc>
          <w:tcPr>
            <w:tcW w:w="1375" w:type="dxa"/>
            <w:shd w:val="clear" w:color="auto" w:fill="auto"/>
            <w:vAlign w:val="center"/>
          </w:tcPr>
          <w:p>
            <w:pPr>
              <w:widowControl/>
              <w:spacing w:line="260" w:lineRule="exact"/>
              <w:jc w:val="center"/>
              <w:rPr>
                <w:rFonts w:ascii="宋体" w:hAnsi="宋体" w:eastAsia="宋体" w:cs="宋体"/>
                <w:kern w:val="0"/>
                <w:sz w:val="21"/>
                <w:szCs w:val="21"/>
              </w:rPr>
            </w:pPr>
            <w:r>
              <w:rPr>
                <w:rFonts w:hint="eastAsia" w:ascii="宋体" w:hAnsi="宋体" w:eastAsia="宋体" w:cs="宋体"/>
                <w:kern w:val="0"/>
                <w:sz w:val="21"/>
                <w:szCs w:val="21"/>
              </w:rPr>
              <w:t>可行性</w:t>
            </w:r>
            <w:r>
              <w:rPr>
                <w:rFonts w:hint="eastAsia" w:ascii="宋体" w:hAnsi="宋体" w:eastAsia="宋体" w:cs="宋体"/>
                <w:kern w:val="0"/>
                <w:sz w:val="21"/>
                <w:szCs w:val="21"/>
              </w:rPr>
              <w:br w:type="textWrapping"/>
            </w:r>
            <w:r>
              <w:rPr>
                <w:rFonts w:hint="eastAsia" w:ascii="宋体" w:hAnsi="宋体" w:eastAsia="宋体" w:cs="宋体"/>
                <w:kern w:val="0"/>
                <w:sz w:val="21"/>
                <w:szCs w:val="21"/>
              </w:rPr>
              <w:t>（政策完善）</w:t>
            </w:r>
          </w:p>
        </w:tc>
        <w:tc>
          <w:tcPr>
            <w:tcW w:w="510" w:type="dxa"/>
            <w:shd w:val="clear" w:color="auto" w:fill="auto"/>
            <w:vAlign w:val="center"/>
          </w:tcPr>
          <w:p>
            <w:pPr>
              <w:widowControl/>
              <w:spacing w:line="260" w:lineRule="exact"/>
              <w:jc w:val="center"/>
              <w:rPr>
                <w:rFonts w:ascii="宋体" w:hAnsi="宋体" w:eastAsia="宋体" w:cs="宋体"/>
                <w:kern w:val="0"/>
                <w:sz w:val="21"/>
                <w:szCs w:val="21"/>
              </w:rPr>
            </w:pPr>
            <w:r>
              <w:rPr>
                <w:rFonts w:hint="eastAsia" w:ascii="宋体" w:hAnsi="宋体" w:eastAsia="宋体" w:cs="宋体"/>
                <w:kern w:val="0"/>
                <w:sz w:val="21"/>
                <w:szCs w:val="21"/>
              </w:rPr>
              <w:t>5</w:t>
            </w:r>
          </w:p>
        </w:tc>
        <w:tc>
          <w:tcPr>
            <w:tcW w:w="5543" w:type="dxa"/>
            <w:shd w:val="clear" w:color="auto" w:fill="auto"/>
            <w:vAlign w:val="center"/>
          </w:tcPr>
          <w:p>
            <w:pPr>
              <w:widowControl/>
              <w:spacing w:line="260" w:lineRule="exact"/>
              <w:jc w:val="left"/>
              <w:rPr>
                <w:rFonts w:ascii="宋体" w:hAnsi="宋体" w:eastAsia="宋体" w:cs="宋体"/>
                <w:kern w:val="0"/>
                <w:sz w:val="21"/>
                <w:szCs w:val="21"/>
              </w:rPr>
            </w:pPr>
            <w:r>
              <w:rPr>
                <w:rFonts w:hint="eastAsia" w:ascii="宋体" w:hAnsi="宋体" w:eastAsia="宋体" w:cs="宋体"/>
                <w:kern w:val="0"/>
                <w:sz w:val="21"/>
                <w:szCs w:val="21"/>
              </w:rPr>
              <w:t>可行性论证充分，规划、管理办法、指导意见等制度是否健全完善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22" w:type="dxa"/>
            <w:vMerge w:val="continue"/>
            <w:shd w:val="clear" w:color="auto" w:fill="auto"/>
            <w:vAlign w:val="center"/>
          </w:tcPr>
          <w:p>
            <w:pPr>
              <w:widowControl/>
              <w:spacing w:line="260" w:lineRule="exact"/>
              <w:jc w:val="left"/>
              <w:rPr>
                <w:rFonts w:ascii="宋体" w:hAnsi="宋体" w:eastAsia="宋体" w:cs="宋体"/>
                <w:kern w:val="0"/>
                <w:sz w:val="21"/>
                <w:szCs w:val="21"/>
              </w:rPr>
            </w:pPr>
          </w:p>
        </w:tc>
        <w:tc>
          <w:tcPr>
            <w:tcW w:w="822" w:type="dxa"/>
            <w:vMerge w:val="restart"/>
            <w:shd w:val="clear" w:color="auto" w:fill="auto"/>
            <w:textDirection w:val="tbRlV"/>
            <w:vAlign w:val="center"/>
          </w:tcPr>
          <w:p>
            <w:pPr>
              <w:widowControl/>
              <w:spacing w:line="260" w:lineRule="exact"/>
              <w:jc w:val="center"/>
              <w:rPr>
                <w:rFonts w:ascii="宋体" w:hAnsi="宋体" w:eastAsia="宋体" w:cs="宋体"/>
                <w:kern w:val="0"/>
                <w:sz w:val="21"/>
                <w:szCs w:val="21"/>
              </w:rPr>
            </w:pPr>
            <w:r>
              <w:rPr>
                <w:rFonts w:hint="eastAsia" w:ascii="宋体" w:hAnsi="宋体" w:eastAsia="宋体" w:cs="宋体"/>
                <w:kern w:val="0"/>
                <w:sz w:val="21"/>
                <w:szCs w:val="21"/>
              </w:rPr>
              <w:t>（10）</w:t>
            </w:r>
            <w:r>
              <w:rPr>
                <w:rFonts w:hint="eastAsia" w:ascii="宋体" w:hAnsi="宋体" w:eastAsia="宋体" w:cs="宋体"/>
                <w:kern w:val="0"/>
                <w:sz w:val="21"/>
                <w:szCs w:val="21"/>
              </w:rPr>
              <w:br w:type="textWrapping"/>
            </w:r>
            <w:r>
              <w:rPr>
                <w:rFonts w:hint="eastAsia" w:ascii="宋体" w:hAnsi="宋体" w:eastAsia="宋体" w:cs="宋体"/>
                <w:kern w:val="0"/>
                <w:sz w:val="21"/>
                <w:szCs w:val="21"/>
              </w:rPr>
              <w:t xml:space="preserve">绩效目标    </w:t>
            </w:r>
          </w:p>
        </w:tc>
        <w:tc>
          <w:tcPr>
            <w:tcW w:w="1375" w:type="dxa"/>
            <w:shd w:val="clear" w:color="auto" w:fill="auto"/>
            <w:vAlign w:val="center"/>
          </w:tcPr>
          <w:p>
            <w:pPr>
              <w:widowControl/>
              <w:spacing w:line="260" w:lineRule="exact"/>
              <w:jc w:val="center"/>
              <w:rPr>
                <w:rFonts w:ascii="宋体" w:hAnsi="宋体" w:eastAsia="宋体" w:cs="宋体"/>
                <w:kern w:val="0"/>
                <w:sz w:val="21"/>
                <w:szCs w:val="21"/>
              </w:rPr>
            </w:pPr>
            <w:r>
              <w:rPr>
                <w:rFonts w:hint="eastAsia" w:ascii="宋体" w:hAnsi="宋体" w:eastAsia="宋体" w:cs="宋体"/>
                <w:kern w:val="0"/>
                <w:sz w:val="21"/>
                <w:szCs w:val="21"/>
              </w:rPr>
              <w:t>明确性</w:t>
            </w:r>
          </w:p>
        </w:tc>
        <w:tc>
          <w:tcPr>
            <w:tcW w:w="510" w:type="dxa"/>
            <w:shd w:val="clear" w:color="auto" w:fill="auto"/>
            <w:vAlign w:val="center"/>
          </w:tcPr>
          <w:p>
            <w:pPr>
              <w:widowControl/>
              <w:spacing w:line="260" w:lineRule="exact"/>
              <w:jc w:val="center"/>
              <w:rPr>
                <w:rFonts w:ascii="宋体" w:hAnsi="宋体" w:eastAsia="宋体" w:cs="宋体"/>
                <w:kern w:val="0"/>
                <w:sz w:val="21"/>
                <w:szCs w:val="21"/>
              </w:rPr>
            </w:pPr>
            <w:r>
              <w:rPr>
                <w:rFonts w:hint="eastAsia" w:ascii="宋体" w:hAnsi="宋体" w:eastAsia="宋体" w:cs="宋体"/>
                <w:kern w:val="0"/>
                <w:sz w:val="21"/>
                <w:szCs w:val="21"/>
              </w:rPr>
              <w:t>5</w:t>
            </w:r>
          </w:p>
        </w:tc>
        <w:tc>
          <w:tcPr>
            <w:tcW w:w="5543" w:type="dxa"/>
            <w:shd w:val="clear" w:color="auto" w:fill="auto"/>
            <w:vAlign w:val="center"/>
          </w:tcPr>
          <w:p>
            <w:pPr>
              <w:widowControl/>
              <w:spacing w:line="260" w:lineRule="exact"/>
              <w:jc w:val="left"/>
              <w:rPr>
                <w:rFonts w:ascii="宋体" w:hAnsi="宋体" w:eastAsia="宋体" w:cs="宋体"/>
                <w:kern w:val="0"/>
                <w:sz w:val="21"/>
                <w:szCs w:val="21"/>
              </w:rPr>
            </w:pPr>
            <w:r>
              <w:rPr>
                <w:rFonts w:hint="eastAsia" w:ascii="宋体" w:hAnsi="宋体" w:eastAsia="宋体" w:cs="宋体"/>
                <w:kern w:val="0"/>
                <w:sz w:val="21"/>
                <w:szCs w:val="21"/>
              </w:rPr>
              <w:t>项目预期提供的产品、服务、效益或其他目标明确细化，可衡量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822" w:type="dxa"/>
            <w:vMerge w:val="continue"/>
            <w:shd w:val="clear" w:color="auto" w:fill="auto"/>
            <w:vAlign w:val="center"/>
          </w:tcPr>
          <w:p>
            <w:pPr>
              <w:widowControl/>
              <w:spacing w:line="260" w:lineRule="exact"/>
              <w:jc w:val="left"/>
              <w:rPr>
                <w:rFonts w:ascii="宋体" w:hAnsi="宋体" w:eastAsia="宋体" w:cs="宋体"/>
                <w:kern w:val="0"/>
                <w:sz w:val="21"/>
                <w:szCs w:val="21"/>
              </w:rPr>
            </w:pPr>
          </w:p>
        </w:tc>
        <w:tc>
          <w:tcPr>
            <w:tcW w:w="822" w:type="dxa"/>
            <w:vMerge w:val="continue"/>
            <w:shd w:val="clear" w:color="auto" w:fill="auto"/>
            <w:vAlign w:val="center"/>
          </w:tcPr>
          <w:p>
            <w:pPr>
              <w:widowControl/>
              <w:spacing w:line="260" w:lineRule="exact"/>
              <w:jc w:val="left"/>
              <w:rPr>
                <w:rFonts w:ascii="宋体" w:hAnsi="宋体" w:eastAsia="宋体" w:cs="宋体"/>
                <w:kern w:val="0"/>
                <w:sz w:val="21"/>
                <w:szCs w:val="21"/>
              </w:rPr>
            </w:pPr>
          </w:p>
        </w:tc>
        <w:tc>
          <w:tcPr>
            <w:tcW w:w="1375" w:type="dxa"/>
            <w:shd w:val="clear" w:color="auto" w:fill="auto"/>
            <w:vAlign w:val="center"/>
          </w:tcPr>
          <w:p>
            <w:pPr>
              <w:widowControl/>
              <w:spacing w:line="260" w:lineRule="exact"/>
              <w:jc w:val="center"/>
              <w:rPr>
                <w:rFonts w:ascii="宋体" w:hAnsi="宋体" w:eastAsia="宋体" w:cs="宋体"/>
                <w:kern w:val="0"/>
                <w:sz w:val="21"/>
                <w:szCs w:val="21"/>
              </w:rPr>
            </w:pPr>
            <w:r>
              <w:rPr>
                <w:rFonts w:hint="eastAsia" w:ascii="宋体" w:hAnsi="宋体" w:eastAsia="宋体" w:cs="宋体"/>
                <w:kern w:val="0"/>
                <w:sz w:val="21"/>
                <w:szCs w:val="21"/>
              </w:rPr>
              <w:t>合理性</w:t>
            </w:r>
          </w:p>
        </w:tc>
        <w:tc>
          <w:tcPr>
            <w:tcW w:w="510" w:type="dxa"/>
            <w:shd w:val="clear" w:color="auto" w:fill="auto"/>
            <w:vAlign w:val="center"/>
          </w:tcPr>
          <w:p>
            <w:pPr>
              <w:widowControl/>
              <w:spacing w:line="260" w:lineRule="exact"/>
              <w:jc w:val="center"/>
              <w:rPr>
                <w:rFonts w:ascii="宋体" w:hAnsi="宋体" w:eastAsia="宋体" w:cs="宋体"/>
                <w:kern w:val="0"/>
                <w:sz w:val="21"/>
                <w:szCs w:val="21"/>
              </w:rPr>
            </w:pPr>
            <w:r>
              <w:rPr>
                <w:rFonts w:hint="eastAsia" w:ascii="宋体" w:hAnsi="宋体" w:eastAsia="宋体" w:cs="宋体"/>
                <w:kern w:val="0"/>
                <w:sz w:val="21"/>
                <w:szCs w:val="21"/>
              </w:rPr>
              <w:t>5</w:t>
            </w:r>
          </w:p>
        </w:tc>
        <w:tc>
          <w:tcPr>
            <w:tcW w:w="5543" w:type="dxa"/>
            <w:shd w:val="clear" w:color="auto" w:fill="auto"/>
            <w:vAlign w:val="center"/>
          </w:tcPr>
          <w:p>
            <w:pPr>
              <w:widowControl/>
              <w:spacing w:line="260" w:lineRule="exact"/>
              <w:jc w:val="left"/>
              <w:rPr>
                <w:rFonts w:ascii="宋体" w:hAnsi="宋体" w:eastAsia="宋体" w:cs="宋体"/>
                <w:kern w:val="0"/>
                <w:sz w:val="21"/>
                <w:szCs w:val="21"/>
              </w:rPr>
            </w:pPr>
            <w:r>
              <w:rPr>
                <w:rFonts w:hint="eastAsia" w:ascii="宋体" w:hAnsi="宋体" w:eastAsia="宋体" w:cs="宋体"/>
                <w:kern w:val="0"/>
                <w:sz w:val="21"/>
                <w:szCs w:val="21"/>
              </w:rPr>
              <w:t>绩效目标设定符合实际需求，合理可行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822" w:type="dxa"/>
            <w:vMerge w:val="restart"/>
            <w:shd w:val="clear" w:color="auto" w:fill="auto"/>
            <w:textDirection w:val="tbRlV"/>
            <w:vAlign w:val="center"/>
          </w:tcPr>
          <w:p>
            <w:pPr>
              <w:widowControl/>
              <w:spacing w:line="260" w:lineRule="exact"/>
              <w:jc w:val="center"/>
              <w:rPr>
                <w:rFonts w:ascii="宋体" w:hAnsi="宋体" w:eastAsia="宋体" w:cs="宋体"/>
                <w:kern w:val="0"/>
                <w:sz w:val="21"/>
                <w:szCs w:val="21"/>
              </w:rPr>
            </w:pPr>
            <w:r>
              <w:rPr>
                <w:rFonts w:hint="eastAsia" w:ascii="宋体" w:hAnsi="宋体" w:eastAsia="宋体" w:cs="宋体"/>
                <w:kern w:val="0"/>
                <w:sz w:val="21"/>
                <w:szCs w:val="21"/>
              </w:rPr>
              <w:t>（10分）</w:t>
            </w:r>
            <w:r>
              <w:rPr>
                <w:rFonts w:hint="eastAsia" w:ascii="宋体" w:hAnsi="宋体" w:eastAsia="宋体" w:cs="宋体"/>
                <w:kern w:val="0"/>
                <w:sz w:val="21"/>
                <w:szCs w:val="21"/>
              </w:rPr>
              <w:br w:type="textWrapping"/>
            </w:r>
            <w:r>
              <w:rPr>
                <w:rFonts w:hint="eastAsia" w:ascii="宋体" w:hAnsi="宋体" w:eastAsia="宋体" w:cs="宋体"/>
                <w:kern w:val="0"/>
                <w:sz w:val="21"/>
                <w:szCs w:val="21"/>
              </w:rPr>
              <w:t>项目管理</w:t>
            </w:r>
          </w:p>
        </w:tc>
        <w:tc>
          <w:tcPr>
            <w:tcW w:w="822" w:type="dxa"/>
            <w:vMerge w:val="restart"/>
            <w:shd w:val="clear" w:color="auto" w:fill="auto"/>
            <w:textDirection w:val="tbRlV"/>
            <w:vAlign w:val="center"/>
          </w:tcPr>
          <w:p>
            <w:pPr>
              <w:widowControl/>
              <w:spacing w:line="260" w:lineRule="exact"/>
              <w:jc w:val="center"/>
              <w:rPr>
                <w:rFonts w:ascii="宋体" w:hAnsi="宋体" w:eastAsia="宋体" w:cs="宋体"/>
                <w:kern w:val="0"/>
                <w:sz w:val="21"/>
                <w:szCs w:val="21"/>
              </w:rPr>
            </w:pPr>
            <w:r>
              <w:rPr>
                <w:rFonts w:hint="eastAsia" w:ascii="宋体" w:hAnsi="宋体" w:eastAsia="宋体" w:cs="宋体"/>
                <w:kern w:val="0"/>
                <w:sz w:val="21"/>
                <w:szCs w:val="21"/>
              </w:rPr>
              <w:t>（7分）</w:t>
            </w:r>
            <w:r>
              <w:rPr>
                <w:rFonts w:hint="eastAsia" w:ascii="宋体" w:hAnsi="宋体" w:eastAsia="宋体" w:cs="宋体"/>
                <w:kern w:val="0"/>
                <w:sz w:val="21"/>
                <w:szCs w:val="21"/>
              </w:rPr>
              <w:br w:type="textWrapping"/>
            </w:r>
            <w:r>
              <w:rPr>
                <w:rFonts w:hint="eastAsia" w:ascii="宋体" w:hAnsi="宋体" w:eastAsia="宋体" w:cs="宋体"/>
                <w:kern w:val="0"/>
                <w:sz w:val="21"/>
                <w:szCs w:val="21"/>
              </w:rPr>
              <w:t>资金管理</w:t>
            </w:r>
          </w:p>
        </w:tc>
        <w:tc>
          <w:tcPr>
            <w:tcW w:w="1375" w:type="dxa"/>
            <w:shd w:val="clear" w:color="auto" w:fill="auto"/>
            <w:vAlign w:val="center"/>
          </w:tcPr>
          <w:p>
            <w:pPr>
              <w:widowControl/>
              <w:spacing w:line="260" w:lineRule="exact"/>
              <w:jc w:val="center"/>
              <w:rPr>
                <w:rFonts w:ascii="宋体" w:hAnsi="宋体" w:eastAsia="宋体" w:cs="宋体"/>
                <w:kern w:val="0"/>
                <w:sz w:val="21"/>
                <w:szCs w:val="21"/>
              </w:rPr>
            </w:pPr>
            <w:r>
              <w:rPr>
                <w:rFonts w:hint="eastAsia" w:ascii="宋体" w:hAnsi="宋体" w:eastAsia="宋体" w:cs="宋体"/>
                <w:kern w:val="0"/>
                <w:sz w:val="21"/>
                <w:szCs w:val="21"/>
              </w:rPr>
              <w:t>资金分配</w:t>
            </w:r>
          </w:p>
        </w:tc>
        <w:tc>
          <w:tcPr>
            <w:tcW w:w="510" w:type="dxa"/>
            <w:shd w:val="clear" w:color="auto" w:fill="auto"/>
            <w:vAlign w:val="center"/>
          </w:tcPr>
          <w:p>
            <w:pPr>
              <w:widowControl/>
              <w:spacing w:line="260" w:lineRule="exact"/>
              <w:jc w:val="center"/>
              <w:rPr>
                <w:rFonts w:ascii="宋体" w:hAnsi="宋体" w:eastAsia="宋体" w:cs="宋体"/>
                <w:kern w:val="0"/>
                <w:sz w:val="21"/>
                <w:szCs w:val="21"/>
              </w:rPr>
            </w:pPr>
            <w:r>
              <w:rPr>
                <w:rFonts w:hint="eastAsia" w:ascii="宋体" w:hAnsi="宋体" w:eastAsia="宋体" w:cs="宋体"/>
                <w:kern w:val="0"/>
                <w:sz w:val="21"/>
                <w:szCs w:val="21"/>
              </w:rPr>
              <w:t>3</w:t>
            </w:r>
          </w:p>
        </w:tc>
        <w:tc>
          <w:tcPr>
            <w:tcW w:w="5543" w:type="dxa"/>
            <w:shd w:val="clear" w:color="auto" w:fill="auto"/>
            <w:vAlign w:val="center"/>
          </w:tcPr>
          <w:p>
            <w:pPr>
              <w:widowControl/>
              <w:spacing w:line="260" w:lineRule="exact"/>
              <w:jc w:val="left"/>
              <w:rPr>
                <w:rFonts w:ascii="宋体" w:hAnsi="宋体" w:eastAsia="宋体" w:cs="宋体"/>
                <w:kern w:val="0"/>
                <w:sz w:val="21"/>
                <w:szCs w:val="21"/>
              </w:rPr>
            </w:pPr>
            <w:r>
              <w:rPr>
                <w:rFonts w:hint="eastAsia" w:ascii="宋体" w:hAnsi="宋体" w:eastAsia="宋体" w:cs="宋体"/>
                <w:kern w:val="0"/>
                <w:sz w:val="21"/>
                <w:szCs w:val="21"/>
              </w:rPr>
              <w:t>资金分配管理科学合理、规范有序;体现突出重点或公平性，符合财政资金改革方向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822" w:type="dxa"/>
            <w:vMerge w:val="continue"/>
            <w:shd w:val="clear" w:color="auto" w:fill="auto"/>
            <w:vAlign w:val="center"/>
          </w:tcPr>
          <w:p>
            <w:pPr>
              <w:widowControl/>
              <w:spacing w:line="260" w:lineRule="exact"/>
              <w:jc w:val="left"/>
              <w:rPr>
                <w:rFonts w:ascii="宋体" w:hAnsi="宋体" w:eastAsia="宋体" w:cs="宋体"/>
                <w:kern w:val="0"/>
                <w:sz w:val="21"/>
                <w:szCs w:val="21"/>
              </w:rPr>
            </w:pPr>
          </w:p>
        </w:tc>
        <w:tc>
          <w:tcPr>
            <w:tcW w:w="822" w:type="dxa"/>
            <w:vMerge w:val="continue"/>
            <w:shd w:val="clear" w:color="auto" w:fill="auto"/>
            <w:textDirection w:val="tbRlV"/>
            <w:vAlign w:val="center"/>
          </w:tcPr>
          <w:p>
            <w:pPr>
              <w:widowControl/>
              <w:spacing w:line="260" w:lineRule="exact"/>
              <w:jc w:val="center"/>
              <w:rPr>
                <w:rFonts w:ascii="宋体" w:hAnsi="宋体" w:eastAsia="宋体" w:cs="宋体"/>
                <w:kern w:val="0"/>
                <w:sz w:val="21"/>
                <w:szCs w:val="21"/>
              </w:rPr>
            </w:pPr>
          </w:p>
        </w:tc>
        <w:tc>
          <w:tcPr>
            <w:tcW w:w="1375" w:type="dxa"/>
            <w:shd w:val="clear" w:color="auto" w:fill="auto"/>
            <w:vAlign w:val="center"/>
          </w:tcPr>
          <w:p>
            <w:pPr>
              <w:widowControl/>
              <w:spacing w:line="260" w:lineRule="exact"/>
              <w:jc w:val="center"/>
              <w:rPr>
                <w:rFonts w:ascii="宋体" w:hAnsi="宋体" w:eastAsia="宋体" w:cs="宋体"/>
                <w:kern w:val="0"/>
                <w:sz w:val="21"/>
                <w:szCs w:val="21"/>
              </w:rPr>
            </w:pPr>
            <w:r>
              <w:rPr>
                <w:rFonts w:hint="eastAsia" w:ascii="宋体" w:hAnsi="宋体" w:eastAsia="宋体" w:cs="宋体"/>
                <w:kern w:val="0"/>
                <w:sz w:val="21"/>
                <w:szCs w:val="21"/>
              </w:rPr>
              <w:t>资金使用</w:t>
            </w:r>
          </w:p>
        </w:tc>
        <w:tc>
          <w:tcPr>
            <w:tcW w:w="510" w:type="dxa"/>
            <w:shd w:val="clear" w:color="auto" w:fill="auto"/>
            <w:vAlign w:val="center"/>
          </w:tcPr>
          <w:p>
            <w:pPr>
              <w:widowControl/>
              <w:spacing w:line="260" w:lineRule="exact"/>
              <w:jc w:val="center"/>
              <w:rPr>
                <w:rFonts w:ascii="宋体" w:hAnsi="宋体" w:eastAsia="宋体" w:cs="宋体"/>
                <w:kern w:val="0"/>
                <w:sz w:val="21"/>
                <w:szCs w:val="21"/>
              </w:rPr>
            </w:pPr>
            <w:r>
              <w:rPr>
                <w:rFonts w:hint="eastAsia" w:ascii="宋体" w:hAnsi="宋体" w:eastAsia="宋体" w:cs="宋体"/>
                <w:kern w:val="0"/>
                <w:sz w:val="21"/>
                <w:szCs w:val="21"/>
              </w:rPr>
              <w:t>3</w:t>
            </w:r>
          </w:p>
        </w:tc>
        <w:tc>
          <w:tcPr>
            <w:tcW w:w="5543" w:type="dxa"/>
            <w:shd w:val="clear" w:color="auto" w:fill="auto"/>
            <w:vAlign w:val="center"/>
          </w:tcPr>
          <w:p>
            <w:pPr>
              <w:widowControl/>
              <w:spacing w:line="260" w:lineRule="exact"/>
              <w:jc w:val="left"/>
              <w:rPr>
                <w:rFonts w:ascii="宋体" w:hAnsi="宋体" w:eastAsia="宋体" w:cs="宋体"/>
                <w:kern w:val="0"/>
                <w:sz w:val="21"/>
                <w:szCs w:val="21"/>
              </w:rPr>
            </w:pPr>
            <w:r>
              <w:rPr>
                <w:rFonts w:hint="eastAsia" w:ascii="宋体" w:hAnsi="宋体" w:eastAsia="宋体" w:cs="宋体"/>
                <w:kern w:val="0"/>
                <w:sz w:val="21"/>
                <w:szCs w:val="21"/>
              </w:rPr>
              <w:t>资金使用规范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822" w:type="dxa"/>
            <w:vMerge w:val="continue"/>
            <w:shd w:val="clear" w:color="auto" w:fill="auto"/>
            <w:vAlign w:val="center"/>
          </w:tcPr>
          <w:p>
            <w:pPr>
              <w:widowControl/>
              <w:spacing w:line="260" w:lineRule="exact"/>
              <w:jc w:val="left"/>
              <w:rPr>
                <w:rFonts w:ascii="宋体" w:hAnsi="宋体" w:eastAsia="宋体" w:cs="宋体"/>
                <w:kern w:val="0"/>
                <w:sz w:val="21"/>
                <w:szCs w:val="21"/>
              </w:rPr>
            </w:pPr>
          </w:p>
        </w:tc>
        <w:tc>
          <w:tcPr>
            <w:tcW w:w="822" w:type="dxa"/>
            <w:shd w:val="clear" w:color="auto" w:fill="auto"/>
            <w:textDirection w:val="tbRlV"/>
            <w:vAlign w:val="center"/>
          </w:tcPr>
          <w:p>
            <w:pPr>
              <w:widowControl/>
              <w:spacing w:line="260" w:lineRule="exact"/>
              <w:jc w:val="center"/>
              <w:rPr>
                <w:rFonts w:ascii="宋体" w:hAnsi="宋体" w:eastAsia="宋体" w:cs="宋体"/>
                <w:kern w:val="0"/>
                <w:sz w:val="21"/>
                <w:szCs w:val="21"/>
              </w:rPr>
            </w:pPr>
            <w:r>
              <w:rPr>
                <w:rFonts w:hint="eastAsia" w:ascii="宋体" w:hAnsi="宋体" w:eastAsia="宋体" w:cs="宋体"/>
                <w:kern w:val="0"/>
                <w:sz w:val="21"/>
                <w:szCs w:val="21"/>
              </w:rPr>
              <w:t>（3分）</w:t>
            </w:r>
            <w:r>
              <w:rPr>
                <w:rFonts w:hint="eastAsia" w:ascii="宋体" w:hAnsi="宋体" w:eastAsia="宋体" w:cs="宋体"/>
                <w:kern w:val="0"/>
                <w:sz w:val="21"/>
                <w:szCs w:val="21"/>
              </w:rPr>
              <w:br w:type="textWrapping"/>
            </w:r>
            <w:r>
              <w:rPr>
                <w:rFonts w:hint="eastAsia" w:ascii="宋体" w:hAnsi="宋体" w:eastAsia="宋体" w:cs="宋体"/>
                <w:kern w:val="0"/>
                <w:sz w:val="21"/>
                <w:szCs w:val="21"/>
              </w:rPr>
              <w:t>项目执行</w:t>
            </w:r>
          </w:p>
        </w:tc>
        <w:tc>
          <w:tcPr>
            <w:tcW w:w="1375" w:type="dxa"/>
            <w:shd w:val="clear" w:color="auto" w:fill="auto"/>
            <w:vAlign w:val="center"/>
          </w:tcPr>
          <w:p>
            <w:pPr>
              <w:widowControl/>
              <w:spacing w:line="260" w:lineRule="exact"/>
              <w:jc w:val="center"/>
              <w:rPr>
                <w:rFonts w:ascii="宋体" w:hAnsi="宋体" w:eastAsia="宋体" w:cs="宋体"/>
                <w:kern w:val="0"/>
                <w:sz w:val="21"/>
                <w:szCs w:val="21"/>
              </w:rPr>
            </w:pPr>
            <w:r>
              <w:rPr>
                <w:rFonts w:hint="eastAsia" w:ascii="宋体" w:hAnsi="宋体" w:eastAsia="宋体" w:cs="宋体"/>
                <w:kern w:val="0"/>
                <w:sz w:val="21"/>
                <w:szCs w:val="21"/>
              </w:rPr>
              <w:t>执行规范</w:t>
            </w:r>
          </w:p>
        </w:tc>
        <w:tc>
          <w:tcPr>
            <w:tcW w:w="510" w:type="dxa"/>
            <w:shd w:val="clear" w:color="auto" w:fill="auto"/>
            <w:vAlign w:val="center"/>
          </w:tcPr>
          <w:p>
            <w:pPr>
              <w:widowControl/>
              <w:spacing w:line="260" w:lineRule="exact"/>
              <w:jc w:val="center"/>
              <w:rPr>
                <w:rFonts w:ascii="宋体" w:hAnsi="宋体" w:eastAsia="宋体" w:cs="宋体"/>
                <w:kern w:val="0"/>
                <w:sz w:val="21"/>
                <w:szCs w:val="21"/>
              </w:rPr>
            </w:pPr>
            <w:r>
              <w:rPr>
                <w:rFonts w:hint="eastAsia" w:ascii="宋体" w:hAnsi="宋体" w:eastAsia="宋体" w:cs="宋体"/>
                <w:kern w:val="0"/>
                <w:sz w:val="21"/>
                <w:szCs w:val="21"/>
              </w:rPr>
              <w:t>3</w:t>
            </w:r>
          </w:p>
        </w:tc>
        <w:tc>
          <w:tcPr>
            <w:tcW w:w="5543" w:type="dxa"/>
            <w:shd w:val="clear" w:color="auto" w:fill="auto"/>
            <w:vAlign w:val="center"/>
          </w:tcPr>
          <w:p>
            <w:pPr>
              <w:widowControl/>
              <w:spacing w:line="260" w:lineRule="exact"/>
              <w:jc w:val="left"/>
              <w:rPr>
                <w:rFonts w:ascii="宋体" w:hAnsi="宋体" w:eastAsia="宋体" w:cs="宋体"/>
                <w:kern w:val="0"/>
                <w:sz w:val="21"/>
                <w:szCs w:val="21"/>
              </w:rPr>
            </w:pPr>
            <w:r>
              <w:rPr>
                <w:rFonts w:hint="eastAsia" w:ascii="宋体" w:hAnsi="宋体" w:eastAsia="宋体" w:cs="宋体"/>
                <w:kern w:val="0"/>
                <w:sz w:val="21"/>
                <w:szCs w:val="21"/>
              </w:rPr>
              <w:t>管理制度健全，管理过程科学规范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22" w:type="dxa"/>
            <w:vMerge w:val="restart"/>
            <w:shd w:val="clear" w:color="auto" w:fill="auto"/>
            <w:textDirection w:val="tbRlV"/>
            <w:vAlign w:val="center"/>
          </w:tcPr>
          <w:p>
            <w:pPr>
              <w:widowControl/>
              <w:spacing w:line="260" w:lineRule="exact"/>
              <w:jc w:val="center"/>
              <w:rPr>
                <w:rFonts w:ascii="宋体" w:hAnsi="宋体" w:eastAsia="宋体" w:cs="宋体"/>
                <w:kern w:val="0"/>
                <w:sz w:val="21"/>
                <w:szCs w:val="21"/>
              </w:rPr>
            </w:pPr>
            <w:r>
              <w:rPr>
                <w:rFonts w:hint="eastAsia" w:ascii="宋体" w:hAnsi="宋体" w:eastAsia="宋体" w:cs="宋体"/>
                <w:kern w:val="0"/>
                <w:sz w:val="21"/>
                <w:szCs w:val="21"/>
              </w:rPr>
              <w:t>（特性指标70分）</w:t>
            </w:r>
            <w:r>
              <w:rPr>
                <w:rFonts w:hint="eastAsia" w:ascii="宋体" w:hAnsi="宋体" w:eastAsia="宋体" w:cs="宋体"/>
                <w:kern w:val="0"/>
                <w:sz w:val="21"/>
                <w:szCs w:val="21"/>
              </w:rPr>
              <w:br w:type="textWrapping"/>
            </w:r>
            <w:r>
              <w:rPr>
                <w:rFonts w:hint="eastAsia" w:ascii="宋体" w:hAnsi="宋体" w:eastAsia="宋体" w:cs="宋体"/>
                <w:kern w:val="0"/>
                <w:sz w:val="21"/>
                <w:szCs w:val="21"/>
              </w:rPr>
              <w:t xml:space="preserve">项目绩效  </w:t>
            </w:r>
          </w:p>
        </w:tc>
        <w:tc>
          <w:tcPr>
            <w:tcW w:w="822" w:type="dxa"/>
            <w:vMerge w:val="restart"/>
            <w:shd w:val="clear" w:color="auto" w:fill="auto"/>
            <w:textDirection w:val="tbRlV"/>
            <w:vAlign w:val="center"/>
          </w:tcPr>
          <w:p>
            <w:pPr>
              <w:widowControl/>
              <w:spacing w:line="260" w:lineRule="exact"/>
              <w:jc w:val="center"/>
              <w:rPr>
                <w:rFonts w:ascii="宋体" w:hAnsi="宋体" w:eastAsia="宋体" w:cs="宋体"/>
                <w:kern w:val="0"/>
                <w:sz w:val="21"/>
                <w:szCs w:val="21"/>
              </w:rPr>
            </w:pPr>
            <w:r>
              <w:rPr>
                <w:rFonts w:hint="eastAsia" w:ascii="宋体" w:hAnsi="宋体" w:eastAsia="宋体" w:cs="宋体"/>
                <w:kern w:val="0"/>
                <w:sz w:val="21"/>
                <w:szCs w:val="21"/>
              </w:rPr>
              <w:t>（20）</w:t>
            </w:r>
            <w:r>
              <w:rPr>
                <w:rFonts w:hint="eastAsia" w:ascii="宋体" w:hAnsi="宋体" w:eastAsia="宋体" w:cs="宋体"/>
                <w:kern w:val="0"/>
                <w:sz w:val="21"/>
                <w:szCs w:val="21"/>
              </w:rPr>
              <w:br w:type="textWrapping"/>
            </w:r>
            <w:r>
              <w:rPr>
                <w:rFonts w:hint="eastAsia" w:ascii="宋体" w:hAnsi="宋体" w:eastAsia="宋体" w:cs="宋体"/>
                <w:kern w:val="0"/>
                <w:sz w:val="21"/>
                <w:szCs w:val="21"/>
              </w:rPr>
              <w:t>项目完成</w:t>
            </w:r>
          </w:p>
        </w:tc>
        <w:tc>
          <w:tcPr>
            <w:tcW w:w="1375" w:type="dxa"/>
            <w:shd w:val="clear" w:color="auto" w:fill="auto"/>
            <w:vAlign w:val="center"/>
          </w:tcPr>
          <w:p>
            <w:pPr>
              <w:widowControl/>
              <w:spacing w:line="260" w:lineRule="exact"/>
              <w:jc w:val="center"/>
              <w:rPr>
                <w:rFonts w:ascii="宋体" w:hAnsi="宋体" w:eastAsia="宋体" w:cs="宋体"/>
                <w:kern w:val="0"/>
                <w:sz w:val="21"/>
                <w:szCs w:val="21"/>
              </w:rPr>
            </w:pPr>
            <w:r>
              <w:rPr>
                <w:rFonts w:hint="eastAsia" w:ascii="宋体" w:hAnsi="宋体" w:eastAsia="宋体" w:cs="宋体"/>
                <w:kern w:val="0"/>
                <w:sz w:val="21"/>
                <w:szCs w:val="21"/>
              </w:rPr>
              <w:t>完成数量</w:t>
            </w:r>
          </w:p>
        </w:tc>
        <w:tc>
          <w:tcPr>
            <w:tcW w:w="510" w:type="dxa"/>
            <w:shd w:val="clear" w:color="auto" w:fill="auto"/>
            <w:vAlign w:val="center"/>
          </w:tcPr>
          <w:p>
            <w:pPr>
              <w:widowControl/>
              <w:spacing w:line="260" w:lineRule="exact"/>
              <w:jc w:val="center"/>
              <w:rPr>
                <w:rFonts w:ascii="宋体" w:hAnsi="宋体" w:eastAsia="宋体" w:cs="宋体"/>
                <w:kern w:val="0"/>
                <w:sz w:val="21"/>
                <w:szCs w:val="21"/>
              </w:rPr>
            </w:pPr>
            <w:r>
              <w:rPr>
                <w:rFonts w:hint="eastAsia" w:ascii="宋体" w:hAnsi="宋体" w:eastAsia="宋体" w:cs="宋体"/>
                <w:kern w:val="0"/>
                <w:sz w:val="21"/>
                <w:szCs w:val="21"/>
              </w:rPr>
              <w:t xml:space="preserve">5 </w:t>
            </w:r>
          </w:p>
        </w:tc>
        <w:tc>
          <w:tcPr>
            <w:tcW w:w="5543" w:type="dxa"/>
            <w:shd w:val="clear" w:color="auto" w:fill="auto"/>
            <w:vAlign w:val="center"/>
          </w:tcPr>
          <w:p>
            <w:pPr>
              <w:widowControl/>
              <w:spacing w:line="260" w:lineRule="exact"/>
              <w:jc w:val="left"/>
              <w:rPr>
                <w:rFonts w:ascii="宋体" w:hAnsi="宋体" w:eastAsia="宋体" w:cs="宋体"/>
                <w:kern w:val="0"/>
                <w:sz w:val="21"/>
                <w:szCs w:val="21"/>
              </w:rPr>
            </w:pPr>
            <w:r>
              <w:rPr>
                <w:rFonts w:hint="eastAsia" w:ascii="宋体" w:hAnsi="宋体" w:eastAsia="宋体" w:cs="宋体"/>
                <w:kern w:val="0"/>
                <w:sz w:val="21"/>
                <w:szCs w:val="21"/>
              </w:rPr>
              <w:t>实际完成任务量/绩效目标设定任务量×100%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22" w:type="dxa"/>
            <w:vMerge w:val="continue"/>
            <w:shd w:val="clear" w:color="auto" w:fill="auto"/>
            <w:vAlign w:val="center"/>
          </w:tcPr>
          <w:p>
            <w:pPr>
              <w:widowControl/>
              <w:spacing w:line="260" w:lineRule="exact"/>
              <w:jc w:val="left"/>
              <w:rPr>
                <w:rFonts w:ascii="宋体" w:hAnsi="宋体" w:eastAsia="宋体" w:cs="宋体"/>
                <w:kern w:val="0"/>
                <w:sz w:val="21"/>
                <w:szCs w:val="21"/>
              </w:rPr>
            </w:pPr>
          </w:p>
        </w:tc>
        <w:tc>
          <w:tcPr>
            <w:tcW w:w="822" w:type="dxa"/>
            <w:vMerge w:val="continue"/>
            <w:shd w:val="clear" w:color="auto" w:fill="auto"/>
            <w:vAlign w:val="center"/>
          </w:tcPr>
          <w:p>
            <w:pPr>
              <w:widowControl/>
              <w:spacing w:line="260" w:lineRule="exact"/>
              <w:jc w:val="left"/>
              <w:rPr>
                <w:rFonts w:ascii="宋体" w:hAnsi="宋体" w:eastAsia="宋体" w:cs="宋体"/>
                <w:kern w:val="0"/>
                <w:sz w:val="21"/>
                <w:szCs w:val="21"/>
              </w:rPr>
            </w:pPr>
          </w:p>
        </w:tc>
        <w:tc>
          <w:tcPr>
            <w:tcW w:w="1375" w:type="dxa"/>
            <w:shd w:val="clear" w:color="auto" w:fill="auto"/>
            <w:vAlign w:val="center"/>
          </w:tcPr>
          <w:p>
            <w:pPr>
              <w:widowControl/>
              <w:spacing w:line="260" w:lineRule="exact"/>
              <w:jc w:val="center"/>
              <w:rPr>
                <w:rFonts w:ascii="宋体" w:hAnsi="宋体" w:eastAsia="宋体" w:cs="宋体"/>
                <w:kern w:val="0"/>
                <w:sz w:val="21"/>
                <w:szCs w:val="21"/>
              </w:rPr>
            </w:pPr>
            <w:r>
              <w:rPr>
                <w:rFonts w:hint="eastAsia" w:ascii="宋体" w:hAnsi="宋体" w:eastAsia="宋体" w:cs="宋体"/>
                <w:kern w:val="0"/>
                <w:sz w:val="21"/>
                <w:szCs w:val="21"/>
              </w:rPr>
              <w:t>完成质量</w:t>
            </w:r>
          </w:p>
        </w:tc>
        <w:tc>
          <w:tcPr>
            <w:tcW w:w="510" w:type="dxa"/>
            <w:shd w:val="clear" w:color="auto" w:fill="auto"/>
            <w:vAlign w:val="center"/>
          </w:tcPr>
          <w:p>
            <w:pPr>
              <w:widowControl/>
              <w:spacing w:line="260" w:lineRule="exact"/>
              <w:jc w:val="center"/>
              <w:rPr>
                <w:rFonts w:ascii="宋体" w:hAnsi="宋体" w:eastAsia="宋体" w:cs="宋体"/>
                <w:kern w:val="0"/>
                <w:sz w:val="21"/>
                <w:szCs w:val="21"/>
              </w:rPr>
            </w:pPr>
            <w:r>
              <w:rPr>
                <w:rFonts w:hint="eastAsia" w:ascii="宋体" w:hAnsi="宋体" w:eastAsia="宋体" w:cs="宋体"/>
                <w:kern w:val="0"/>
                <w:sz w:val="21"/>
                <w:szCs w:val="21"/>
              </w:rPr>
              <w:t>5</w:t>
            </w:r>
          </w:p>
        </w:tc>
        <w:tc>
          <w:tcPr>
            <w:tcW w:w="5543" w:type="dxa"/>
            <w:shd w:val="clear" w:color="auto" w:fill="auto"/>
            <w:vAlign w:val="center"/>
          </w:tcPr>
          <w:p>
            <w:pPr>
              <w:widowControl/>
              <w:spacing w:line="260" w:lineRule="exact"/>
              <w:jc w:val="left"/>
              <w:rPr>
                <w:rFonts w:ascii="宋体" w:hAnsi="宋体" w:eastAsia="宋体" w:cs="宋体"/>
                <w:kern w:val="0"/>
                <w:sz w:val="21"/>
                <w:szCs w:val="21"/>
              </w:rPr>
            </w:pPr>
            <w:r>
              <w:rPr>
                <w:rFonts w:hint="eastAsia" w:ascii="宋体" w:hAnsi="宋体" w:eastAsia="宋体" w:cs="宋体"/>
                <w:kern w:val="0"/>
                <w:sz w:val="21"/>
                <w:szCs w:val="21"/>
              </w:rPr>
              <w:t>符合绩效目标设定的验收标准，达到行业基准水平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22" w:type="dxa"/>
            <w:vMerge w:val="continue"/>
            <w:shd w:val="clear" w:color="auto" w:fill="auto"/>
            <w:vAlign w:val="center"/>
          </w:tcPr>
          <w:p>
            <w:pPr>
              <w:widowControl/>
              <w:spacing w:line="260" w:lineRule="exact"/>
              <w:jc w:val="left"/>
              <w:rPr>
                <w:rFonts w:ascii="宋体" w:hAnsi="宋体" w:eastAsia="宋体" w:cs="宋体"/>
                <w:kern w:val="0"/>
                <w:sz w:val="21"/>
                <w:szCs w:val="21"/>
              </w:rPr>
            </w:pPr>
          </w:p>
        </w:tc>
        <w:tc>
          <w:tcPr>
            <w:tcW w:w="822" w:type="dxa"/>
            <w:vMerge w:val="continue"/>
            <w:shd w:val="clear" w:color="auto" w:fill="auto"/>
            <w:vAlign w:val="center"/>
          </w:tcPr>
          <w:p>
            <w:pPr>
              <w:widowControl/>
              <w:spacing w:line="260" w:lineRule="exact"/>
              <w:jc w:val="left"/>
              <w:rPr>
                <w:rFonts w:ascii="宋体" w:hAnsi="宋体" w:eastAsia="宋体" w:cs="宋体"/>
                <w:kern w:val="0"/>
                <w:sz w:val="21"/>
                <w:szCs w:val="21"/>
              </w:rPr>
            </w:pPr>
          </w:p>
        </w:tc>
        <w:tc>
          <w:tcPr>
            <w:tcW w:w="1375" w:type="dxa"/>
            <w:shd w:val="clear" w:color="auto" w:fill="auto"/>
            <w:vAlign w:val="center"/>
          </w:tcPr>
          <w:p>
            <w:pPr>
              <w:widowControl/>
              <w:spacing w:line="260" w:lineRule="exact"/>
              <w:jc w:val="center"/>
              <w:rPr>
                <w:rFonts w:ascii="宋体" w:hAnsi="宋体" w:eastAsia="宋体" w:cs="宋体"/>
                <w:kern w:val="0"/>
                <w:sz w:val="21"/>
                <w:szCs w:val="21"/>
              </w:rPr>
            </w:pPr>
            <w:r>
              <w:rPr>
                <w:rFonts w:hint="eastAsia" w:ascii="宋体" w:hAnsi="宋体" w:eastAsia="宋体" w:cs="宋体"/>
                <w:kern w:val="0"/>
                <w:sz w:val="21"/>
                <w:szCs w:val="21"/>
              </w:rPr>
              <w:t>完成时效</w:t>
            </w:r>
          </w:p>
        </w:tc>
        <w:tc>
          <w:tcPr>
            <w:tcW w:w="510" w:type="dxa"/>
            <w:shd w:val="clear" w:color="auto" w:fill="auto"/>
            <w:vAlign w:val="center"/>
          </w:tcPr>
          <w:p>
            <w:pPr>
              <w:widowControl/>
              <w:spacing w:line="260" w:lineRule="exact"/>
              <w:jc w:val="center"/>
              <w:rPr>
                <w:rFonts w:ascii="宋体" w:hAnsi="宋体" w:eastAsia="宋体" w:cs="宋体"/>
                <w:kern w:val="0"/>
                <w:sz w:val="21"/>
                <w:szCs w:val="21"/>
              </w:rPr>
            </w:pPr>
            <w:r>
              <w:rPr>
                <w:rFonts w:hint="eastAsia" w:ascii="宋体" w:hAnsi="宋体" w:eastAsia="宋体" w:cs="宋体"/>
                <w:kern w:val="0"/>
                <w:sz w:val="21"/>
                <w:szCs w:val="21"/>
              </w:rPr>
              <w:t>4</w:t>
            </w:r>
          </w:p>
        </w:tc>
        <w:tc>
          <w:tcPr>
            <w:tcW w:w="5543" w:type="dxa"/>
            <w:shd w:val="clear" w:color="auto" w:fill="auto"/>
            <w:vAlign w:val="center"/>
          </w:tcPr>
          <w:p>
            <w:pPr>
              <w:widowControl/>
              <w:spacing w:line="260" w:lineRule="exact"/>
              <w:jc w:val="left"/>
              <w:rPr>
                <w:rFonts w:ascii="宋体" w:hAnsi="宋体" w:eastAsia="宋体" w:cs="宋体"/>
                <w:kern w:val="0"/>
                <w:sz w:val="21"/>
                <w:szCs w:val="21"/>
              </w:rPr>
            </w:pPr>
            <w:r>
              <w:rPr>
                <w:rFonts w:hint="eastAsia" w:ascii="宋体" w:hAnsi="宋体" w:eastAsia="宋体" w:cs="宋体"/>
                <w:kern w:val="0"/>
                <w:sz w:val="21"/>
                <w:szCs w:val="21"/>
              </w:rPr>
              <w:t>（实际完成时间-绩效目标设定完成时间）/绩效目标设定完成时间×100%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22" w:type="dxa"/>
            <w:vMerge w:val="continue"/>
            <w:shd w:val="clear" w:color="auto" w:fill="auto"/>
            <w:vAlign w:val="center"/>
          </w:tcPr>
          <w:p>
            <w:pPr>
              <w:widowControl/>
              <w:spacing w:line="260" w:lineRule="exact"/>
              <w:jc w:val="left"/>
              <w:rPr>
                <w:rFonts w:ascii="宋体" w:hAnsi="宋体" w:eastAsia="宋体" w:cs="宋体"/>
                <w:kern w:val="0"/>
                <w:sz w:val="21"/>
                <w:szCs w:val="21"/>
              </w:rPr>
            </w:pPr>
          </w:p>
        </w:tc>
        <w:tc>
          <w:tcPr>
            <w:tcW w:w="822" w:type="dxa"/>
            <w:vMerge w:val="continue"/>
            <w:shd w:val="clear" w:color="auto" w:fill="auto"/>
            <w:vAlign w:val="center"/>
          </w:tcPr>
          <w:p>
            <w:pPr>
              <w:widowControl/>
              <w:spacing w:line="260" w:lineRule="exact"/>
              <w:jc w:val="left"/>
              <w:rPr>
                <w:rFonts w:ascii="宋体" w:hAnsi="宋体" w:eastAsia="宋体" w:cs="宋体"/>
                <w:kern w:val="0"/>
                <w:sz w:val="21"/>
                <w:szCs w:val="21"/>
              </w:rPr>
            </w:pPr>
          </w:p>
        </w:tc>
        <w:tc>
          <w:tcPr>
            <w:tcW w:w="1375" w:type="dxa"/>
            <w:shd w:val="clear" w:color="auto" w:fill="auto"/>
            <w:vAlign w:val="center"/>
          </w:tcPr>
          <w:p>
            <w:pPr>
              <w:widowControl/>
              <w:spacing w:line="260" w:lineRule="exact"/>
              <w:jc w:val="center"/>
              <w:rPr>
                <w:rFonts w:ascii="宋体" w:hAnsi="宋体" w:eastAsia="宋体" w:cs="宋体"/>
                <w:kern w:val="0"/>
                <w:sz w:val="21"/>
                <w:szCs w:val="21"/>
              </w:rPr>
            </w:pPr>
            <w:r>
              <w:rPr>
                <w:rFonts w:hint="eastAsia" w:ascii="宋体" w:hAnsi="宋体" w:eastAsia="宋体" w:cs="宋体"/>
                <w:kern w:val="0"/>
                <w:sz w:val="21"/>
                <w:szCs w:val="21"/>
              </w:rPr>
              <w:t>完成成本</w:t>
            </w:r>
          </w:p>
        </w:tc>
        <w:tc>
          <w:tcPr>
            <w:tcW w:w="510" w:type="dxa"/>
            <w:shd w:val="clear" w:color="auto" w:fill="auto"/>
            <w:vAlign w:val="center"/>
          </w:tcPr>
          <w:p>
            <w:pPr>
              <w:widowControl/>
              <w:spacing w:line="260" w:lineRule="exact"/>
              <w:jc w:val="center"/>
              <w:rPr>
                <w:rFonts w:ascii="宋体" w:hAnsi="宋体" w:eastAsia="宋体" w:cs="宋体"/>
                <w:kern w:val="0"/>
                <w:sz w:val="21"/>
                <w:szCs w:val="21"/>
              </w:rPr>
            </w:pPr>
            <w:r>
              <w:rPr>
                <w:rFonts w:hint="eastAsia" w:ascii="宋体" w:hAnsi="宋体" w:eastAsia="宋体" w:cs="宋体"/>
                <w:kern w:val="0"/>
                <w:sz w:val="21"/>
                <w:szCs w:val="21"/>
              </w:rPr>
              <w:t>5</w:t>
            </w:r>
          </w:p>
        </w:tc>
        <w:tc>
          <w:tcPr>
            <w:tcW w:w="5543" w:type="dxa"/>
            <w:shd w:val="clear" w:color="auto" w:fill="auto"/>
            <w:vAlign w:val="center"/>
          </w:tcPr>
          <w:p>
            <w:pPr>
              <w:widowControl/>
              <w:spacing w:line="260" w:lineRule="exact"/>
              <w:jc w:val="left"/>
              <w:rPr>
                <w:rFonts w:ascii="宋体" w:hAnsi="宋体" w:eastAsia="宋体" w:cs="宋体"/>
                <w:kern w:val="0"/>
                <w:sz w:val="21"/>
                <w:szCs w:val="21"/>
              </w:rPr>
            </w:pPr>
            <w:r>
              <w:rPr>
                <w:rFonts w:hint="eastAsia" w:ascii="宋体" w:hAnsi="宋体" w:eastAsia="宋体" w:cs="宋体"/>
                <w:kern w:val="0"/>
                <w:sz w:val="21"/>
                <w:szCs w:val="21"/>
              </w:rPr>
              <w:t>（实际完成成本-预计完成成本）/预计完成成本×100%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22" w:type="dxa"/>
            <w:vMerge w:val="continue"/>
            <w:shd w:val="clear" w:color="auto" w:fill="auto"/>
            <w:vAlign w:val="center"/>
          </w:tcPr>
          <w:p>
            <w:pPr>
              <w:widowControl/>
              <w:spacing w:line="260" w:lineRule="exact"/>
              <w:jc w:val="left"/>
              <w:rPr>
                <w:rFonts w:ascii="宋体" w:hAnsi="宋体" w:eastAsia="宋体" w:cs="宋体"/>
                <w:kern w:val="0"/>
                <w:sz w:val="21"/>
                <w:szCs w:val="21"/>
              </w:rPr>
            </w:pPr>
          </w:p>
        </w:tc>
        <w:tc>
          <w:tcPr>
            <w:tcW w:w="822" w:type="dxa"/>
            <w:vMerge w:val="restart"/>
            <w:shd w:val="clear" w:color="auto" w:fill="auto"/>
            <w:textDirection w:val="tbRlV"/>
            <w:vAlign w:val="center"/>
          </w:tcPr>
          <w:p>
            <w:pPr>
              <w:widowControl/>
              <w:spacing w:line="260" w:lineRule="exact"/>
              <w:jc w:val="center"/>
              <w:rPr>
                <w:rFonts w:ascii="宋体" w:hAnsi="宋体" w:eastAsia="宋体" w:cs="宋体"/>
                <w:kern w:val="0"/>
                <w:sz w:val="21"/>
                <w:szCs w:val="21"/>
              </w:rPr>
            </w:pPr>
            <w:r>
              <w:rPr>
                <w:rFonts w:hint="eastAsia" w:ascii="宋体" w:hAnsi="宋体" w:eastAsia="宋体" w:cs="宋体"/>
                <w:kern w:val="0"/>
                <w:sz w:val="21"/>
                <w:szCs w:val="21"/>
              </w:rPr>
              <w:t>（50分）</w:t>
            </w:r>
            <w:r>
              <w:rPr>
                <w:rFonts w:hint="eastAsia" w:ascii="宋体" w:hAnsi="宋体" w:eastAsia="宋体" w:cs="宋体"/>
                <w:kern w:val="0"/>
                <w:sz w:val="21"/>
                <w:szCs w:val="21"/>
              </w:rPr>
              <w:br w:type="textWrapping"/>
            </w:r>
            <w:r>
              <w:rPr>
                <w:rFonts w:hint="eastAsia" w:ascii="宋体" w:hAnsi="宋体" w:eastAsia="宋体" w:cs="宋体"/>
                <w:kern w:val="0"/>
                <w:sz w:val="21"/>
                <w:szCs w:val="21"/>
              </w:rPr>
              <w:t>项目效益</w:t>
            </w:r>
          </w:p>
        </w:tc>
        <w:tc>
          <w:tcPr>
            <w:tcW w:w="1375" w:type="dxa"/>
            <w:shd w:val="clear" w:color="auto" w:fill="auto"/>
            <w:vAlign w:val="center"/>
          </w:tcPr>
          <w:p>
            <w:pPr>
              <w:widowControl/>
              <w:spacing w:line="260" w:lineRule="exact"/>
              <w:jc w:val="center"/>
              <w:rPr>
                <w:rFonts w:ascii="宋体" w:hAnsi="宋体" w:eastAsia="宋体" w:cs="宋体"/>
                <w:kern w:val="0"/>
                <w:sz w:val="21"/>
                <w:szCs w:val="21"/>
              </w:rPr>
            </w:pPr>
            <w:r>
              <w:rPr>
                <w:rFonts w:hint="eastAsia" w:ascii="宋体" w:hAnsi="宋体" w:eastAsia="宋体" w:cs="宋体"/>
                <w:kern w:val="0"/>
                <w:sz w:val="21"/>
                <w:szCs w:val="21"/>
              </w:rPr>
              <w:t>经济效益（可选项）</w:t>
            </w:r>
          </w:p>
        </w:tc>
        <w:tc>
          <w:tcPr>
            <w:tcW w:w="510" w:type="dxa"/>
            <w:vMerge w:val="restart"/>
            <w:shd w:val="clear" w:color="auto" w:fill="auto"/>
            <w:vAlign w:val="center"/>
          </w:tcPr>
          <w:p>
            <w:pPr>
              <w:widowControl/>
              <w:spacing w:line="260" w:lineRule="exact"/>
              <w:jc w:val="center"/>
              <w:rPr>
                <w:rFonts w:ascii="宋体" w:hAnsi="宋体" w:eastAsia="宋体" w:cs="宋体"/>
                <w:kern w:val="0"/>
                <w:sz w:val="21"/>
                <w:szCs w:val="21"/>
              </w:rPr>
            </w:pPr>
            <w:r>
              <w:rPr>
                <w:rFonts w:hint="eastAsia" w:ascii="宋体" w:hAnsi="宋体" w:eastAsia="宋体" w:cs="宋体"/>
                <w:kern w:val="0"/>
                <w:sz w:val="21"/>
                <w:szCs w:val="21"/>
              </w:rPr>
              <w:t>38</w:t>
            </w:r>
          </w:p>
        </w:tc>
        <w:tc>
          <w:tcPr>
            <w:tcW w:w="5543" w:type="dxa"/>
            <w:shd w:val="clear" w:color="auto" w:fill="auto"/>
            <w:vAlign w:val="center"/>
          </w:tcPr>
          <w:p>
            <w:pPr>
              <w:widowControl/>
              <w:spacing w:line="260" w:lineRule="exact"/>
              <w:jc w:val="left"/>
              <w:rPr>
                <w:rFonts w:ascii="宋体" w:hAnsi="宋体" w:eastAsia="宋体" w:cs="宋体"/>
                <w:kern w:val="0"/>
                <w:sz w:val="21"/>
                <w:szCs w:val="21"/>
              </w:rPr>
            </w:pPr>
            <w:r>
              <w:rPr>
                <w:rFonts w:hint="eastAsia" w:ascii="宋体" w:hAnsi="宋体" w:eastAsia="宋体" w:cs="宋体"/>
                <w:kern w:val="0"/>
                <w:sz w:val="21"/>
                <w:szCs w:val="21"/>
              </w:rPr>
              <w:t>适用于经济发展类项目。反映相关产出对经济社会发展带来的影响和效果，根据项目实际细化具体指标。重点考核投入产出率、回报率、增长率等指标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22" w:type="dxa"/>
            <w:vMerge w:val="continue"/>
            <w:shd w:val="clear" w:color="auto" w:fill="auto"/>
            <w:vAlign w:val="center"/>
          </w:tcPr>
          <w:p>
            <w:pPr>
              <w:widowControl/>
              <w:spacing w:line="260" w:lineRule="exact"/>
              <w:jc w:val="left"/>
              <w:rPr>
                <w:rFonts w:ascii="宋体" w:hAnsi="宋体" w:eastAsia="宋体" w:cs="宋体"/>
                <w:kern w:val="0"/>
                <w:sz w:val="21"/>
                <w:szCs w:val="21"/>
              </w:rPr>
            </w:pPr>
          </w:p>
        </w:tc>
        <w:tc>
          <w:tcPr>
            <w:tcW w:w="822" w:type="dxa"/>
            <w:vMerge w:val="continue"/>
            <w:shd w:val="clear" w:color="auto" w:fill="auto"/>
            <w:vAlign w:val="center"/>
          </w:tcPr>
          <w:p>
            <w:pPr>
              <w:widowControl/>
              <w:spacing w:line="260" w:lineRule="exact"/>
              <w:jc w:val="left"/>
              <w:rPr>
                <w:rFonts w:ascii="宋体" w:hAnsi="宋体" w:eastAsia="宋体" w:cs="宋体"/>
                <w:kern w:val="0"/>
                <w:sz w:val="21"/>
                <w:szCs w:val="21"/>
              </w:rPr>
            </w:pPr>
          </w:p>
        </w:tc>
        <w:tc>
          <w:tcPr>
            <w:tcW w:w="1375" w:type="dxa"/>
            <w:shd w:val="clear" w:color="auto" w:fill="auto"/>
            <w:vAlign w:val="center"/>
          </w:tcPr>
          <w:p>
            <w:pPr>
              <w:widowControl/>
              <w:spacing w:line="260" w:lineRule="exact"/>
              <w:jc w:val="center"/>
              <w:rPr>
                <w:rFonts w:ascii="宋体" w:hAnsi="宋体" w:eastAsia="宋体" w:cs="宋体"/>
                <w:kern w:val="0"/>
                <w:sz w:val="21"/>
                <w:szCs w:val="21"/>
              </w:rPr>
            </w:pPr>
            <w:r>
              <w:rPr>
                <w:rFonts w:hint="eastAsia" w:ascii="宋体" w:hAnsi="宋体" w:eastAsia="宋体" w:cs="宋体"/>
                <w:kern w:val="0"/>
                <w:sz w:val="21"/>
                <w:szCs w:val="21"/>
              </w:rPr>
              <w:t>社会效益（可选项）</w:t>
            </w:r>
          </w:p>
        </w:tc>
        <w:tc>
          <w:tcPr>
            <w:tcW w:w="510" w:type="dxa"/>
            <w:vMerge w:val="continue"/>
            <w:shd w:val="clear" w:color="auto" w:fill="auto"/>
            <w:vAlign w:val="center"/>
          </w:tcPr>
          <w:p>
            <w:pPr>
              <w:widowControl/>
              <w:spacing w:line="260" w:lineRule="exact"/>
              <w:jc w:val="left"/>
              <w:rPr>
                <w:rFonts w:ascii="宋体" w:hAnsi="宋体" w:eastAsia="宋体" w:cs="宋体"/>
                <w:kern w:val="0"/>
                <w:sz w:val="21"/>
                <w:szCs w:val="21"/>
              </w:rPr>
            </w:pPr>
          </w:p>
        </w:tc>
        <w:tc>
          <w:tcPr>
            <w:tcW w:w="5543" w:type="dxa"/>
            <w:shd w:val="clear" w:color="auto" w:fill="auto"/>
            <w:vAlign w:val="center"/>
          </w:tcPr>
          <w:p>
            <w:pPr>
              <w:widowControl/>
              <w:spacing w:line="260" w:lineRule="exact"/>
              <w:jc w:val="left"/>
              <w:rPr>
                <w:rFonts w:ascii="宋体" w:hAnsi="宋体" w:eastAsia="宋体" w:cs="宋体"/>
                <w:kern w:val="0"/>
                <w:sz w:val="21"/>
                <w:szCs w:val="21"/>
              </w:rPr>
            </w:pPr>
            <w:r>
              <w:rPr>
                <w:rFonts w:hint="eastAsia" w:ascii="宋体" w:hAnsi="宋体" w:eastAsia="宋体" w:cs="宋体"/>
                <w:kern w:val="0"/>
                <w:sz w:val="21"/>
                <w:szCs w:val="21"/>
              </w:rPr>
              <w:t>反映相关产出对社会发展带来的影响和效果，根据项目实际细化具体指标。重点考核撬动率、贡献率、达标率、就业率等指标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22" w:type="dxa"/>
            <w:vMerge w:val="continue"/>
            <w:shd w:val="clear" w:color="auto" w:fill="auto"/>
            <w:vAlign w:val="center"/>
          </w:tcPr>
          <w:p>
            <w:pPr>
              <w:widowControl/>
              <w:spacing w:line="260" w:lineRule="exact"/>
              <w:jc w:val="left"/>
              <w:rPr>
                <w:rFonts w:ascii="宋体" w:hAnsi="宋体" w:eastAsia="宋体" w:cs="宋体"/>
                <w:kern w:val="0"/>
                <w:sz w:val="21"/>
                <w:szCs w:val="21"/>
              </w:rPr>
            </w:pPr>
          </w:p>
        </w:tc>
        <w:tc>
          <w:tcPr>
            <w:tcW w:w="822" w:type="dxa"/>
            <w:vMerge w:val="continue"/>
            <w:shd w:val="clear" w:color="auto" w:fill="auto"/>
            <w:vAlign w:val="center"/>
          </w:tcPr>
          <w:p>
            <w:pPr>
              <w:widowControl/>
              <w:spacing w:line="260" w:lineRule="exact"/>
              <w:jc w:val="left"/>
              <w:rPr>
                <w:rFonts w:ascii="宋体" w:hAnsi="宋体" w:eastAsia="宋体" w:cs="宋体"/>
                <w:kern w:val="0"/>
                <w:sz w:val="21"/>
                <w:szCs w:val="21"/>
              </w:rPr>
            </w:pPr>
          </w:p>
        </w:tc>
        <w:tc>
          <w:tcPr>
            <w:tcW w:w="1375" w:type="dxa"/>
            <w:shd w:val="clear" w:color="auto" w:fill="auto"/>
            <w:vAlign w:val="center"/>
          </w:tcPr>
          <w:p>
            <w:pPr>
              <w:widowControl/>
              <w:spacing w:line="260" w:lineRule="exact"/>
              <w:jc w:val="center"/>
              <w:rPr>
                <w:rFonts w:ascii="宋体" w:hAnsi="宋体" w:eastAsia="宋体" w:cs="宋体"/>
                <w:kern w:val="0"/>
                <w:sz w:val="21"/>
                <w:szCs w:val="21"/>
              </w:rPr>
            </w:pPr>
            <w:r>
              <w:rPr>
                <w:rFonts w:hint="eastAsia" w:ascii="宋体" w:hAnsi="宋体" w:eastAsia="宋体" w:cs="宋体"/>
                <w:kern w:val="0"/>
                <w:sz w:val="21"/>
                <w:szCs w:val="21"/>
              </w:rPr>
              <w:t>生态效益（可选项）</w:t>
            </w:r>
          </w:p>
        </w:tc>
        <w:tc>
          <w:tcPr>
            <w:tcW w:w="510" w:type="dxa"/>
            <w:vMerge w:val="continue"/>
            <w:shd w:val="clear" w:color="auto" w:fill="auto"/>
            <w:vAlign w:val="center"/>
          </w:tcPr>
          <w:p>
            <w:pPr>
              <w:widowControl/>
              <w:spacing w:line="260" w:lineRule="exact"/>
              <w:jc w:val="left"/>
              <w:rPr>
                <w:rFonts w:ascii="宋体" w:hAnsi="宋体" w:eastAsia="宋体" w:cs="宋体"/>
                <w:kern w:val="0"/>
                <w:sz w:val="21"/>
                <w:szCs w:val="21"/>
              </w:rPr>
            </w:pPr>
          </w:p>
        </w:tc>
        <w:tc>
          <w:tcPr>
            <w:tcW w:w="5543" w:type="dxa"/>
            <w:shd w:val="clear" w:color="auto" w:fill="auto"/>
            <w:vAlign w:val="center"/>
          </w:tcPr>
          <w:p>
            <w:pPr>
              <w:widowControl/>
              <w:spacing w:line="260" w:lineRule="exact"/>
              <w:jc w:val="left"/>
              <w:rPr>
                <w:rFonts w:ascii="宋体" w:hAnsi="宋体" w:eastAsia="宋体" w:cs="宋体"/>
                <w:kern w:val="0"/>
                <w:sz w:val="21"/>
                <w:szCs w:val="21"/>
              </w:rPr>
            </w:pPr>
            <w:r>
              <w:rPr>
                <w:rFonts w:hint="eastAsia" w:ascii="宋体" w:hAnsi="宋体" w:eastAsia="宋体" w:cs="宋体"/>
                <w:kern w:val="0"/>
                <w:sz w:val="21"/>
                <w:szCs w:val="21"/>
              </w:rPr>
              <w:t>反映相关产出对自然环境带来的影响和效果，根据项目实际细化具体指标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22" w:type="dxa"/>
            <w:vMerge w:val="continue"/>
            <w:shd w:val="clear" w:color="auto" w:fill="auto"/>
            <w:vAlign w:val="center"/>
          </w:tcPr>
          <w:p>
            <w:pPr>
              <w:widowControl/>
              <w:spacing w:line="260" w:lineRule="exact"/>
              <w:jc w:val="left"/>
              <w:rPr>
                <w:rFonts w:ascii="宋体" w:hAnsi="宋体" w:eastAsia="宋体" w:cs="宋体"/>
                <w:kern w:val="0"/>
                <w:sz w:val="21"/>
                <w:szCs w:val="21"/>
              </w:rPr>
            </w:pPr>
          </w:p>
        </w:tc>
        <w:tc>
          <w:tcPr>
            <w:tcW w:w="822" w:type="dxa"/>
            <w:vMerge w:val="continue"/>
            <w:shd w:val="clear" w:color="auto" w:fill="auto"/>
            <w:vAlign w:val="center"/>
          </w:tcPr>
          <w:p>
            <w:pPr>
              <w:widowControl/>
              <w:spacing w:line="260" w:lineRule="exact"/>
              <w:jc w:val="left"/>
              <w:rPr>
                <w:rFonts w:ascii="宋体" w:hAnsi="宋体" w:eastAsia="宋体" w:cs="宋体"/>
                <w:kern w:val="0"/>
                <w:sz w:val="21"/>
                <w:szCs w:val="21"/>
              </w:rPr>
            </w:pPr>
          </w:p>
        </w:tc>
        <w:tc>
          <w:tcPr>
            <w:tcW w:w="1375" w:type="dxa"/>
            <w:shd w:val="clear" w:color="auto" w:fill="auto"/>
            <w:vAlign w:val="center"/>
          </w:tcPr>
          <w:p>
            <w:pPr>
              <w:widowControl/>
              <w:spacing w:line="260" w:lineRule="exact"/>
              <w:jc w:val="center"/>
              <w:rPr>
                <w:rFonts w:ascii="宋体" w:hAnsi="宋体" w:eastAsia="宋体" w:cs="宋体"/>
                <w:kern w:val="0"/>
                <w:sz w:val="21"/>
                <w:szCs w:val="21"/>
              </w:rPr>
            </w:pPr>
            <w:r>
              <w:rPr>
                <w:rFonts w:hint="eastAsia" w:ascii="宋体" w:hAnsi="宋体" w:eastAsia="宋体" w:cs="宋体"/>
                <w:kern w:val="0"/>
                <w:sz w:val="21"/>
                <w:szCs w:val="21"/>
              </w:rPr>
              <w:t>可持续效益（可选项）</w:t>
            </w:r>
          </w:p>
        </w:tc>
        <w:tc>
          <w:tcPr>
            <w:tcW w:w="510" w:type="dxa"/>
            <w:vMerge w:val="continue"/>
            <w:shd w:val="clear" w:color="auto" w:fill="auto"/>
            <w:vAlign w:val="center"/>
          </w:tcPr>
          <w:p>
            <w:pPr>
              <w:widowControl/>
              <w:spacing w:line="260" w:lineRule="exact"/>
              <w:jc w:val="left"/>
              <w:rPr>
                <w:rFonts w:ascii="宋体" w:hAnsi="宋体" w:eastAsia="宋体" w:cs="宋体"/>
                <w:kern w:val="0"/>
                <w:sz w:val="21"/>
                <w:szCs w:val="21"/>
              </w:rPr>
            </w:pPr>
          </w:p>
        </w:tc>
        <w:tc>
          <w:tcPr>
            <w:tcW w:w="5543" w:type="dxa"/>
            <w:shd w:val="clear" w:color="auto" w:fill="auto"/>
            <w:vAlign w:val="center"/>
          </w:tcPr>
          <w:p>
            <w:pPr>
              <w:widowControl/>
              <w:spacing w:line="260" w:lineRule="exact"/>
              <w:jc w:val="left"/>
              <w:rPr>
                <w:rFonts w:ascii="宋体" w:hAnsi="宋体" w:eastAsia="宋体" w:cs="宋体"/>
                <w:kern w:val="0"/>
                <w:sz w:val="21"/>
                <w:szCs w:val="21"/>
              </w:rPr>
            </w:pPr>
            <w:r>
              <w:rPr>
                <w:rFonts w:hint="eastAsia" w:ascii="宋体" w:hAnsi="宋体" w:eastAsia="宋体" w:cs="宋体"/>
                <w:kern w:val="0"/>
                <w:sz w:val="21"/>
                <w:szCs w:val="21"/>
              </w:rPr>
              <w:t>反映相关产出带来影响的可持续期限，根据项目实际细化具体指标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22" w:type="dxa"/>
            <w:vMerge w:val="continue"/>
            <w:shd w:val="clear" w:color="auto" w:fill="auto"/>
            <w:vAlign w:val="center"/>
          </w:tcPr>
          <w:p>
            <w:pPr>
              <w:widowControl/>
              <w:spacing w:line="260" w:lineRule="exact"/>
              <w:jc w:val="left"/>
              <w:rPr>
                <w:rFonts w:ascii="宋体" w:hAnsi="宋体" w:eastAsia="宋体" w:cs="宋体"/>
                <w:kern w:val="0"/>
                <w:sz w:val="21"/>
                <w:szCs w:val="21"/>
              </w:rPr>
            </w:pPr>
          </w:p>
        </w:tc>
        <w:tc>
          <w:tcPr>
            <w:tcW w:w="822" w:type="dxa"/>
            <w:vMerge w:val="continue"/>
            <w:shd w:val="clear" w:color="auto" w:fill="auto"/>
            <w:vAlign w:val="center"/>
          </w:tcPr>
          <w:p>
            <w:pPr>
              <w:widowControl/>
              <w:spacing w:line="260" w:lineRule="exact"/>
              <w:jc w:val="left"/>
              <w:rPr>
                <w:rFonts w:ascii="宋体" w:hAnsi="宋体" w:eastAsia="宋体" w:cs="宋体"/>
                <w:kern w:val="0"/>
                <w:sz w:val="21"/>
                <w:szCs w:val="21"/>
              </w:rPr>
            </w:pPr>
          </w:p>
        </w:tc>
        <w:tc>
          <w:tcPr>
            <w:tcW w:w="1375" w:type="dxa"/>
            <w:shd w:val="clear" w:color="auto" w:fill="auto"/>
            <w:vAlign w:val="center"/>
          </w:tcPr>
          <w:p>
            <w:pPr>
              <w:widowControl/>
              <w:spacing w:line="260" w:lineRule="exact"/>
              <w:jc w:val="center"/>
              <w:rPr>
                <w:rFonts w:ascii="宋体" w:hAnsi="宋体" w:eastAsia="宋体" w:cs="宋体"/>
                <w:kern w:val="0"/>
                <w:sz w:val="21"/>
                <w:szCs w:val="21"/>
              </w:rPr>
            </w:pPr>
            <w:r>
              <w:rPr>
                <w:rFonts w:hint="eastAsia" w:ascii="宋体" w:hAnsi="宋体" w:eastAsia="宋体" w:cs="宋体"/>
                <w:kern w:val="0"/>
                <w:sz w:val="21"/>
                <w:szCs w:val="21"/>
              </w:rPr>
              <w:t>公平效率（可选项）</w:t>
            </w:r>
          </w:p>
        </w:tc>
        <w:tc>
          <w:tcPr>
            <w:tcW w:w="510" w:type="dxa"/>
            <w:vMerge w:val="continue"/>
            <w:shd w:val="clear" w:color="auto" w:fill="auto"/>
            <w:vAlign w:val="center"/>
          </w:tcPr>
          <w:p>
            <w:pPr>
              <w:widowControl/>
              <w:spacing w:line="260" w:lineRule="exact"/>
              <w:jc w:val="left"/>
              <w:rPr>
                <w:rFonts w:ascii="宋体" w:hAnsi="宋体" w:eastAsia="宋体" w:cs="宋体"/>
                <w:kern w:val="0"/>
                <w:sz w:val="21"/>
                <w:szCs w:val="21"/>
              </w:rPr>
            </w:pPr>
          </w:p>
        </w:tc>
        <w:tc>
          <w:tcPr>
            <w:tcW w:w="5543" w:type="dxa"/>
            <w:shd w:val="clear" w:color="auto" w:fill="auto"/>
            <w:vAlign w:val="center"/>
          </w:tcPr>
          <w:p>
            <w:pPr>
              <w:widowControl/>
              <w:spacing w:line="260" w:lineRule="exact"/>
              <w:jc w:val="left"/>
              <w:rPr>
                <w:rFonts w:ascii="宋体" w:hAnsi="宋体" w:eastAsia="宋体" w:cs="宋体"/>
                <w:kern w:val="0"/>
                <w:sz w:val="21"/>
                <w:szCs w:val="21"/>
              </w:rPr>
            </w:pPr>
            <w:r>
              <w:rPr>
                <w:rFonts w:hint="eastAsia" w:ascii="宋体" w:hAnsi="宋体" w:eastAsia="宋体" w:cs="宋体"/>
                <w:kern w:val="0"/>
                <w:sz w:val="21"/>
                <w:szCs w:val="21"/>
              </w:rPr>
              <w:t>主要反映资金使用者是否获得公平竞争的机会，以及民生类项目中受益群体是否应覆盖全覆盖，覆盖率是衡量指标。重点考核覆盖率、知晓率等指标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22" w:type="dxa"/>
            <w:vMerge w:val="continue"/>
            <w:shd w:val="clear" w:color="auto" w:fill="auto"/>
            <w:vAlign w:val="center"/>
          </w:tcPr>
          <w:p>
            <w:pPr>
              <w:widowControl/>
              <w:spacing w:line="260" w:lineRule="exact"/>
              <w:jc w:val="left"/>
              <w:rPr>
                <w:rFonts w:ascii="宋体" w:hAnsi="宋体" w:eastAsia="宋体" w:cs="宋体"/>
                <w:kern w:val="0"/>
                <w:sz w:val="21"/>
                <w:szCs w:val="21"/>
              </w:rPr>
            </w:pPr>
          </w:p>
        </w:tc>
        <w:tc>
          <w:tcPr>
            <w:tcW w:w="822" w:type="dxa"/>
            <w:vMerge w:val="continue"/>
            <w:shd w:val="clear" w:color="auto" w:fill="auto"/>
            <w:vAlign w:val="center"/>
          </w:tcPr>
          <w:p>
            <w:pPr>
              <w:widowControl/>
              <w:spacing w:line="260" w:lineRule="exact"/>
              <w:jc w:val="left"/>
              <w:rPr>
                <w:rFonts w:ascii="宋体" w:hAnsi="宋体" w:eastAsia="宋体" w:cs="宋体"/>
                <w:kern w:val="0"/>
                <w:sz w:val="21"/>
                <w:szCs w:val="21"/>
              </w:rPr>
            </w:pPr>
          </w:p>
        </w:tc>
        <w:tc>
          <w:tcPr>
            <w:tcW w:w="1375" w:type="dxa"/>
            <w:shd w:val="clear" w:color="auto" w:fill="auto"/>
            <w:vAlign w:val="center"/>
          </w:tcPr>
          <w:p>
            <w:pPr>
              <w:widowControl/>
              <w:spacing w:line="260" w:lineRule="exact"/>
              <w:jc w:val="center"/>
              <w:rPr>
                <w:rFonts w:ascii="宋体" w:hAnsi="宋体" w:eastAsia="宋体" w:cs="宋体"/>
                <w:kern w:val="0"/>
                <w:sz w:val="21"/>
                <w:szCs w:val="21"/>
              </w:rPr>
            </w:pPr>
            <w:r>
              <w:rPr>
                <w:rFonts w:hint="eastAsia" w:ascii="宋体" w:hAnsi="宋体" w:eastAsia="宋体" w:cs="宋体"/>
                <w:kern w:val="0"/>
                <w:sz w:val="21"/>
                <w:szCs w:val="21"/>
              </w:rPr>
              <w:t>使用效率（可选项）</w:t>
            </w:r>
          </w:p>
        </w:tc>
        <w:tc>
          <w:tcPr>
            <w:tcW w:w="510" w:type="dxa"/>
            <w:vMerge w:val="continue"/>
            <w:shd w:val="clear" w:color="auto" w:fill="auto"/>
            <w:vAlign w:val="center"/>
          </w:tcPr>
          <w:p>
            <w:pPr>
              <w:widowControl/>
              <w:spacing w:line="260" w:lineRule="exact"/>
              <w:jc w:val="left"/>
              <w:rPr>
                <w:rFonts w:ascii="宋体" w:hAnsi="宋体" w:eastAsia="宋体" w:cs="宋体"/>
                <w:kern w:val="0"/>
                <w:sz w:val="21"/>
                <w:szCs w:val="21"/>
              </w:rPr>
            </w:pPr>
          </w:p>
        </w:tc>
        <w:tc>
          <w:tcPr>
            <w:tcW w:w="5543" w:type="dxa"/>
            <w:shd w:val="clear" w:color="auto" w:fill="auto"/>
            <w:vAlign w:val="center"/>
          </w:tcPr>
          <w:p>
            <w:pPr>
              <w:widowControl/>
              <w:spacing w:line="260" w:lineRule="exact"/>
              <w:jc w:val="left"/>
              <w:rPr>
                <w:rFonts w:ascii="宋体" w:hAnsi="宋体" w:eastAsia="宋体" w:cs="宋体"/>
                <w:kern w:val="0"/>
                <w:sz w:val="21"/>
                <w:szCs w:val="21"/>
              </w:rPr>
            </w:pPr>
            <w:r>
              <w:rPr>
                <w:rFonts w:hint="eastAsia" w:ascii="宋体" w:hAnsi="宋体" w:eastAsia="宋体" w:cs="宋体"/>
                <w:kern w:val="0"/>
                <w:sz w:val="21"/>
                <w:szCs w:val="21"/>
              </w:rPr>
              <w:t>重点考核使用率等指标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822" w:type="dxa"/>
            <w:vMerge w:val="continue"/>
            <w:shd w:val="clear" w:color="auto" w:fill="auto"/>
            <w:vAlign w:val="center"/>
          </w:tcPr>
          <w:p>
            <w:pPr>
              <w:widowControl/>
              <w:spacing w:line="260" w:lineRule="exact"/>
              <w:jc w:val="left"/>
              <w:rPr>
                <w:rFonts w:ascii="宋体" w:hAnsi="宋体" w:eastAsia="宋体" w:cs="宋体"/>
                <w:kern w:val="0"/>
                <w:sz w:val="21"/>
                <w:szCs w:val="21"/>
              </w:rPr>
            </w:pPr>
          </w:p>
        </w:tc>
        <w:tc>
          <w:tcPr>
            <w:tcW w:w="822" w:type="dxa"/>
            <w:vMerge w:val="continue"/>
            <w:shd w:val="clear" w:color="auto" w:fill="auto"/>
            <w:vAlign w:val="center"/>
          </w:tcPr>
          <w:p>
            <w:pPr>
              <w:widowControl/>
              <w:spacing w:line="260" w:lineRule="exact"/>
              <w:jc w:val="left"/>
              <w:rPr>
                <w:rFonts w:ascii="宋体" w:hAnsi="宋体" w:eastAsia="宋体" w:cs="宋体"/>
                <w:kern w:val="0"/>
                <w:sz w:val="21"/>
                <w:szCs w:val="21"/>
              </w:rPr>
            </w:pPr>
          </w:p>
        </w:tc>
        <w:tc>
          <w:tcPr>
            <w:tcW w:w="1375" w:type="dxa"/>
            <w:shd w:val="clear" w:color="auto" w:fill="auto"/>
            <w:vAlign w:val="center"/>
          </w:tcPr>
          <w:p>
            <w:pPr>
              <w:widowControl/>
              <w:spacing w:line="260" w:lineRule="exact"/>
              <w:jc w:val="center"/>
              <w:rPr>
                <w:rFonts w:ascii="宋体" w:hAnsi="宋体" w:eastAsia="宋体" w:cs="宋体"/>
                <w:kern w:val="0"/>
                <w:sz w:val="21"/>
                <w:szCs w:val="21"/>
              </w:rPr>
            </w:pPr>
            <w:r>
              <w:rPr>
                <w:rFonts w:hint="eastAsia" w:ascii="宋体" w:hAnsi="宋体" w:eastAsia="宋体" w:cs="宋体"/>
                <w:kern w:val="0"/>
                <w:sz w:val="21"/>
                <w:szCs w:val="21"/>
              </w:rPr>
              <w:t xml:space="preserve">服务对象满意度    </w:t>
            </w:r>
          </w:p>
        </w:tc>
        <w:tc>
          <w:tcPr>
            <w:tcW w:w="510" w:type="dxa"/>
            <w:shd w:val="clear" w:color="auto" w:fill="auto"/>
            <w:vAlign w:val="center"/>
          </w:tcPr>
          <w:p>
            <w:pPr>
              <w:widowControl/>
              <w:spacing w:line="260" w:lineRule="exact"/>
              <w:jc w:val="center"/>
              <w:rPr>
                <w:rFonts w:ascii="宋体" w:hAnsi="宋体" w:eastAsia="宋体" w:cs="宋体"/>
                <w:kern w:val="0"/>
                <w:sz w:val="21"/>
                <w:szCs w:val="21"/>
              </w:rPr>
            </w:pPr>
            <w:r>
              <w:rPr>
                <w:rFonts w:hint="eastAsia" w:ascii="宋体" w:hAnsi="宋体" w:eastAsia="宋体" w:cs="宋体"/>
                <w:kern w:val="0"/>
                <w:sz w:val="21"/>
                <w:szCs w:val="21"/>
              </w:rPr>
              <w:t>9</w:t>
            </w:r>
          </w:p>
        </w:tc>
        <w:tc>
          <w:tcPr>
            <w:tcW w:w="5543" w:type="dxa"/>
            <w:shd w:val="clear" w:color="auto" w:fill="auto"/>
            <w:vAlign w:val="center"/>
          </w:tcPr>
          <w:p>
            <w:pPr>
              <w:widowControl/>
              <w:spacing w:line="260" w:lineRule="exact"/>
              <w:jc w:val="left"/>
              <w:rPr>
                <w:rFonts w:ascii="宋体" w:hAnsi="宋体" w:eastAsia="宋体" w:cs="宋体"/>
                <w:kern w:val="0"/>
                <w:sz w:val="21"/>
                <w:szCs w:val="21"/>
              </w:rPr>
            </w:pPr>
            <w:r>
              <w:rPr>
                <w:rFonts w:hint="eastAsia" w:ascii="宋体" w:hAnsi="宋体" w:eastAsia="宋体" w:cs="宋体"/>
                <w:kern w:val="0"/>
                <w:sz w:val="21"/>
                <w:szCs w:val="21"/>
              </w:rPr>
              <w:t>适用于民生类项目。满意率反映服务对象或项目受益人对相关产出及其影响的认可程度，根据项目实际细化具体指标。重点考核满意率等指标</w:t>
            </w:r>
          </w:p>
        </w:tc>
      </w:tr>
    </w:tbl>
    <w:p>
      <w:r>
        <w:rPr>
          <w:rFonts w:hint="eastAsia"/>
        </w:rPr>
        <w:t>合计得分:95分</w:t>
      </w:r>
    </w:p>
    <w:p>
      <w:pPr>
        <w:spacing w:line="580" w:lineRule="exact"/>
        <w:ind w:firstLine="640" w:firstLineChars="200"/>
        <w:rPr>
          <w:rFonts w:ascii="仿宋" w:hAnsi="仿宋" w:eastAsia="仿宋" w:cs="仿宋_GB2312"/>
          <w:sz w:val="32"/>
          <w:szCs w:val="32"/>
        </w:rPr>
      </w:pPr>
      <w:r>
        <w:rPr>
          <w:rFonts w:ascii="仿宋" w:hAnsi="仿宋" w:eastAsia="仿宋" w:cs="仿宋_GB2312"/>
          <w:sz w:val="32"/>
          <w:szCs w:val="32"/>
        </w:rPr>
        <w:t>（二）绩效分析</w:t>
      </w:r>
    </w:p>
    <w:p>
      <w:pPr>
        <w:spacing w:line="580" w:lineRule="exact"/>
        <w:ind w:firstLine="640" w:firstLineChars="200"/>
        <w:rPr>
          <w:rFonts w:ascii="仿宋" w:hAnsi="仿宋" w:eastAsia="仿宋" w:cs="仿宋_GB2312"/>
          <w:sz w:val="32"/>
          <w:szCs w:val="32"/>
        </w:rPr>
      </w:pPr>
      <w:r>
        <w:rPr>
          <w:rFonts w:ascii="仿宋" w:hAnsi="仿宋" w:eastAsia="仿宋" w:cs="仿宋_GB2312"/>
          <w:sz w:val="32"/>
          <w:szCs w:val="32"/>
        </w:rPr>
        <w:t>1、项目决策</w:t>
      </w:r>
    </w:p>
    <w:p>
      <w:pPr>
        <w:spacing w:line="58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该工程项目申报内容与项目实施内容基本相符，其中工程量清单中干渠</w:t>
      </w:r>
      <w:r>
        <w:rPr>
          <w:rFonts w:ascii="仿宋" w:hAnsi="仿宋" w:eastAsia="仿宋" w:cs="仿宋_GB2312"/>
          <w:sz w:val="32"/>
          <w:szCs w:val="32"/>
        </w:rPr>
        <w:t>40+100-40+130</w:t>
      </w:r>
      <w:r>
        <w:rPr>
          <w:rFonts w:hint="eastAsia" w:ascii="仿宋" w:hAnsi="仿宋" w:eastAsia="仿宋" w:cs="仿宋_GB2312"/>
          <w:sz w:val="32"/>
          <w:szCs w:val="32"/>
        </w:rPr>
        <w:t>段由峨眉山市三水厂予以修复，具体原因详见“跃进渠</w:t>
      </w:r>
      <w:r>
        <w:rPr>
          <w:rFonts w:ascii="仿宋" w:hAnsi="仿宋" w:eastAsia="仿宋" w:cs="仿宋_GB2312"/>
          <w:sz w:val="32"/>
          <w:szCs w:val="32"/>
        </w:rPr>
        <w:t>2018</w:t>
      </w:r>
      <w:r>
        <w:rPr>
          <w:rFonts w:hint="eastAsia" w:ascii="仿宋" w:hAnsi="仿宋" w:eastAsia="仿宋" w:cs="仿宋_GB2312"/>
          <w:sz w:val="32"/>
          <w:szCs w:val="32"/>
        </w:rPr>
        <w:t>年水毁应急抢险工程”项目变更情况的会议纪要，其申报目标合理可行。</w:t>
      </w:r>
    </w:p>
    <w:p>
      <w:pPr>
        <w:numPr>
          <w:ilvl w:val="0"/>
          <w:numId w:val="7"/>
        </w:numPr>
        <w:spacing w:line="580" w:lineRule="exact"/>
        <w:ind w:firstLine="640" w:firstLineChars="200"/>
        <w:rPr>
          <w:rFonts w:ascii="仿宋" w:hAnsi="仿宋" w:eastAsia="仿宋" w:cs="仿宋_GB2312"/>
          <w:sz w:val="32"/>
          <w:szCs w:val="32"/>
        </w:rPr>
      </w:pPr>
      <w:r>
        <w:rPr>
          <w:rFonts w:ascii="仿宋" w:hAnsi="仿宋" w:eastAsia="仿宋" w:cs="仿宋_GB2312"/>
          <w:sz w:val="32"/>
          <w:szCs w:val="32"/>
        </w:rPr>
        <w:t>项目管理</w:t>
      </w:r>
    </w:p>
    <w:p>
      <w:pPr>
        <w:numPr>
          <w:ilvl w:val="0"/>
          <w:numId w:val="0"/>
        </w:numPr>
        <w:spacing w:line="580" w:lineRule="exact"/>
        <w:ind w:firstLine="640" w:firstLineChars="200"/>
        <w:rPr>
          <w:rFonts w:ascii="仿宋" w:hAnsi="仿宋" w:eastAsia="仿宋" w:cs="仿宋_GB2312"/>
          <w:sz w:val="32"/>
          <w:szCs w:val="32"/>
          <w:lang w:val="zh-CN"/>
        </w:rPr>
      </w:pPr>
      <w:r>
        <w:rPr>
          <w:rFonts w:hint="eastAsia" w:ascii="仿宋" w:hAnsi="仿宋" w:eastAsia="仿宋" w:cs="仿宋_GB2312"/>
          <w:sz w:val="32"/>
          <w:szCs w:val="32"/>
          <w:lang w:val="zh-CN"/>
        </w:rPr>
        <w:t>（一）资金计划、到位及使用情况。</w:t>
      </w:r>
    </w:p>
    <w:p>
      <w:pPr>
        <w:spacing w:line="580" w:lineRule="exact"/>
        <w:ind w:firstLine="640" w:firstLineChars="200"/>
        <w:rPr>
          <w:rFonts w:ascii="仿宋" w:hAnsi="仿宋" w:eastAsia="仿宋" w:cs="仿宋_GB2312"/>
          <w:sz w:val="32"/>
          <w:szCs w:val="32"/>
          <w:lang w:val="zh-CN"/>
        </w:rPr>
      </w:pPr>
      <w:r>
        <w:rPr>
          <w:rFonts w:ascii="仿宋" w:hAnsi="仿宋" w:eastAsia="仿宋" w:cs="仿宋_GB2312"/>
          <w:sz w:val="32"/>
          <w:szCs w:val="32"/>
          <w:lang w:val="zh-CN"/>
        </w:rPr>
        <w:t>1</w:t>
      </w:r>
      <w:r>
        <w:rPr>
          <w:rFonts w:hint="eastAsia" w:ascii="仿宋" w:hAnsi="仿宋" w:eastAsia="仿宋" w:cs="仿宋_GB2312"/>
          <w:sz w:val="32"/>
          <w:szCs w:val="32"/>
          <w:lang w:val="zh-CN"/>
        </w:rPr>
        <w:t>．资金计划及到位。项目总投资</w:t>
      </w:r>
      <w:r>
        <w:rPr>
          <w:rFonts w:ascii="仿宋" w:hAnsi="仿宋" w:eastAsia="仿宋" w:cs="仿宋_GB2312"/>
          <w:sz w:val="32"/>
          <w:szCs w:val="32"/>
          <w:lang w:val="zh-CN"/>
        </w:rPr>
        <w:t>198</w:t>
      </w:r>
      <w:r>
        <w:rPr>
          <w:rFonts w:hint="eastAsia" w:ascii="仿宋" w:hAnsi="仿宋" w:eastAsia="仿宋" w:cs="仿宋_GB2312"/>
          <w:sz w:val="32"/>
          <w:szCs w:val="32"/>
          <w:lang w:val="zh-CN"/>
        </w:rPr>
        <w:t>万元，为市级预备费，资金按照计划时间到位，资金到位率</w:t>
      </w:r>
      <w:r>
        <w:rPr>
          <w:rFonts w:ascii="仿宋" w:hAnsi="仿宋" w:eastAsia="仿宋" w:cs="仿宋_GB2312"/>
          <w:sz w:val="32"/>
          <w:szCs w:val="32"/>
          <w:lang w:val="zh-CN"/>
        </w:rPr>
        <w:t>100%</w:t>
      </w:r>
      <w:r>
        <w:rPr>
          <w:rFonts w:hint="eastAsia" w:ascii="仿宋" w:hAnsi="仿宋" w:eastAsia="仿宋" w:cs="仿宋_GB2312"/>
          <w:sz w:val="32"/>
          <w:szCs w:val="32"/>
          <w:lang w:val="zh-CN"/>
        </w:rPr>
        <w:t>。</w:t>
      </w:r>
    </w:p>
    <w:p>
      <w:pPr>
        <w:spacing w:line="580" w:lineRule="exact"/>
        <w:ind w:firstLine="640" w:firstLineChars="200"/>
        <w:rPr>
          <w:rFonts w:ascii="仿宋" w:hAnsi="仿宋" w:eastAsia="仿宋" w:cs="仿宋_GB2312"/>
          <w:sz w:val="32"/>
          <w:szCs w:val="32"/>
          <w:lang w:val="zh-CN"/>
        </w:rPr>
      </w:pPr>
      <w:r>
        <w:rPr>
          <w:rFonts w:ascii="仿宋" w:hAnsi="仿宋" w:eastAsia="仿宋" w:cs="仿宋_GB2312"/>
          <w:sz w:val="32"/>
          <w:szCs w:val="32"/>
          <w:lang w:val="zh-CN"/>
        </w:rPr>
        <w:t>2</w:t>
      </w:r>
      <w:r>
        <w:rPr>
          <w:rFonts w:hint="eastAsia" w:ascii="仿宋" w:hAnsi="仿宋" w:eastAsia="仿宋" w:cs="仿宋_GB2312"/>
          <w:sz w:val="32"/>
          <w:szCs w:val="32"/>
          <w:lang w:val="zh-CN"/>
        </w:rPr>
        <w:t>．资金使用。截至评价时点，项目资金实际支出</w:t>
      </w:r>
      <w:r>
        <w:rPr>
          <w:rFonts w:ascii="仿宋" w:hAnsi="仿宋" w:eastAsia="仿宋" w:cs="仿宋_GB2312"/>
          <w:sz w:val="32"/>
          <w:szCs w:val="32"/>
          <w:lang w:val="zh-CN"/>
        </w:rPr>
        <w:t>178.6579</w:t>
      </w:r>
      <w:r>
        <w:rPr>
          <w:rFonts w:hint="eastAsia" w:ascii="仿宋" w:hAnsi="仿宋" w:eastAsia="仿宋" w:cs="仿宋_GB2312"/>
          <w:sz w:val="32"/>
          <w:szCs w:val="32"/>
          <w:lang w:val="zh-CN"/>
        </w:rPr>
        <w:t>万元，用于支付工程、设计、监理、造价费用，尚有</w:t>
      </w:r>
      <w:r>
        <w:rPr>
          <w:rFonts w:ascii="仿宋" w:hAnsi="仿宋" w:eastAsia="仿宋" w:cs="仿宋_GB2312"/>
          <w:sz w:val="32"/>
          <w:szCs w:val="32"/>
          <w:lang w:val="zh-CN"/>
        </w:rPr>
        <w:t>5.2</w:t>
      </w:r>
      <w:r>
        <w:rPr>
          <w:rFonts w:hint="eastAsia" w:ascii="仿宋" w:hAnsi="仿宋" w:eastAsia="仿宋" w:cs="仿宋_GB2312"/>
          <w:sz w:val="32"/>
          <w:szCs w:val="32"/>
          <w:lang w:val="zh-CN"/>
        </w:rPr>
        <w:t>万元质保金待保修期满支付。支付依据合规合法，资金支付与预算相符。</w:t>
      </w:r>
    </w:p>
    <w:p>
      <w:pPr>
        <w:spacing w:line="580" w:lineRule="exact"/>
        <w:ind w:firstLine="640" w:firstLineChars="200"/>
        <w:rPr>
          <w:rFonts w:ascii="仿宋" w:hAnsi="仿宋" w:eastAsia="仿宋" w:cs="仿宋_GB2312"/>
          <w:sz w:val="32"/>
          <w:szCs w:val="32"/>
          <w:lang w:val="zh-CN"/>
        </w:rPr>
      </w:pPr>
      <w:r>
        <w:rPr>
          <w:rFonts w:hint="eastAsia" w:ascii="仿宋" w:hAnsi="仿宋" w:eastAsia="仿宋" w:cs="仿宋_GB2312"/>
          <w:sz w:val="32"/>
          <w:szCs w:val="32"/>
          <w:lang w:val="zh-CN"/>
        </w:rPr>
        <w:t>（二）项目财务管理情况。</w:t>
      </w:r>
    </w:p>
    <w:p>
      <w:pPr>
        <w:spacing w:line="580" w:lineRule="exact"/>
        <w:ind w:firstLine="640" w:firstLineChars="200"/>
        <w:rPr>
          <w:rFonts w:ascii="仿宋" w:hAnsi="仿宋" w:eastAsia="仿宋" w:cs="仿宋_GB2312"/>
          <w:sz w:val="32"/>
          <w:szCs w:val="32"/>
          <w:lang w:val="zh-CN"/>
        </w:rPr>
      </w:pPr>
      <w:r>
        <w:rPr>
          <w:rFonts w:hint="eastAsia" w:ascii="仿宋" w:hAnsi="仿宋" w:eastAsia="仿宋" w:cs="仿宋_GB2312"/>
          <w:sz w:val="32"/>
          <w:szCs w:val="32"/>
          <w:lang w:val="zh-CN"/>
        </w:rPr>
        <w:t>项目财务管理制度、机构设置健全，该项目经费采取直接支付形式，按照用款计划，分期严格按照资金管理办法对资金进行计划申请、划拨、支付，及时、规范对收支进行账务处理和会计核算。</w:t>
      </w:r>
      <w:r>
        <w:rPr>
          <w:rFonts w:ascii="仿宋" w:hAnsi="仿宋" w:eastAsia="仿宋" w:cs="仿宋_GB2312"/>
          <w:sz w:val="32"/>
          <w:szCs w:val="32"/>
          <w:lang w:val="zh-CN"/>
        </w:rPr>
        <w:t xml:space="preserve"> </w:t>
      </w:r>
    </w:p>
    <w:p>
      <w:pPr>
        <w:spacing w:line="580" w:lineRule="exact"/>
        <w:ind w:firstLine="640" w:firstLineChars="200"/>
        <w:rPr>
          <w:rFonts w:ascii="仿宋" w:hAnsi="仿宋" w:eastAsia="仿宋" w:cs="仿宋_GB2312"/>
          <w:sz w:val="32"/>
          <w:szCs w:val="32"/>
          <w:lang w:val="zh-CN"/>
        </w:rPr>
      </w:pPr>
      <w:r>
        <w:rPr>
          <w:rFonts w:hint="eastAsia" w:ascii="仿宋" w:hAnsi="仿宋" w:eastAsia="仿宋" w:cs="仿宋_GB2312"/>
          <w:sz w:val="32"/>
          <w:szCs w:val="32"/>
          <w:lang w:val="zh-CN"/>
        </w:rPr>
        <w:t>（三）项目组织实施情况。</w:t>
      </w:r>
    </w:p>
    <w:p>
      <w:pPr>
        <w:spacing w:line="58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该工程经联席会议和乐山市水务局党组会议确定</w:t>
      </w:r>
      <w:r>
        <w:rPr>
          <w:rFonts w:hint="eastAsia" w:ascii="仿宋" w:hAnsi="仿宋" w:eastAsia="仿宋" w:cs="仿宋_GB2312"/>
          <w:sz w:val="32"/>
          <w:szCs w:val="32"/>
          <w:lang w:eastAsia="zh-CN"/>
        </w:rPr>
        <w:t>跃进渠保护服务中心</w:t>
      </w:r>
      <w:r>
        <w:rPr>
          <w:rFonts w:hint="eastAsia" w:ascii="仿宋" w:hAnsi="仿宋" w:eastAsia="仿宋" w:cs="仿宋_GB2312"/>
          <w:sz w:val="32"/>
          <w:szCs w:val="32"/>
        </w:rPr>
        <w:t>为项目业主单位，因该工程为应急抢险工程，未进行预算评审和工程招投标，采用直接指定的方式确定施工单位，工程完工后，由乐山市财政评审中心进行结算评审。</w:t>
      </w:r>
    </w:p>
    <w:p>
      <w:pPr>
        <w:spacing w:line="580" w:lineRule="exact"/>
        <w:ind w:firstLine="640" w:firstLineChars="200"/>
        <w:rPr>
          <w:rFonts w:ascii="仿宋" w:hAnsi="仿宋" w:eastAsia="仿宋" w:cs="仿宋_GB2312"/>
          <w:sz w:val="32"/>
          <w:szCs w:val="32"/>
          <w:lang w:val="zh-CN"/>
        </w:rPr>
      </w:pPr>
      <w:r>
        <w:rPr>
          <w:rFonts w:hint="eastAsia" w:ascii="仿宋" w:hAnsi="仿宋" w:eastAsia="仿宋" w:cs="仿宋_GB2312"/>
          <w:sz w:val="32"/>
          <w:szCs w:val="32"/>
          <w:lang w:val="en-US" w:eastAsia="zh-CN"/>
        </w:rPr>
        <w:t>3</w:t>
      </w:r>
      <w:r>
        <w:rPr>
          <w:rFonts w:hint="eastAsia" w:ascii="仿宋" w:hAnsi="仿宋" w:eastAsia="仿宋" w:cs="仿宋_GB2312"/>
          <w:sz w:val="32"/>
          <w:szCs w:val="32"/>
        </w:rPr>
        <w:t>、项目绩效</w:t>
      </w:r>
    </w:p>
    <w:p>
      <w:pPr>
        <w:spacing w:line="580" w:lineRule="exact"/>
        <w:ind w:firstLine="640" w:firstLineChars="200"/>
        <w:rPr>
          <w:rFonts w:ascii="仿宋" w:hAnsi="仿宋" w:eastAsia="仿宋" w:cs="仿宋_GB2312"/>
          <w:sz w:val="32"/>
          <w:szCs w:val="32"/>
          <w:lang w:val="zh-CN"/>
        </w:rPr>
      </w:pPr>
      <w:r>
        <w:rPr>
          <w:rFonts w:hint="eastAsia" w:ascii="仿宋" w:hAnsi="仿宋" w:eastAsia="仿宋" w:cs="仿宋_GB2312"/>
          <w:sz w:val="32"/>
          <w:szCs w:val="32"/>
          <w:lang w:val="zh-CN"/>
        </w:rPr>
        <w:t>（一）项目完成情况。</w:t>
      </w:r>
    </w:p>
    <w:p>
      <w:pPr>
        <w:spacing w:line="58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该抢险工程按照项目计划要求，于</w:t>
      </w:r>
      <w:r>
        <w:rPr>
          <w:rFonts w:ascii="仿宋" w:hAnsi="仿宋" w:eastAsia="仿宋" w:cs="仿宋_GB2312"/>
          <w:sz w:val="32"/>
          <w:szCs w:val="32"/>
        </w:rPr>
        <w:t>2018</w:t>
      </w:r>
      <w:r>
        <w:rPr>
          <w:rFonts w:hint="eastAsia" w:ascii="仿宋" w:hAnsi="仿宋" w:eastAsia="仿宋" w:cs="仿宋_GB2312"/>
          <w:sz w:val="32"/>
          <w:szCs w:val="32"/>
        </w:rPr>
        <w:t>年</w:t>
      </w:r>
      <w:r>
        <w:rPr>
          <w:rFonts w:ascii="仿宋" w:hAnsi="仿宋" w:eastAsia="仿宋" w:cs="仿宋_GB2312"/>
          <w:sz w:val="32"/>
          <w:szCs w:val="32"/>
        </w:rPr>
        <w:t>9</w:t>
      </w:r>
      <w:r>
        <w:rPr>
          <w:rFonts w:hint="eastAsia" w:ascii="仿宋" w:hAnsi="仿宋" w:eastAsia="仿宋" w:cs="仿宋_GB2312"/>
          <w:sz w:val="32"/>
          <w:szCs w:val="32"/>
        </w:rPr>
        <w:t>月</w:t>
      </w:r>
      <w:r>
        <w:rPr>
          <w:rFonts w:ascii="仿宋" w:hAnsi="仿宋" w:eastAsia="仿宋" w:cs="仿宋_GB2312"/>
          <w:sz w:val="32"/>
          <w:szCs w:val="32"/>
        </w:rPr>
        <w:t>7</w:t>
      </w:r>
      <w:r>
        <w:rPr>
          <w:rFonts w:hint="eastAsia" w:ascii="仿宋" w:hAnsi="仿宋" w:eastAsia="仿宋" w:cs="仿宋_GB2312"/>
          <w:sz w:val="32"/>
          <w:szCs w:val="32"/>
        </w:rPr>
        <w:t>日全部完工并验收合格，工程质量符合设计要求。按照工程实际进度及合同约定，工程全部完工后，</w:t>
      </w:r>
      <w:r>
        <w:rPr>
          <w:rFonts w:hint="eastAsia" w:ascii="仿宋" w:hAnsi="仿宋" w:eastAsia="仿宋" w:cs="仿宋_GB2312"/>
          <w:sz w:val="32"/>
          <w:szCs w:val="32"/>
          <w:lang w:eastAsia="zh-CN"/>
        </w:rPr>
        <w:t>跃进渠保护服务中心</w:t>
      </w:r>
      <w:r>
        <w:rPr>
          <w:rFonts w:hint="eastAsia" w:ascii="仿宋" w:hAnsi="仿宋" w:eastAsia="仿宋" w:cs="仿宋_GB2312"/>
          <w:sz w:val="32"/>
          <w:szCs w:val="32"/>
        </w:rPr>
        <w:t>向乐山市财政局申请支付至合同价款的</w:t>
      </w:r>
      <w:r>
        <w:rPr>
          <w:rFonts w:ascii="仿宋" w:hAnsi="仿宋" w:eastAsia="仿宋" w:cs="仿宋_GB2312"/>
          <w:sz w:val="32"/>
          <w:szCs w:val="32"/>
        </w:rPr>
        <w:t>60%</w:t>
      </w:r>
      <w:r>
        <w:rPr>
          <w:rFonts w:hint="eastAsia" w:ascii="仿宋" w:hAnsi="仿宋" w:eastAsia="仿宋" w:cs="仿宋_GB2312"/>
          <w:sz w:val="32"/>
          <w:szCs w:val="32"/>
        </w:rPr>
        <w:t>；待乐山市财政评审中心办理工程结算后，支付至结算工程价款的</w:t>
      </w:r>
      <w:r>
        <w:rPr>
          <w:rFonts w:ascii="仿宋" w:hAnsi="仿宋" w:eastAsia="仿宋" w:cs="仿宋_GB2312"/>
          <w:sz w:val="32"/>
          <w:szCs w:val="32"/>
        </w:rPr>
        <w:t>97%</w:t>
      </w:r>
      <w:r>
        <w:rPr>
          <w:rFonts w:hint="eastAsia" w:ascii="仿宋" w:hAnsi="仿宋" w:eastAsia="仿宋" w:cs="仿宋_GB2312"/>
          <w:sz w:val="32"/>
          <w:szCs w:val="32"/>
        </w:rPr>
        <w:t>，剩余</w:t>
      </w:r>
      <w:r>
        <w:rPr>
          <w:rFonts w:ascii="仿宋" w:hAnsi="仿宋" w:eastAsia="仿宋" w:cs="仿宋_GB2312"/>
          <w:sz w:val="32"/>
          <w:szCs w:val="32"/>
        </w:rPr>
        <w:t>3%</w:t>
      </w:r>
      <w:r>
        <w:rPr>
          <w:rFonts w:hint="eastAsia" w:ascii="仿宋" w:hAnsi="仿宋" w:eastAsia="仿宋" w:cs="仿宋_GB2312"/>
          <w:sz w:val="32"/>
          <w:szCs w:val="32"/>
        </w:rPr>
        <w:t>为质保金，保修期满后付清。</w:t>
      </w:r>
    </w:p>
    <w:p>
      <w:pPr>
        <w:spacing w:line="580" w:lineRule="exact"/>
        <w:ind w:firstLine="640" w:firstLineChars="200"/>
        <w:rPr>
          <w:rFonts w:ascii="仿宋" w:hAnsi="仿宋" w:eastAsia="仿宋" w:cs="仿宋_GB2312"/>
          <w:sz w:val="32"/>
          <w:szCs w:val="32"/>
        </w:rPr>
      </w:pPr>
      <w:r>
        <w:rPr>
          <w:rFonts w:hint="eastAsia" w:ascii="仿宋" w:hAnsi="仿宋" w:eastAsia="仿宋" w:cs="仿宋_GB2312"/>
          <w:sz w:val="32"/>
          <w:szCs w:val="32"/>
          <w:lang w:val="zh-CN"/>
        </w:rPr>
        <w:t>（二）项目效益情况。</w:t>
      </w:r>
      <w:r>
        <w:rPr>
          <w:rFonts w:hint="eastAsia" w:ascii="仿宋" w:hAnsi="仿宋" w:eastAsia="仿宋" w:cs="仿宋_GB2312"/>
          <w:sz w:val="32"/>
          <w:szCs w:val="32"/>
        </w:rPr>
        <w:t>该工程抢险完工后，消除了渠道的安全隐患，满足春灌用水及防汛工作的需求，保证了沿渠村民生命和财产安全。</w:t>
      </w:r>
    </w:p>
    <w:p>
      <w:pPr>
        <w:spacing w:line="580" w:lineRule="exact"/>
        <w:ind w:firstLine="640" w:firstLineChars="200"/>
        <w:rPr>
          <w:rFonts w:ascii="仿宋" w:hAnsi="仿宋" w:eastAsia="仿宋" w:cs="仿宋_GB2312"/>
          <w:sz w:val="32"/>
          <w:szCs w:val="32"/>
        </w:rPr>
      </w:pPr>
      <w:r>
        <w:rPr>
          <w:rFonts w:hint="eastAsia" w:ascii="仿宋" w:hAnsi="仿宋" w:eastAsia="仿宋" w:cs="仿宋_GB2312"/>
          <w:sz w:val="32"/>
          <w:szCs w:val="32"/>
          <w:lang w:eastAsia="zh-CN"/>
        </w:rPr>
        <w:t>三</w:t>
      </w:r>
      <w:r>
        <w:rPr>
          <w:rFonts w:hint="eastAsia" w:ascii="仿宋" w:hAnsi="仿宋" w:eastAsia="仿宋" w:cs="仿宋_GB2312"/>
          <w:sz w:val="32"/>
          <w:szCs w:val="32"/>
        </w:rPr>
        <w:t>、</w:t>
      </w:r>
      <w:r>
        <w:rPr>
          <w:rFonts w:hint="eastAsia" w:ascii="仿宋" w:hAnsi="仿宋" w:eastAsia="仿宋" w:cs="仿宋_GB2312"/>
          <w:sz w:val="32"/>
          <w:szCs w:val="32"/>
          <w:lang w:eastAsia="zh-CN"/>
        </w:rPr>
        <w:t>存在主要</w:t>
      </w:r>
      <w:r>
        <w:rPr>
          <w:rFonts w:hint="eastAsia" w:ascii="仿宋" w:hAnsi="仿宋" w:eastAsia="仿宋" w:cs="仿宋_GB2312"/>
          <w:sz w:val="32"/>
          <w:szCs w:val="32"/>
        </w:rPr>
        <w:t>问题及</w:t>
      </w:r>
      <w:r>
        <w:rPr>
          <w:rFonts w:hint="eastAsia" w:ascii="仿宋" w:hAnsi="仿宋" w:eastAsia="仿宋" w:cs="仿宋_GB2312"/>
          <w:sz w:val="32"/>
          <w:szCs w:val="32"/>
          <w:lang w:eastAsia="zh-CN"/>
        </w:rPr>
        <w:t>相关措施</w:t>
      </w:r>
      <w:r>
        <w:rPr>
          <w:rFonts w:hint="eastAsia" w:ascii="仿宋" w:hAnsi="仿宋" w:eastAsia="仿宋" w:cs="仿宋_GB2312"/>
          <w:sz w:val="32"/>
          <w:szCs w:val="32"/>
        </w:rPr>
        <w:t>建议</w:t>
      </w:r>
    </w:p>
    <w:p>
      <w:pPr>
        <w:spacing w:line="580" w:lineRule="exact"/>
        <w:ind w:firstLine="640" w:firstLineChars="200"/>
        <w:rPr>
          <w:rFonts w:ascii="仿宋" w:hAnsi="仿宋" w:eastAsia="仿宋" w:cs="仿宋_GB2312"/>
          <w:sz w:val="32"/>
          <w:szCs w:val="32"/>
        </w:rPr>
      </w:pPr>
      <w:r>
        <w:rPr>
          <w:rFonts w:hint="eastAsia" w:ascii="仿宋" w:hAnsi="仿宋" w:eastAsia="仿宋" w:cs="仿宋_GB2312"/>
          <w:sz w:val="32"/>
          <w:szCs w:val="32"/>
          <w:lang w:val="en-US" w:eastAsia="zh-CN"/>
        </w:rPr>
        <w:t>1、</w:t>
      </w:r>
      <w:r>
        <w:rPr>
          <w:rFonts w:hint="eastAsia" w:ascii="仿宋" w:hAnsi="仿宋" w:eastAsia="仿宋" w:cs="仿宋_GB2312"/>
          <w:sz w:val="32"/>
          <w:szCs w:val="32"/>
          <w:lang w:val="zh-CN"/>
        </w:rPr>
        <w:t>存在的问题。</w:t>
      </w:r>
      <w:r>
        <w:rPr>
          <w:rFonts w:hint="eastAsia" w:ascii="仿宋" w:hAnsi="仿宋" w:eastAsia="仿宋" w:cs="仿宋_GB2312"/>
          <w:sz w:val="32"/>
          <w:szCs w:val="32"/>
        </w:rPr>
        <w:t>该工程资金下达时间较慢。</w:t>
      </w:r>
    </w:p>
    <w:p>
      <w:pPr>
        <w:spacing w:line="580" w:lineRule="exact"/>
        <w:ind w:firstLine="640" w:firstLineChars="200"/>
        <w:rPr>
          <w:rFonts w:ascii="仿宋" w:hAnsi="仿宋" w:eastAsia="仿宋" w:cs="仿宋_GB2312"/>
          <w:sz w:val="32"/>
          <w:szCs w:val="32"/>
        </w:rPr>
      </w:pPr>
      <w:r>
        <w:rPr>
          <w:rFonts w:hint="eastAsia" w:ascii="仿宋" w:hAnsi="仿宋" w:eastAsia="仿宋" w:cs="仿宋_GB2312"/>
          <w:sz w:val="32"/>
          <w:szCs w:val="32"/>
          <w:lang w:val="en-US" w:eastAsia="zh-CN"/>
        </w:rPr>
        <w:t>2、</w:t>
      </w:r>
      <w:r>
        <w:rPr>
          <w:rFonts w:hint="eastAsia" w:ascii="仿宋" w:hAnsi="仿宋" w:eastAsia="仿宋" w:cs="仿宋_GB2312"/>
          <w:sz w:val="32"/>
          <w:szCs w:val="32"/>
          <w:lang w:val="zh-CN"/>
        </w:rPr>
        <w:t>相关建议。</w:t>
      </w:r>
      <w:r>
        <w:rPr>
          <w:rFonts w:hint="eastAsia" w:ascii="仿宋" w:hAnsi="仿宋" w:eastAsia="仿宋" w:cs="仿宋_GB2312"/>
          <w:sz w:val="32"/>
          <w:szCs w:val="32"/>
        </w:rPr>
        <w:t>建议上级部门及时下达资金，保证</w:t>
      </w:r>
      <w:r>
        <w:rPr>
          <w:rFonts w:hint="eastAsia" w:ascii="仿宋" w:hAnsi="仿宋" w:eastAsia="仿宋" w:cs="仿宋_GB2312"/>
          <w:sz w:val="32"/>
          <w:szCs w:val="32"/>
          <w:lang w:eastAsia="zh-CN"/>
        </w:rPr>
        <w:t>跃进渠保护服务中心</w:t>
      </w:r>
      <w:r>
        <w:rPr>
          <w:rFonts w:hint="eastAsia" w:ascii="仿宋" w:hAnsi="仿宋" w:eastAsia="仿宋" w:cs="仿宋_GB2312"/>
          <w:sz w:val="32"/>
          <w:szCs w:val="32"/>
        </w:rPr>
        <w:t>尽快对抢险工程进行修复，满足渠道正常运行。</w:t>
      </w:r>
    </w:p>
    <w:p>
      <w:pPr>
        <w:spacing w:line="580" w:lineRule="exact"/>
        <w:ind w:firstLine="640" w:firstLineChars="200"/>
        <w:rPr>
          <w:rFonts w:ascii="仿宋" w:hAnsi="仿宋" w:eastAsia="仿宋" w:cs="仿宋_GB2312"/>
          <w:sz w:val="32"/>
          <w:szCs w:val="32"/>
        </w:rPr>
      </w:pPr>
    </w:p>
    <w:p>
      <w:pPr>
        <w:spacing w:line="580" w:lineRule="exact"/>
        <w:ind w:firstLine="640" w:firstLineChars="200"/>
        <w:rPr>
          <w:rFonts w:ascii="仿宋" w:hAnsi="仿宋" w:eastAsia="仿宋" w:cs="仿宋_GB2312"/>
          <w:sz w:val="32"/>
          <w:szCs w:val="32"/>
        </w:rPr>
      </w:pPr>
    </w:p>
    <w:p>
      <w:pPr>
        <w:spacing w:line="580" w:lineRule="exact"/>
        <w:ind w:firstLine="640" w:firstLineChars="200"/>
        <w:rPr>
          <w:rFonts w:ascii="仿宋" w:hAnsi="仿宋" w:eastAsia="仿宋" w:cs="仿宋_GB2312"/>
          <w:sz w:val="32"/>
          <w:szCs w:val="32"/>
        </w:rPr>
      </w:pPr>
      <w:r>
        <w:rPr>
          <w:rFonts w:ascii="仿宋" w:hAnsi="仿宋" w:eastAsia="仿宋" w:cs="仿宋_GB2312"/>
          <w:sz w:val="32"/>
          <w:szCs w:val="32"/>
        </w:rPr>
        <w:t xml:space="preserve">               </w:t>
      </w:r>
    </w:p>
    <w:p>
      <w:pPr>
        <w:spacing w:line="580" w:lineRule="exact"/>
        <w:ind w:firstLine="640" w:firstLineChars="200"/>
        <w:rPr>
          <w:rFonts w:ascii="仿宋" w:hAnsi="仿宋" w:eastAsia="仿宋" w:cs="仿宋_GB2312"/>
          <w:sz w:val="32"/>
          <w:szCs w:val="32"/>
        </w:rPr>
      </w:pPr>
    </w:p>
    <w:p>
      <w:pPr>
        <w:spacing w:line="580" w:lineRule="exact"/>
        <w:ind w:firstLine="640" w:firstLineChars="200"/>
        <w:rPr>
          <w:rFonts w:ascii="仿宋" w:hAnsi="仿宋" w:eastAsia="仿宋" w:cs="仿宋_GB2312"/>
          <w:sz w:val="32"/>
          <w:szCs w:val="32"/>
        </w:rPr>
      </w:pPr>
    </w:p>
    <w:p>
      <w:pPr>
        <w:spacing w:line="580" w:lineRule="exact"/>
        <w:ind w:firstLine="640" w:firstLineChars="200"/>
        <w:rPr>
          <w:rFonts w:ascii="仿宋" w:hAnsi="仿宋" w:eastAsia="仿宋" w:cs="仿宋_GB2312"/>
          <w:sz w:val="32"/>
          <w:szCs w:val="32"/>
        </w:rPr>
      </w:pPr>
    </w:p>
    <w:p>
      <w:pPr>
        <w:spacing w:line="580" w:lineRule="exact"/>
        <w:ind w:firstLine="640" w:firstLineChars="200"/>
        <w:rPr>
          <w:rFonts w:ascii="仿宋" w:hAnsi="仿宋" w:eastAsia="仿宋" w:cs="仿宋_GB2312"/>
          <w:sz w:val="32"/>
          <w:szCs w:val="32"/>
        </w:rPr>
      </w:pPr>
    </w:p>
    <w:p>
      <w:pPr>
        <w:spacing w:line="580" w:lineRule="exact"/>
        <w:ind w:firstLine="640" w:firstLineChars="200"/>
        <w:rPr>
          <w:rFonts w:ascii="仿宋" w:hAnsi="仿宋" w:eastAsia="仿宋" w:cs="仿宋_GB2312"/>
          <w:sz w:val="32"/>
          <w:szCs w:val="32"/>
        </w:rPr>
      </w:pPr>
    </w:p>
    <w:p>
      <w:pPr>
        <w:spacing w:line="580" w:lineRule="exact"/>
        <w:ind w:firstLine="640" w:firstLineChars="200"/>
        <w:rPr>
          <w:rFonts w:ascii="仿宋" w:hAnsi="仿宋" w:eastAsia="仿宋" w:cs="仿宋_GB2312"/>
          <w:sz w:val="32"/>
          <w:szCs w:val="32"/>
        </w:rPr>
      </w:pPr>
    </w:p>
    <w:p>
      <w:pPr>
        <w:spacing w:line="580" w:lineRule="exact"/>
        <w:ind w:firstLine="640" w:firstLineChars="200"/>
        <w:rPr>
          <w:rFonts w:ascii="仿宋" w:hAnsi="仿宋" w:eastAsia="仿宋" w:cs="仿宋_GB2312"/>
          <w:sz w:val="32"/>
          <w:szCs w:val="32"/>
        </w:rPr>
      </w:pPr>
    </w:p>
    <w:p>
      <w:pPr>
        <w:spacing w:line="580" w:lineRule="exact"/>
        <w:ind w:firstLine="640" w:firstLineChars="200"/>
        <w:rPr>
          <w:rFonts w:ascii="仿宋" w:hAnsi="仿宋" w:eastAsia="仿宋" w:cs="仿宋_GB2312"/>
          <w:sz w:val="32"/>
          <w:szCs w:val="32"/>
        </w:rPr>
      </w:pPr>
    </w:p>
    <w:p>
      <w:pPr>
        <w:spacing w:line="580" w:lineRule="exact"/>
        <w:ind w:firstLine="640" w:firstLineChars="200"/>
        <w:rPr>
          <w:rFonts w:ascii="仿宋" w:hAnsi="仿宋" w:eastAsia="仿宋" w:cs="仿宋_GB2312"/>
          <w:sz w:val="32"/>
          <w:szCs w:val="32"/>
        </w:rPr>
      </w:pPr>
    </w:p>
    <w:p>
      <w:pPr>
        <w:spacing w:line="580" w:lineRule="exact"/>
        <w:ind w:firstLine="640" w:firstLineChars="200"/>
        <w:rPr>
          <w:rFonts w:ascii="仿宋" w:hAnsi="仿宋" w:eastAsia="仿宋" w:cs="仿宋_GB2312"/>
          <w:sz w:val="32"/>
          <w:szCs w:val="32"/>
        </w:rPr>
      </w:pPr>
      <w:r>
        <w:rPr>
          <w:rFonts w:ascii="仿宋" w:hAnsi="仿宋" w:eastAsia="仿宋" w:cs="仿宋_GB2312"/>
          <w:sz w:val="32"/>
          <w:szCs w:val="32"/>
        </w:rPr>
        <w:t xml:space="preserve">         </w:t>
      </w:r>
    </w:p>
    <w:p>
      <w:pPr>
        <w:spacing w:line="600" w:lineRule="exact"/>
        <w:jc w:val="center"/>
        <w:outlineLvl w:val="0"/>
        <w:rPr>
          <w:rFonts w:hint="eastAsia" w:ascii="黑体" w:hAnsi="黑体" w:eastAsia="黑体"/>
          <w:color w:val="000000"/>
          <w:sz w:val="44"/>
          <w:szCs w:val="44"/>
        </w:rPr>
      </w:pPr>
    </w:p>
    <w:p>
      <w:pPr>
        <w:spacing w:line="600" w:lineRule="exact"/>
        <w:jc w:val="center"/>
        <w:outlineLvl w:val="0"/>
        <w:rPr>
          <w:rStyle w:val="19"/>
          <w:rFonts w:ascii="黑体" w:hAnsi="黑体" w:eastAsia="黑体"/>
          <w:b w:val="0"/>
        </w:rPr>
      </w:pPr>
      <w:r>
        <w:rPr>
          <w:rFonts w:hint="eastAsia" w:ascii="黑体" w:hAnsi="黑体" w:eastAsia="黑体"/>
          <w:color w:val="000000"/>
          <w:sz w:val="44"/>
          <w:szCs w:val="44"/>
        </w:rPr>
        <w:t>第</w:t>
      </w:r>
      <w:r>
        <w:rPr>
          <w:rStyle w:val="19"/>
          <w:rFonts w:hint="eastAsia" w:ascii="黑体" w:hAnsi="黑体" w:eastAsia="黑体"/>
          <w:b w:val="0"/>
        </w:rPr>
        <w:t>五部分</w:t>
      </w:r>
      <w:r>
        <w:rPr>
          <w:rStyle w:val="19"/>
          <w:rFonts w:ascii="黑体" w:hAnsi="黑体" w:eastAsia="黑体"/>
          <w:b w:val="0"/>
        </w:rPr>
        <w:t xml:space="preserve"> </w:t>
      </w:r>
      <w:r>
        <w:rPr>
          <w:rStyle w:val="19"/>
          <w:rFonts w:hint="eastAsia" w:ascii="黑体" w:hAnsi="黑体" w:eastAsia="黑体"/>
          <w:b w:val="0"/>
        </w:rPr>
        <w:t>附表</w:t>
      </w:r>
      <w:bookmarkEnd w:id="58"/>
      <w:bookmarkEnd w:id="61"/>
    </w:p>
    <w:p>
      <w:pPr>
        <w:spacing w:line="600" w:lineRule="exact"/>
        <w:jc w:val="center"/>
        <w:outlineLvl w:val="0"/>
        <w:rPr>
          <w:rFonts w:ascii="仿宋" w:hAnsi="仿宋" w:eastAsia="仿宋"/>
          <w:b/>
          <w:color w:val="000000"/>
          <w:sz w:val="44"/>
          <w:szCs w:val="44"/>
        </w:rPr>
      </w:pPr>
    </w:p>
    <w:p>
      <w:pPr>
        <w:pStyle w:val="3"/>
        <w:rPr>
          <w:rFonts w:ascii="仿宋" w:hAnsi="仿宋" w:eastAsia="仿宋"/>
          <w:color w:val="000000"/>
        </w:rPr>
      </w:pPr>
      <w:bookmarkStart w:id="62" w:name="_Toc15396619"/>
      <w:r>
        <w:rPr>
          <w:rFonts w:hint="eastAsia" w:ascii="仿宋" w:hAnsi="仿宋" w:eastAsia="仿宋"/>
          <w:b w:val="0"/>
          <w:color w:val="000000"/>
        </w:rPr>
        <w:t>一、收</w:t>
      </w:r>
      <w:r>
        <w:rPr>
          <w:rStyle w:val="20"/>
          <w:rFonts w:hint="eastAsia" w:ascii="仿宋" w:hAnsi="仿宋" w:eastAsia="仿宋"/>
          <w:b w:val="0"/>
          <w:bCs w:val="0"/>
        </w:rPr>
        <w:t>入支出决算总表</w:t>
      </w:r>
      <w:bookmarkEnd w:id="62"/>
    </w:p>
    <w:p>
      <w:pPr>
        <w:pStyle w:val="3"/>
        <w:rPr>
          <w:rFonts w:ascii="仿宋" w:hAnsi="仿宋" w:eastAsia="仿宋"/>
          <w:color w:val="000000"/>
        </w:rPr>
      </w:pPr>
      <w:bookmarkStart w:id="63" w:name="_Toc15396620"/>
      <w:r>
        <w:rPr>
          <w:rFonts w:hint="eastAsia" w:ascii="仿宋" w:hAnsi="仿宋" w:eastAsia="仿宋"/>
          <w:b w:val="0"/>
          <w:color w:val="000000"/>
        </w:rPr>
        <w:t>二、收</w:t>
      </w:r>
      <w:r>
        <w:rPr>
          <w:rStyle w:val="20"/>
          <w:rFonts w:hint="eastAsia" w:ascii="仿宋" w:hAnsi="仿宋" w:eastAsia="仿宋"/>
          <w:b w:val="0"/>
          <w:bCs w:val="0"/>
        </w:rPr>
        <w:t>入总表</w:t>
      </w:r>
      <w:bookmarkEnd w:id="63"/>
    </w:p>
    <w:p>
      <w:pPr>
        <w:pStyle w:val="3"/>
        <w:rPr>
          <w:rStyle w:val="20"/>
          <w:rFonts w:hint="eastAsia" w:ascii="仿宋" w:hAnsi="仿宋" w:eastAsia="仿宋"/>
          <w:b w:val="0"/>
          <w:bCs w:val="0"/>
        </w:rPr>
      </w:pPr>
      <w:bookmarkStart w:id="64" w:name="_Toc15396621"/>
      <w:r>
        <w:rPr>
          <w:rStyle w:val="20"/>
          <w:rFonts w:hint="eastAsia" w:ascii="仿宋" w:hAnsi="仿宋" w:eastAsia="仿宋"/>
          <w:b w:val="0"/>
          <w:bCs w:val="0"/>
        </w:rPr>
        <w:t>三、</w:t>
      </w:r>
      <w:r>
        <w:rPr>
          <w:rFonts w:hint="eastAsia" w:ascii="仿宋" w:hAnsi="仿宋" w:eastAsia="仿宋"/>
          <w:b w:val="0"/>
          <w:color w:val="000000"/>
        </w:rPr>
        <w:t>支</w:t>
      </w:r>
      <w:r>
        <w:rPr>
          <w:rStyle w:val="20"/>
          <w:rFonts w:hint="eastAsia" w:ascii="仿宋" w:hAnsi="仿宋" w:eastAsia="仿宋"/>
          <w:b w:val="0"/>
          <w:bCs w:val="0"/>
        </w:rPr>
        <w:t>出总表</w:t>
      </w:r>
      <w:bookmarkEnd w:id="64"/>
    </w:p>
    <w:p>
      <w:pPr>
        <w:pStyle w:val="3"/>
        <w:rPr>
          <w:rFonts w:ascii="仿宋" w:hAnsi="仿宋" w:eastAsia="仿宋"/>
          <w:b w:val="0"/>
          <w:bCs w:val="0"/>
        </w:rPr>
      </w:pPr>
      <w:bookmarkStart w:id="65" w:name="_Toc15396622"/>
      <w:r>
        <w:rPr>
          <w:rStyle w:val="20"/>
          <w:rFonts w:hint="eastAsia" w:ascii="仿宋" w:hAnsi="仿宋" w:eastAsia="仿宋"/>
          <w:b w:val="0"/>
          <w:bCs w:val="0"/>
        </w:rPr>
        <w:t>四、财政拨款收入支出决算总表</w:t>
      </w:r>
      <w:bookmarkEnd w:id="65"/>
    </w:p>
    <w:p>
      <w:pPr>
        <w:pStyle w:val="3"/>
        <w:rPr>
          <w:rFonts w:ascii="仿宋" w:hAnsi="仿宋" w:eastAsia="仿宋"/>
          <w:color w:val="000000"/>
        </w:rPr>
      </w:pPr>
      <w:bookmarkStart w:id="66" w:name="_Toc15396623"/>
      <w:r>
        <w:rPr>
          <w:rStyle w:val="20"/>
          <w:rFonts w:hint="eastAsia" w:ascii="仿宋" w:hAnsi="仿宋" w:eastAsia="仿宋"/>
          <w:b w:val="0"/>
          <w:bCs w:val="0"/>
        </w:rPr>
        <w:t>五、</w:t>
      </w:r>
      <w:r>
        <w:rPr>
          <w:rFonts w:hint="eastAsia" w:ascii="仿宋" w:hAnsi="仿宋" w:eastAsia="仿宋"/>
          <w:b w:val="0"/>
          <w:color w:val="000000"/>
        </w:rPr>
        <w:t>财</w:t>
      </w:r>
      <w:r>
        <w:rPr>
          <w:rStyle w:val="20"/>
          <w:rFonts w:hint="eastAsia" w:ascii="仿宋" w:hAnsi="仿宋" w:eastAsia="仿宋"/>
          <w:b w:val="0"/>
          <w:bCs w:val="0"/>
        </w:rPr>
        <w:t>政拨款支出决算明细表（政府经济分类科目）</w:t>
      </w:r>
      <w:bookmarkEnd w:id="66"/>
    </w:p>
    <w:p>
      <w:pPr>
        <w:pStyle w:val="3"/>
        <w:rPr>
          <w:rFonts w:ascii="仿宋" w:hAnsi="仿宋" w:eastAsia="仿宋"/>
          <w:color w:val="000000"/>
        </w:rPr>
      </w:pPr>
      <w:bookmarkStart w:id="67" w:name="_Toc15396624"/>
      <w:r>
        <w:rPr>
          <w:rStyle w:val="20"/>
          <w:rFonts w:hint="eastAsia" w:ascii="仿宋" w:hAnsi="仿宋" w:eastAsia="仿宋"/>
          <w:b w:val="0"/>
          <w:bCs w:val="0"/>
        </w:rPr>
        <w:t>六、</w:t>
      </w:r>
      <w:r>
        <w:rPr>
          <w:rFonts w:hint="eastAsia" w:ascii="仿宋" w:hAnsi="仿宋" w:eastAsia="仿宋"/>
          <w:b w:val="0"/>
          <w:color w:val="000000"/>
        </w:rPr>
        <w:t>一</w:t>
      </w:r>
      <w:r>
        <w:rPr>
          <w:rStyle w:val="20"/>
          <w:rFonts w:hint="eastAsia" w:ascii="仿宋" w:hAnsi="仿宋" w:eastAsia="仿宋"/>
          <w:b w:val="0"/>
          <w:bCs w:val="0"/>
        </w:rPr>
        <w:t>般公共预算财政拨款支出决算表</w:t>
      </w:r>
      <w:bookmarkEnd w:id="67"/>
    </w:p>
    <w:p>
      <w:pPr>
        <w:pStyle w:val="3"/>
        <w:rPr>
          <w:rFonts w:ascii="仿宋" w:hAnsi="仿宋" w:eastAsia="仿宋"/>
          <w:color w:val="000000"/>
        </w:rPr>
      </w:pPr>
      <w:bookmarkStart w:id="68" w:name="_Toc15396625"/>
      <w:r>
        <w:rPr>
          <w:rStyle w:val="20"/>
          <w:rFonts w:hint="eastAsia" w:ascii="仿宋" w:hAnsi="仿宋" w:eastAsia="仿宋"/>
          <w:b w:val="0"/>
          <w:bCs w:val="0"/>
        </w:rPr>
        <w:t>七、</w:t>
      </w:r>
      <w:r>
        <w:rPr>
          <w:rFonts w:hint="eastAsia" w:ascii="仿宋" w:hAnsi="仿宋" w:eastAsia="仿宋"/>
          <w:b w:val="0"/>
          <w:color w:val="000000"/>
        </w:rPr>
        <w:t>一</w:t>
      </w:r>
      <w:r>
        <w:rPr>
          <w:rStyle w:val="20"/>
          <w:rFonts w:hint="eastAsia" w:ascii="仿宋" w:hAnsi="仿宋" w:eastAsia="仿宋"/>
          <w:b w:val="0"/>
          <w:bCs w:val="0"/>
        </w:rPr>
        <w:t>般公共预算财政拨款支出决算明细表</w:t>
      </w:r>
      <w:bookmarkEnd w:id="68"/>
    </w:p>
    <w:p>
      <w:pPr>
        <w:pStyle w:val="3"/>
        <w:rPr>
          <w:rFonts w:ascii="仿宋" w:hAnsi="仿宋" w:eastAsia="仿宋"/>
          <w:color w:val="000000"/>
        </w:rPr>
      </w:pPr>
      <w:bookmarkStart w:id="69" w:name="_Toc15396626"/>
      <w:r>
        <w:rPr>
          <w:rStyle w:val="20"/>
          <w:rFonts w:hint="eastAsia" w:ascii="仿宋" w:hAnsi="仿宋" w:eastAsia="仿宋"/>
          <w:b w:val="0"/>
          <w:bCs w:val="0"/>
        </w:rPr>
        <w:t>八、</w:t>
      </w:r>
      <w:r>
        <w:rPr>
          <w:rFonts w:hint="eastAsia" w:ascii="仿宋" w:hAnsi="仿宋" w:eastAsia="仿宋"/>
          <w:b w:val="0"/>
          <w:color w:val="000000"/>
        </w:rPr>
        <w:t>一</w:t>
      </w:r>
      <w:r>
        <w:rPr>
          <w:rStyle w:val="20"/>
          <w:rFonts w:hint="eastAsia" w:ascii="仿宋" w:hAnsi="仿宋" w:eastAsia="仿宋"/>
          <w:b w:val="0"/>
          <w:bCs w:val="0"/>
        </w:rPr>
        <w:t>般公共预算财政拨款基本支出决算表</w:t>
      </w:r>
      <w:bookmarkEnd w:id="69"/>
    </w:p>
    <w:p>
      <w:pPr>
        <w:pStyle w:val="3"/>
        <w:rPr>
          <w:rFonts w:ascii="仿宋" w:hAnsi="仿宋" w:eastAsia="仿宋"/>
          <w:color w:val="000000"/>
        </w:rPr>
      </w:pPr>
      <w:bookmarkStart w:id="70" w:name="_Toc15396627"/>
      <w:r>
        <w:rPr>
          <w:rStyle w:val="20"/>
          <w:rFonts w:hint="eastAsia" w:ascii="仿宋" w:hAnsi="仿宋" w:eastAsia="仿宋"/>
          <w:b w:val="0"/>
          <w:bCs w:val="0"/>
        </w:rPr>
        <w:t>九、</w:t>
      </w:r>
      <w:r>
        <w:rPr>
          <w:rFonts w:hint="eastAsia" w:ascii="仿宋" w:hAnsi="仿宋" w:eastAsia="仿宋"/>
          <w:b w:val="0"/>
          <w:color w:val="000000"/>
        </w:rPr>
        <w:t>一</w:t>
      </w:r>
      <w:r>
        <w:rPr>
          <w:rStyle w:val="20"/>
          <w:rFonts w:hint="eastAsia" w:ascii="仿宋" w:hAnsi="仿宋" w:eastAsia="仿宋"/>
          <w:b w:val="0"/>
          <w:bCs w:val="0"/>
        </w:rPr>
        <w:t>般公共预算财政拨款项目支出决算表</w:t>
      </w:r>
      <w:bookmarkEnd w:id="70"/>
    </w:p>
    <w:p>
      <w:pPr>
        <w:pStyle w:val="3"/>
        <w:rPr>
          <w:rFonts w:ascii="仿宋" w:hAnsi="仿宋" w:eastAsia="仿宋"/>
          <w:color w:val="000000"/>
        </w:rPr>
      </w:pPr>
      <w:bookmarkStart w:id="71" w:name="_Toc15396628"/>
      <w:r>
        <w:rPr>
          <w:rStyle w:val="20"/>
          <w:rFonts w:hint="eastAsia" w:ascii="仿宋" w:hAnsi="仿宋" w:eastAsia="仿宋"/>
          <w:b w:val="0"/>
          <w:bCs w:val="0"/>
        </w:rPr>
        <w:t>十、</w:t>
      </w:r>
      <w:r>
        <w:rPr>
          <w:rFonts w:hint="eastAsia" w:ascii="仿宋" w:hAnsi="仿宋" w:eastAsia="仿宋"/>
          <w:b w:val="0"/>
          <w:color w:val="000000"/>
        </w:rPr>
        <w:t>一</w:t>
      </w:r>
      <w:r>
        <w:rPr>
          <w:rStyle w:val="20"/>
          <w:rFonts w:hint="eastAsia" w:ascii="仿宋" w:hAnsi="仿宋" w:eastAsia="仿宋"/>
          <w:b w:val="0"/>
          <w:bCs w:val="0"/>
        </w:rPr>
        <w:t>般公共预算财政拨款“三公”经费支出决算表</w:t>
      </w:r>
      <w:bookmarkEnd w:id="71"/>
    </w:p>
    <w:p>
      <w:pPr>
        <w:pStyle w:val="3"/>
        <w:rPr>
          <w:rFonts w:ascii="仿宋" w:hAnsi="仿宋" w:eastAsia="仿宋"/>
          <w:color w:val="000000"/>
        </w:rPr>
      </w:pPr>
      <w:bookmarkStart w:id="72" w:name="_Toc15396629"/>
      <w:r>
        <w:rPr>
          <w:rStyle w:val="20"/>
          <w:rFonts w:hint="eastAsia" w:ascii="仿宋" w:hAnsi="仿宋" w:eastAsia="仿宋"/>
          <w:b w:val="0"/>
          <w:bCs w:val="0"/>
        </w:rPr>
        <w:t>十一、</w:t>
      </w:r>
      <w:r>
        <w:rPr>
          <w:rFonts w:hint="eastAsia" w:ascii="仿宋" w:hAnsi="仿宋" w:eastAsia="仿宋"/>
          <w:b w:val="0"/>
          <w:color w:val="000000"/>
        </w:rPr>
        <w:t>政</w:t>
      </w:r>
      <w:r>
        <w:rPr>
          <w:rStyle w:val="20"/>
          <w:rFonts w:hint="eastAsia" w:ascii="仿宋" w:hAnsi="仿宋" w:eastAsia="仿宋"/>
          <w:b w:val="0"/>
          <w:bCs w:val="0"/>
        </w:rPr>
        <w:t>府性基金预算财政拨款收入支出决算表</w:t>
      </w:r>
      <w:bookmarkEnd w:id="72"/>
    </w:p>
    <w:p>
      <w:pPr>
        <w:pStyle w:val="3"/>
        <w:rPr>
          <w:rFonts w:ascii="仿宋" w:hAnsi="仿宋" w:eastAsia="仿宋"/>
          <w:color w:val="000000"/>
        </w:rPr>
      </w:pPr>
      <w:bookmarkStart w:id="73" w:name="_Toc15396630"/>
      <w:r>
        <w:rPr>
          <w:rStyle w:val="20"/>
          <w:rFonts w:hint="eastAsia" w:ascii="仿宋" w:hAnsi="仿宋" w:eastAsia="仿宋"/>
          <w:b w:val="0"/>
          <w:bCs w:val="0"/>
        </w:rPr>
        <w:t>十二、</w:t>
      </w:r>
      <w:r>
        <w:rPr>
          <w:rFonts w:hint="eastAsia" w:ascii="仿宋" w:hAnsi="仿宋" w:eastAsia="仿宋"/>
          <w:b w:val="0"/>
          <w:color w:val="000000"/>
        </w:rPr>
        <w:t>政</w:t>
      </w:r>
      <w:r>
        <w:rPr>
          <w:rStyle w:val="20"/>
          <w:rFonts w:hint="eastAsia" w:ascii="仿宋" w:hAnsi="仿宋" w:eastAsia="仿宋"/>
          <w:b w:val="0"/>
          <w:bCs w:val="0"/>
        </w:rPr>
        <w:t>府性基金预算财政拨款“三公”经费支出决算表</w:t>
      </w:r>
      <w:bookmarkEnd w:id="73"/>
    </w:p>
    <w:p>
      <w:pPr>
        <w:pStyle w:val="3"/>
        <w:rPr>
          <w:rFonts w:hint="eastAsia" w:eastAsia="仿宋"/>
          <w:lang w:eastAsia="zh-CN"/>
        </w:rPr>
        <w:sectPr>
          <w:headerReference r:id="rId3" w:type="default"/>
          <w:footerReference r:id="rId4" w:type="default"/>
          <w:pgSz w:w="11906" w:h="16838"/>
          <w:pgMar w:top="1440" w:right="1797" w:bottom="1440" w:left="1797" w:header="851" w:footer="992" w:gutter="0"/>
          <w:pgNumType w:start="1"/>
          <w:cols w:space="425" w:num="1"/>
          <w:titlePg/>
          <w:docGrid w:type="lines" w:linePitch="312" w:charSpace="0"/>
        </w:sectPr>
      </w:pPr>
      <w:bookmarkStart w:id="74" w:name="_Toc15396631"/>
      <w:r>
        <w:rPr>
          <w:rStyle w:val="20"/>
          <w:rFonts w:hint="eastAsia" w:ascii="仿宋" w:hAnsi="仿宋" w:eastAsia="仿宋"/>
          <w:b w:val="0"/>
          <w:bCs w:val="0"/>
        </w:rPr>
        <w:t>十三、</w:t>
      </w:r>
      <w:r>
        <w:rPr>
          <w:rFonts w:hint="eastAsia" w:ascii="仿宋" w:hAnsi="仿宋" w:eastAsia="仿宋"/>
          <w:b w:val="0"/>
          <w:color w:val="000000"/>
        </w:rPr>
        <w:t>国</w:t>
      </w:r>
      <w:r>
        <w:rPr>
          <w:rStyle w:val="20"/>
          <w:rFonts w:hint="eastAsia" w:ascii="仿宋" w:hAnsi="仿宋" w:eastAsia="仿宋"/>
          <w:b w:val="0"/>
          <w:bCs w:val="0"/>
        </w:rPr>
        <w:t>有资本经营预算支出决算</w:t>
      </w:r>
      <w:bookmarkEnd w:id="74"/>
      <w:r>
        <w:rPr>
          <w:rStyle w:val="20"/>
          <w:rFonts w:hint="eastAsia" w:ascii="仿宋" w:hAnsi="仿宋" w:eastAsia="仿宋"/>
          <w:b w:val="0"/>
          <w:bCs w:val="0"/>
          <w:lang w:eastAsia="zh-CN"/>
        </w:rPr>
        <w:t>表</w:t>
      </w:r>
    </w:p>
    <w:p/>
    <w:sectPr>
      <w:footerReference r:id="rId5" w:type="default"/>
      <w:pgSz w:w="11907" w:h="16840"/>
      <w:pgMar w:top="1134" w:right="346" w:bottom="1134" w:left="340" w:header="0" w:footer="0" w:gutter="0"/>
      <w:pgNumType w:start="1"/>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 w:name="方正小标宋简体">
    <w:altName w:val="黑体"/>
    <w:panose1 w:val="02000000000000000000"/>
    <w:charset w:val="86"/>
    <w:family w:val="auto"/>
    <w:pitch w:val="default"/>
    <w:sig w:usb0="00000000" w:usb1="00000000" w:usb2="00000012"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宋体,微软雅黑">
    <w:altName w:val="宋体"/>
    <w:panose1 w:val="00000000000000000000"/>
    <w:charset w:val="86"/>
    <w:family w:val="roma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fldChar w:fldCharType="begin"/>
    </w:r>
    <w:r>
      <w:instrText xml:space="preserve">PAGE   \* MERGEFORMAT</w:instrText>
    </w:r>
    <w:r>
      <w:fldChar w:fldCharType="separate"/>
    </w:r>
    <w:r>
      <w:rPr>
        <w:lang w:val="zh-CN"/>
      </w:rPr>
      <w:t>2</w:t>
    </w:r>
    <w:r>
      <w:rPr>
        <w:lang w:val="zh-CN"/>
      </w:rPr>
      <w:fldChar w:fldCharType="end"/>
    </w:r>
  </w:p>
  <w:p>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294221A"/>
    <w:multiLevelType w:val="singleLevel"/>
    <w:tmpl w:val="9294221A"/>
    <w:lvl w:ilvl="0" w:tentative="0">
      <w:start w:val="2"/>
      <w:numFmt w:val="decimal"/>
      <w:suff w:val="nothing"/>
      <w:lvlText w:val="%1、"/>
      <w:lvlJc w:val="left"/>
    </w:lvl>
  </w:abstractNum>
  <w:abstractNum w:abstractNumId="1">
    <w:nsid w:val="B026C66B"/>
    <w:multiLevelType w:val="singleLevel"/>
    <w:tmpl w:val="B026C66B"/>
    <w:lvl w:ilvl="0" w:tentative="0">
      <w:start w:val="1"/>
      <w:numFmt w:val="decimal"/>
      <w:lvlText w:val="%1."/>
      <w:lvlJc w:val="left"/>
      <w:pPr>
        <w:tabs>
          <w:tab w:val="left" w:pos="312"/>
        </w:tabs>
      </w:pPr>
      <w:rPr>
        <w:rFonts w:cs="Times New Roman"/>
      </w:rPr>
    </w:lvl>
  </w:abstractNum>
  <w:abstractNum w:abstractNumId="2">
    <w:nsid w:val="CF652CEC"/>
    <w:multiLevelType w:val="singleLevel"/>
    <w:tmpl w:val="CF652CEC"/>
    <w:lvl w:ilvl="0" w:tentative="0">
      <w:start w:val="9"/>
      <w:numFmt w:val="chineseCounting"/>
      <w:suff w:val="nothing"/>
      <w:lvlText w:val="%1、"/>
      <w:lvlJc w:val="left"/>
      <w:rPr>
        <w:rFonts w:hint="eastAsia" w:cs="Times New Roman"/>
      </w:rPr>
    </w:lvl>
  </w:abstractNum>
  <w:abstractNum w:abstractNumId="3">
    <w:nsid w:val="E2FA047D"/>
    <w:multiLevelType w:val="singleLevel"/>
    <w:tmpl w:val="E2FA047D"/>
    <w:lvl w:ilvl="0" w:tentative="0">
      <w:start w:val="3"/>
      <w:numFmt w:val="chineseCounting"/>
      <w:suff w:val="space"/>
      <w:lvlText w:val="第%1部分"/>
      <w:lvlJc w:val="left"/>
      <w:rPr>
        <w:rFonts w:hint="eastAsia" w:cs="Times New Roman"/>
      </w:rPr>
    </w:lvl>
  </w:abstractNum>
  <w:abstractNum w:abstractNumId="4">
    <w:nsid w:val="EC0BEF30"/>
    <w:multiLevelType w:val="singleLevel"/>
    <w:tmpl w:val="EC0BEF30"/>
    <w:lvl w:ilvl="0" w:tentative="0">
      <w:start w:val="1"/>
      <w:numFmt w:val="chineseCounting"/>
      <w:suff w:val="nothing"/>
      <w:lvlText w:val="（%1）"/>
      <w:lvlJc w:val="left"/>
      <w:rPr>
        <w:rFonts w:hint="eastAsia" w:ascii="楷体_GB2312" w:hAnsi="楷体_GB2312" w:eastAsia="楷体_GB2312" w:cs="楷体_GB2312"/>
        <w:b/>
        <w:bCs/>
        <w:sz w:val="32"/>
        <w:szCs w:val="32"/>
      </w:rPr>
    </w:lvl>
  </w:abstractNum>
  <w:abstractNum w:abstractNumId="5">
    <w:nsid w:val="1272550B"/>
    <w:multiLevelType w:val="multilevel"/>
    <w:tmpl w:val="1272550B"/>
    <w:lvl w:ilvl="0" w:tentative="0">
      <w:start w:val="1"/>
      <w:numFmt w:val="japaneseCounting"/>
      <w:lvlText w:val="%1、"/>
      <w:lvlJc w:val="left"/>
      <w:pPr>
        <w:ind w:left="1360" w:hanging="720"/>
      </w:pPr>
      <w:rPr>
        <w:rFonts w:hint="default" w:cs="Times New Roman"/>
        <w:b w:val="0"/>
      </w:rPr>
    </w:lvl>
    <w:lvl w:ilvl="1" w:tentative="0">
      <w:start w:val="1"/>
      <w:numFmt w:val="lowerLetter"/>
      <w:lvlText w:val="%2)"/>
      <w:lvlJc w:val="left"/>
      <w:pPr>
        <w:ind w:left="1480" w:hanging="420"/>
      </w:pPr>
      <w:rPr>
        <w:rFonts w:cs="Times New Roman"/>
      </w:rPr>
    </w:lvl>
    <w:lvl w:ilvl="2" w:tentative="0">
      <w:start w:val="1"/>
      <w:numFmt w:val="lowerRoman"/>
      <w:lvlText w:val="%3."/>
      <w:lvlJc w:val="right"/>
      <w:pPr>
        <w:ind w:left="1900" w:hanging="420"/>
      </w:pPr>
      <w:rPr>
        <w:rFonts w:cs="Times New Roman"/>
      </w:rPr>
    </w:lvl>
    <w:lvl w:ilvl="3" w:tentative="0">
      <w:start w:val="1"/>
      <w:numFmt w:val="decimal"/>
      <w:lvlText w:val="%4."/>
      <w:lvlJc w:val="left"/>
      <w:pPr>
        <w:ind w:left="2320" w:hanging="420"/>
      </w:pPr>
      <w:rPr>
        <w:rFonts w:cs="Times New Roman"/>
      </w:rPr>
    </w:lvl>
    <w:lvl w:ilvl="4" w:tentative="0">
      <w:start w:val="1"/>
      <w:numFmt w:val="lowerLetter"/>
      <w:lvlText w:val="%5)"/>
      <w:lvlJc w:val="left"/>
      <w:pPr>
        <w:ind w:left="2740" w:hanging="420"/>
      </w:pPr>
      <w:rPr>
        <w:rFonts w:cs="Times New Roman"/>
      </w:rPr>
    </w:lvl>
    <w:lvl w:ilvl="5" w:tentative="0">
      <w:start w:val="1"/>
      <w:numFmt w:val="lowerRoman"/>
      <w:lvlText w:val="%6."/>
      <w:lvlJc w:val="right"/>
      <w:pPr>
        <w:ind w:left="3160" w:hanging="420"/>
      </w:pPr>
      <w:rPr>
        <w:rFonts w:cs="Times New Roman"/>
      </w:rPr>
    </w:lvl>
    <w:lvl w:ilvl="6" w:tentative="0">
      <w:start w:val="1"/>
      <w:numFmt w:val="decimal"/>
      <w:lvlText w:val="%7."/>
      <w:lvlJc w:val="left"/>
      <w:pPr>
        <w:ind w:left="3580" w:hanging="420"/>
      </w:pPr>
      <w:rPr>
        <w:rFonts w:cs="Times New Roman"/>
      </w:rPr>
    </w:lvl>
    <w:lvl w:ilvl="7" w:tentative="0">
      <w:start w:val="1"/>
      <w:numFmt w:val="lowerLetter"/>
      <w:lvlText w:val="%8)"/>
      <w:lvlJc w:val="left"/>
      <w:pPr>
        <w:ind w:left="4000" w:hanging="420"/>
      </w:pPr>
      <w:rPr>
        <w:rFonts w:cs="Times New Roman"/>
      </w:rPr>
    </w:lvl>
    <w:lvl w:ilvl="8" w:tentative="0">
      <w:start w:val="1"/>
      <w:numFmt w:val="lowerRoman"/>
      <w:lvlText w:val="%9."/>
      <w:lvlJc w:val="right"/>
      <w:pPr>
        <w:ind w:left="4420" w:hanging="420"/>
      </w:pPr>
      <w:rPr>
        <w:rFonts w:cs="Times New Roman"/>
      </w:rPr>
    </w:lvl>
  </w:abstractNum>
  <w:abstractNum w:abstractNumId="6">
    <w:nsid w:val="17F426B7"/>
    <w:multiLevelType w:val="multilevel"/>
    <w:tmpl w:val="17F426B7"/>
    <w:lvl w:ilvl="0" w:tentative="0">
      <w:start w:val="10"/>
      <w:numFmt w:val="japaneseCounting"/>
      <w:lvlText w:val="%1、"/>
      <w:lvlJc w:val="left"/>
      <w:pPr>
        <w:ind w:left="1429" w:hanging="720"/>
      </w:pPr>
      <w:rPr>
        <w:rFonts w:hint="default" w:cs="Times New Roman"/>
      </w:rPr>
    </w:lvl>
    <w:lvl w:ilvl="1" w:tentative="0">
      <w:start w:val="1"/>
      <w:numFmt w:val="lowerLetter"/>
      <w:lvlText w:val="%2)"/>
      <w:lvlJc w:val="left"/>
      <w:pPr>
        <w:ind w:left="1549" w:hanging="420"/>
      </w:pPr>
      <w:rPr>
        <w:rFonts w:cs="Times New Roman"/>
      </w:rPr>
    </w:lvl>
    <w:lvl w:ilvl="2" w:tentative="0">
      <w:start w:val="1"/>
      <w:numFmt w:val="lowerRoman"/>
      <w:lvlText w:val="%3."/>
      <w:lvlJc w:val="right"/>
      <w:pPr>
        <w:ind w:left="1969" w:hanging="420"/>
      </w:pPr>
      <w:rPr>
        <w:rFonts w:cs="Times New Roman"/>
      </w:rPr>
    </w:lvl>
    <w:lvl w:ilvl="3" w:tentative="0">
      <w:start w:val="1"/>
      <w:numFmt w:val="decimal"/>
      <w:lvlText w:val="%4."/>
      <w:lvlJc w:val="left"/>
      <w:pPr>
        <w:ind w:left="2389" w:hanging="420"/>
      </w:pPr>
      <w:rPr>
        <w:rFonts w:cs="Times New Roman"/>
      </w:rPr>
    </w:lvl>
    <w:lvl w:ilvl="4" w:tentative="0">
      <w:start w:val="1"/>
      <w:numFmt w:val="lowerLetter"/>
      <w:lvlText w:val="%5)"/>
      <w:lvlJc w:val="left"/>
      <w:pPr>
        <w:ind w:left="2809" w:hanging="420"/>
      </w:pPr>
      <w:rPr>
        <w:rFonts w:cs="Times New Roman"/>
      </w:rPr>
    </w:lvl>
    <w:lvl w:ilvl="5" w:tentative="0">
      <w:start w:val="1"/>
      <w:numFmt w:val="lowerRoman"/>
      <w:lvlText w:val="%6."/>
      <w:lvlJc w:val="right"/>
      <w:pPr>
        <w:ind w:left="3229" w:hanging="420"/>
      </w:pPr>
      <w:rPr>
        <w:rFonts w:cs="Times New Roman"/>
      </w:rPr>
    </w:lvl>
    <w:lvl w:ilvl="6" w:tentative="0">
      <w:start w:val="1"/>
      <w:numFmt w:val="decimal"/>
      <w:lvlText w:val="%7."/>
      <w:lvlJc w:val="left"/>
      <w:pPr>
        <w:ind w:left="3649" w:hanging="420"/>
      </w:pPr>
      <w:rPr>
        <w:rFonts w:cs="Times New Roman"/>
      </w:rPr>
    </w:lvl>
    <w:lvl w:ilvl="7" w:tentative="0">
      <w:start w:val="1"/>
      <w:numFmt w:val="lowerLetter"/>
      <w:lvlText w:val="%8)"/>
      <w:lvlJc w:val="left"/>
      <w:pPr>
        <w:ind w:left="4069" w:hanging="420"/>
      </w:pPr>
      <w:rPr>
        <w:rFonts w:cs="Times New Roman"/>
      </w:rPr>
    </w:lvl>
    <w:lvl w:ilvl="8" w:tentative="0">
      <w:start w:val="1"/>
      <w:numFmt w:val="lowerRoman"/>
      <w:lvlText w:val="%9."/>
      <w:lvlJc w:val="right"/>
      <w:pPr>
        <w:ind w:left="4489" w:hanging="420"/>
      </w:pPr>
      <w:rPr>
        <w:rFonts w:cs="Times New Roman"/>
      </w:rPr>
    </w:lvl>
  </w:abstractNum>
  <w:num w:numId="1">
    <w:abstractNumId w:val="5"/>
  </w:num>
  <w:num w:numId="2">
    <w:abstractNumId w:val="2"/>
  </w:num>
  <w:num w:numId="3">
    <w:abstractNumId w:val="6"/>
  </w:num>
  <w:num w:numId="4">
    <w:abstractNumId w:val="4"/>
  </w:num>
  <w:num w:numId="5">
    <w:abstractNumId w:val="1"/>
  </w:num>
  <w:num w:numId="6">
    <w:abstractNumId w:val="3"/>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1361C"/>
    <w:rsid w:val="000007DF"/>
    <w:rsid w:val="00001244"/>
    <w:rsid w:val="00004219"/>
    <w:rsid w:val="000222C6"/>
    <w:rsid w:val="0002549F"/>
    <w:rsid w:val="00025C42"/>
    <w:rsid w:val="00026807"/>
    <w:rsid w:val="00030AB8"/>
    <w:rsid w:val="00033AFD"/>
    <w:rsid w:val="00057938"/>
    <w:rsid w:val="0006487A"/>
    <w:rsid w:val="00065F8F"/>
    <w:rsid w:val="000722C1"/>
    <w:rsid w:val="0007486D"/>
    <w:rsid w:val="000768F2"/>
    <w:rsid w:val="00083D82"/>
    <w:rsid w:val="000868C0"/>
    <w:rsid w:val="0009184B"/>
    <w:rsid w:val="0009593C"/>
    <w:rsid w:val="000A19BA"/>
    <w:rsid w:val="000A25BA"/>
    <w:rsid w:val="000A3930"/>
    <w:rsid w:val="000A740F"/>
    <w:rsid w:val="000B047F"/>
    <w:rsid w:val="000B24A0"/>
    <w:rsid w:val="000B5923"/>
    <w:rsid w:val="000B5A48"/>
    <w:rsid w:val="000B6FF3"/>
    <w:rsid w:val="000C3467"/>
    <w:rsid w:val="000C3CA6"/>
    <w:rsid w:val="000C71FA"/>
    <w:rsid w:val="000D02DD"/>
    <w:rsid w:val="000D0B31"/>
    <w:rsid w:val="000D1267"/>
    <w:rsid w:val="000D1D50"/>
    <w:rsid w:val="000D5782"/>
    <w:rsid w:val="000E4D4E"/>
    <w:rsid w:val="000E6613"/>
    <w:rsid w:val="000E7119"/>
    <w:rsid w:val="001005B8"/>
    <w:rsid w:val="00105C07"/>
    <w:rsid w:val="00107A45"/>
    <w:rsid w:val="00114E9B"/>
    <w:rsid w:val="001216F3"/>
    <w:rsid w:val="0012400A"/>
    <w:rsid w:val="00135219"/>
    <w:rsid w:val="001370C0"/>
    <w:rsid w:val="0014115B"/>
    <w:rsid w:val="0014729F"/>
    <w:rsid w:val="00152C82"/>
    <w:rsid w:val="001543A4"/>
    <w:rsid w:val="00157BAB"/>
    <w:rsid w:val="00160221"/>
    <w:rsid w:val="001654D1"/>
    <w:rsid w:val="001670F0"/>
    <w:rsid w:val="0017120E"/>
    <w:rsid w:val="00174B07"/>
    <w:rsid w:val="00176086"/>
    <w:rsid w:val="00176DC6"/>
    <w:rsid w:val="0018106D"/>
    <w:rsid w:val="00181C01"/>
    <w:rsid w:val="00185E74"/>
    <w:rsid w:val="00187253"/>
    <w:rsid w:val="001877A7"/>
    <w:rsid w:val="00191536"/>
    <w:rsid w:val="00193DFB"/>
    <w:rsid w:val="00196687"/>
    <w:rsid w:val="00197C92"/>
    <w:rsid w:val="001A0470"/>
    <w:rsid w:val="001A77B9"/>
    <w:rsid w:val="001A7AAA"/>
    <w:rsid w:val="001B20B1"/>
    <w:rsid w:val="001C0962"/>
    <w:rsid w:val="001C0E32"/>
    <w:rsid w:val="001D1706"/>
    <w:rsid w:val="001D26EF"/>
    <w:rsid w:val="001D7531"/>
    <w:rsid w:val="001E737D"/>
    <w:rsid w:val="001F0592"/>
    <w:rsid w:val="001F7359"/>
    <w:rsid w:val="001F7506"/>
    <w:rsid w:val="002006CD"/>
    <w:rsid w:val="00202B36"/>
    <w:rsid w:val="00204B7A"/>
    <w:rsid w:val="0021101A"/>
    <w:rsid w:val="00212AF0"/>
    <w:rsid w:val="0021432D"/>
    <w:rsid w:val="00215B57"/>
    <w:rsid w:val="002177F0"/>
    <w:rsid w:val="0021784F"/>
    <w:rsid w:val="00220536"/>
    <w:rsid w:val="002268F0"/>
    <w:rsid w:val="00232AF7"/>
    <w:rsid w:val="00235629"/>
    <w:rsid w:val="00236742"/>
    <w:rsid w:val="0024210C"/>
    <w:rsid w:val="00243857"/>
    <w:rsid w:val="00252587"/>
    <w:rsid w:val="002555D7"/>
    <w:rsid w:val="00260B84"/>
    <w:rsid w:val="00260C38"/>
    <w:rsid w:val="002615E6"/>
    <w:rsid w:val="002616C0"/>
    <w:rsid w:val="00264D7E"/>
    <w:rsid w:val="00265B4B"/>
    <w:rsid w:val="002662AA"/>
    <w:rsid w:val="00272497"/>
    <w:rsid w:val="00272862"/>
    <w:rsid w:val="00273B26"/>
    <w:rsid w:val="00280496"/>
    <w:rsid w:val="002924DD"/>
    <w:rsid w:val="00295495"/>
    <w:rsid w:val="002A1BC7"/>
    <w:rsid w:val="002B2613"/>
    <w:rsid w:val="002C21F9"/>
    <w:rsid w:val="002C72D1"/>
    <w:rsid w:val="002D2D0F"/>
    <w:rsid w:val="002D582F"/>
    <w:rsid w:val="002F09FB"/>
    <w:rsid w:val="002F1818"/>
    <w:rsid w:val="002F1AB2"/>
    <w:rsid w:val="002F556F"/>
    <w:rsid w:val="002F567B"/>
    <w:rsid w:val="002F5D48"/>
    <w:rsid w:val="00303052"/>
    <w:rsid w:val="003106C6"/>
    <w:rsid w:val="0031529D"/>
    <w:rsid w:val="003216A9"/>
    <w:rsid w:val="003247E7"/>
    <w:rsid w:val="003279AA"/>
    <w:rsid w:val="00331B77"/>
    <w:rsid w:val="0034233C"/>
    <w:rsid w:val="00355F5E"/>
    <w:rsid w:val="00356BC7"/>
    <w:rsid w:val="00356FFE"/>
    <w:rsid w:val="00364EA5"/>
    <w:rsid w:val="0037013F"/>
    <w:rsid w:val="0037563B"/>
    <w:rsid w:val="00380C92"/>
    <w:rsid w:val="0038694F"/>
    <w:rsid w:val="00397093"/>
    <w:rsid w:val="003A484F"/>
    <w:rsid w:val="003B0BE0"/>
    <w:rsid w:val="003B0C1B"/>
    <w:rsid w:val="003B3FC1"/>
    <w:rsid w:val="003B688C"/>
    <w:rsid w:val="003B7132"/>
    <w:rsid w:val="003C0291"/>
    <w:rsid w:val="003C26B3"/>
    <w:rsid w:val="003C39AE"/>
    <w:rsid w:val="003C7B60"/>
    <w:rsid w:val="003D1FB2"/>
    <w:rsid w:val="003D66DA"/>
    <w:rsid w:val="003D7A9F"/>
    <w:rsid w:val="003E06E5"/>
    <w:rsid w:val="003E1310"/>
    <w:rsid w:val="003E6F55"/>
    <w:rsid w:val="003E73E6"/>
    <w:rsid w:val="003F0B62"/>
    <w:rsid w:val="003F74E2"/>
    <w:rsid w:val="00400FDC"/>
    <w:rsid w:val="004059F7"/>
    <w:rsid w:val="00406254"/>
    <w:rsid w:val="00413E51"/>
    <w:rsid w:val="004173C3"/>
    <w:rsid w:val="004223D5"/>
    <w:rsid w:val="004223DE"/>
    <w:rsid w:val="00425AE9"/>
    <w:rsid w:val="0043347E"/>
    <w:rsid w:val="00434489"/>
    <w:rsid w:val="00437085"/>
    <w:rsid w:val="0044285D"/>
    <w:rsid w:val="00442886"/>
    <w:rsid w:val="00443880"/>
    <w:rsid w:val="00444D29"/>
    <w:rsid w:val="004464F4"/>
    <w:rsid w:val="0045742C"/>
    <w:rsid w:val="00470140"/>
    <w:rsid w:val="00471401"/>
    <w:rsid w:val="00473F31"/>
    <w:rsid w:val="00476FD1"/>
    <w:rsid w:val="0048058E"/>
    <w:rsid w:val="0048263A"/>
    <w:rsid w:val="00485C23"/>
    <w:rsid w:val="00487E5D"/>
    <w:rsid w:val="004A4842"/>
    <w:rsid w:val="004A711F"/>
    <w:rsid w:val="004B0D5B"/>
    <w:rsid w:val="004B199D"/>
    <w:rsid w:val="004B29F5"/>
    <w:rsid w:val="004B4690"/>
    <w:rsid w:val="004B5247"/>
    <w:rsid w:val="004B5791"/>
    <w:rsid w:val="004C2D39"/>
    <w:rsid w:val="004D015D"/>
    <w:rsid w:val="004D0626"/>
    <w:rsid w:val="004D6ED0"/>
    <w:rsid w:val="004E0A2D"/>
    <w:rsid w:val="004E1013"/>
    <w:rsid w:val="004E1D18"/>
    <w:rsid w:val="004E201D"/>
    <w:rsid w:val="004E206B"/>
    <w:rsid w:val="004E2136"/>
    <w:rsid w:val="004E2E59"/>
    <w:rsid w:val="004E6DF7"/>
    <w:rsid w:val="004F0FBD"/>
    <w:rsid w:val="004F2B14"/>
    <w:rsid w:val="00505A47"/>
    <w:rsid w:val="00511601"/>
    <w:rsid w:val="00512FDA"/>
    <w:rsid w:val="00513F2B"/>
    <w:rsid w:val="00520CB3"/>
    <w:rsid w:val="00520DA0"/>
    <w:rsid w:val="005222F9"/>
    <w:rsid w:val="005226AF"/>
    <w:rsid w:val="0052309C"/>
    <w:rsid w:val="00530933"/>
    <w:rsid w:val="00530DB0"/>
    <w:rsid w:val="005363D5"/>
    <w:rsid w:val="00551FD3"/>
    <w:rsid w:val="005540CD"/>
    <w:rsid w:val="00555B7C"/>
    <w:rsid w:val="00560738"/>
    <w:rsid w:val="00561274"/>
    <w:rsid w:val="005615A4"/>
    <w:rsid w:val="00562280"/>
    <w:rsid w:val="00562A39"/>
    <w:rsid w:val="005664BB"/>
    <w:rsid w:val="0057237C"/>
    <w:rsid w:val="0057481D"/>
    <w:rsid w:val="005748D4"/>
    <w:rsid w:val="00576086"/>
    <w:rsid w:val="005826AD"/>
    <w:rsid w:val="0058486E"/>
    <w:rsid w:val="00586E86"/>
    <w:rsid w:val="005958A5"/>
    <w:rsid w:val="00595B4E"/>
    <w:rsid w:val="00597577"/>
    <w:rsid w:val="005A356B"/>
    <w:rsid w:val="005B3145"/>
    <w:rsid w:val="005C2628"/>
    <w:rsid w:val="005C289D"/>
    <w:rsid w:val="005D1C8B"/>
    <w:rsid w:val="005D5CED"/>
    <w:rsid w:val="005E0A8F"/>
    <w:rsid w:val="005F1A4C"/>
    <w:rsid w:val="006029BC"/>
    <w:rsid w:val="00605688"/>
    <w:rsid w:val="006070AF"/>
    <w:rsid w:val="00607E6C"/>
    <w:rsid w:val="006101B1"/>
    <w:rsid w:val="00614E44"/>
    <w:rsid w:val="00616257"/>
    <w:rsid w:val="00621C54"/>
    <w:rsid w:val="00622830"/>
    <w:rsid w:val="006253D3"/>
    <w:rsid w:val="00625CED"/>
    <w:rsid w:val="00630AEF"/>
    <w:rsid w:val="006325F8"/>
    <w:rsid w:val="00634C9A"/>
    <w:rsid w:val="00640E07"/>
    <w:rsid w:val="006440E4"/>
    <w:rsid w:val="00647CE3"/>
    <w:rsid w:val="006507F5"/>
    <w:rsid w:val="0065294F"/>
    <w:rsid w:val="006529A6"/>
    <w:rsid w:val="006572D7"/>
    <w:rsid w:val="0066343B"/>
    <w:rsid w:val="00663495"/>
    <w:rsid w:val="00664095"/>
    <w:rsid w:val="00664777"/>
    <w:rsid w:val="006748A4"/>
    <w:rsid w:val="00675B00"/>
    <w:rsid w:val="0067691A"/>
    <w:rsid w:val="00680FAA"/>
    <w:rsid w:val="00683E73"/>
    <w:rsid w:val="0068715E"/>
    <w:rsid w:val="00694D7B"/>
    <w:rsid w:val="006A2CB6"/>
    <w:rsid w:val="006A3141"/>
    <w:rsid w:val="006A34DD"/>
    <w:rsid w:val="006A4011"/>
    <w:rsid w:val="006A5C02"/>
    <w:rsid w:val="006A5E34"/>
    <w:rsid w:val="006B2422"/>
    <w:rsid w:val="006B2B9A"/>
    <w:rsid w:val="006B34D0"/>
    <w:rsid w:val="006B5F9B"/>
    <w:rsid w:val="006C1937"/>
    <w:rsid w:val="006E138D"/>
    <w:rsid w:val="006E3E62"/>
    <w:rsid w:val="006E6A4B"/>
    <w:rsid w:val="006F020C"/>
    <w:rsid w:val="006F0480"/>
    <w:rsid w:val="007120BF"/>
    <w:rsid w:val="00712259"/>
    <w:rsid w:val="007127B7"/>
    <w:rsid w:val="00713E34"/>
    <w:rsid w:val="00714F17"/>
    <w:rsid w:val="00715F35"/>
    <w:rsid w:val="00721A8C"/>
    <w:rsid w:val="007317DB"/>
    <w:rsid w:val="0073486C"/>
    <w:rsid w:val="00735AB9"/>
    <w:rsid w:val="007416B6"/>
    <w:rsid w:val="007427E8"/>
    <w:rsid w:val="007429BF"/>
    <w:rsid w:val="00746E24"/>
    <w:rsid w:val="00746F48"/>
    <w:rsid w:val="0075404D"/>
    <w:rsid w:val="00755A62"/>
    <w:rsid w:val="00755A88"/>
    <w:rsid w:val="00757ACE"/>
    <w:rsid w:val="0076182A"/>
    <w:rsid w:val="00764C4D"/>
    <w:rsid w:val="00767B7E"/>
    <w:rsid w:val="0077298C"/>
    <w:rsid w:val="007770C3"/>
    <w:rsid w:val="00784D24"/>
    <w:rsid w:val="00785FBA"/>
    <w:rsid w:val="00786E4A"/>
    <w:rsid w:val="007875EB"/>
    <w:rsid w:val="007912B3"/>
    <w:rsid w:val="00793F27"/>
    <w:rsid w:val="00794220"/>
    <w:rsid w:val="0079426B"/>
    <w:rsid w:val="007A1F59"/>
    <w:rsid w:val="007A4BFB"/>
    <w:rsid w:val="007B037F"/>
    <w:rsid w:val="007C03ED"/>
    <w:rsid w:val="007C4F0D"/>
    <w:rsid w:val="007C7AF0"/>
    <w:rsid w:val="007D312A"/>
    <w:rsid w:val="007D3F19"/>
    <w:rsid w:val="007E23B0"/>
    <w:rsid w:val="007E7761"/>
    <w:rsid w:val="007F1991"/>
    <w:rsid w:val="007F2C2F"/>
    <w:rsid w:val="007F55FC"/>
    <w:rsid w:val="007F5665"/>
    <w:rsid w:val="007F67DC"/>
    <w:rsid w:val="00800112"/>
    <w:rsid w:val="008253BB"/>
    <w:rsid w:val="00833AC1"/>
    <w:rsid w:val="00836D07"/>
    <w:rsid w:val="0083706E"/>
    <w:rsid w:val="008423A5"/>
    <w:rsid w:val="008474BE"/>
    <w:rsid w:val="00850625"/>
    <w:rsid w:val="008532F5"/>
    <w:rsid w:val="00853718"/>
    <w:rsid w:val="0085396A"/>
    <w:rsid w:val="00855221"/>
    <w:rsid w:val="00860645"/>
    <w:rsid w:val="00861D0A"/>
    <w:rsid w:val="00865568"/>
    <w:rsid w:val="00871F71"/>
    <w:rsid w:val="00873207"/>
    <w:rsid w:val="00885900"/>
    <w:rsid w:val="00885AF4"/>
    <w:rsid w:val="008939CD"/>
    <w:rsid w:val="008A0873"/>
    <w:rsid w:val="008B241D"/>
    <w:rsid w:val="008B423A"/>
    <w:rsid w:val="008B5252"/>
    <w:rsid w:val="008B7187"/>
    <w:rsid w:val="008B7422"/>
    <w:rsid w:val="008B768C"/>
    <w:rsid w:val="008C415B"/>
    <w:rsid w:val="008C4A9E"/>
    <w:rsid w:val="008C4DB1"/>
    <w:rsid w:val="008C4EAF"/>
    <w:rsid w:val="008C5176"/>
    <w:rsid w:val="008C7FD0"/>
    <w:rsid w:val="008E1DE7"/>
    <w:rsid w:val="008E707C"/>
    <w:rsid w:val="008F68C3"/>
    <w:rsid w:val="008F7A6F"/>
    <w:rsid w:val="00900B08"/>
    <w:rsid w:val="00902155"/>
    <w:rsid w:val="00902FA3"/>
    <w:rsid w:val="00905ADA"/>
    <w:rsid w:val="00907148"/>
    <w:rsid w:val="009144A6"/>
    <w:rsid w:val="00923564"/>
    <w:rsid w:val="0092392E"/>
    <w:rsid w:val="0092537E"/>
    <w:rsid w:val="00930FF4"/>
    <w:rsid w:val="009315F9"/>
    <w:rsid w:val="0094024C"/>
    <w:rsid w:val="00946945"/>
    <w:rsid w:val="00951248"/>
    <w:rsid w:val="0095152F"/>
    <w:rsid w:val="00954C49"/>
    <w:rsid w:val="00967EB8"/>
    <w:rsid w:val="0097099F"/>
    <w:rsid w:val="00971997"/>
    <w:rsid w:val="00971FFC"/>
    <w:rsid w:val="00976ACE"/>
    <w:rsid w:val="009857F6"/>
    <w:rsid w:val="0098660A"/>
    <w:rsid w:val="009931C3"/>
    <w:rsid w:val="00993376"/>
    <w:rsid w:val="00995555"/>
    <w:rsid w:val="009A0F17"/>
    <w:rsid w:val="009B2C43"/>
    <w:rsid w:val="009B4EAE"/>
    <w:rsid w:val="009B7573"/>
    <w:rsid w:val="009C22F4"/>
    <w:rsid w:val="009C2E98"/>
    <w:rsid w:val="009C7607"/>
    <w:rsid w:val="009D3447"/>
    <w:rsid w:val="009D37D7"/>
    <w:rsid w:val="009D4711"/>
    <w:rsid w:val="009E4383"/>
    <w:rsid w:val="009E5175"/>
    <w:rsid w:val="009E5B13"/>
    <w:rsid w:val="009F04CA"/>
    <w:rsid w:val="009F0B90"/>
    <w:rsid w:val="009F1185"/>
    <w:rsid w:val="009F18CD"/>
    <w:rsid w:val="009F2A13"/>
    <w:rsid w:val="009F69A0"/>
    <w:rsid w:val="00A00470"/>
    <w:rsid w:val="00A04EB0"/>
    <w:rsid w:val="00A05E76"/>
    <w:rsid w:val="00A139DA"/>
    <w:rsid w:val="00A13CC1"/>
    <w:rsid w:val="00A14888"/>
    <w:rsid w:val="00A16847"/>
    <w:rsid w:val="00A237D8"/>
    <w:rsid w:val="00A25967"/>
    <w:rsid w:val="00A25FC0"/>
    <w:rsid w:val="00A26115"/>
    <w:rsid w:val="00A268C4"/>
    <w:rsid w:val="00A307CD"/>
    <w:rsid w:val="00A40650"/>
    <w:rsid w:val="00A40A00"/>
    <w:rsid w:val="00A4142F"/>
    <w:rsid w:val="00A43EDB"/>
    <w:rsid w:val="00A5436C"/>
    <w:rsid w:val="00A55926"/>
    <w:rsid w:val="00A56DF2"/>
    <w:rsid w:val="00A579A3"/>
    <w:rsid w:val="00A63925"/>
    <w:rsid w:val="00A6624D"/>
    <w:rsid w:val="00A67AB5"/>
    <w:rsid w:val="00A772ED"/>
    <w:rsid w:val="00A85401"/>
    <w:rsid w:val="00A863B4"/>
    <w:rsid w:val="00A91760"/>
    <w:rsid w:val="00A92BAD"/>
    <w:rsid w:val="00A93B00"/>
    <w:rsid w:val="00A93C21"/>
    <w:rsid w:val="00AA5119"/>
    <w:rsid w:val="00AB603F"/>
    <w:rsid w:val="00AC2F3F"/>
    <w:rsid w:val="00AC3C6A"/>
    <w:rsid w:val="00AD386F"/>
    <w:rsid w:val="00AD5620"/>
    <w:rsid w:val="00AD7C1B"/>
    <w:rsid w:val="00AE16BA"/>
    <w:rsid w:val="00AE1EBE"/>
    <w:rsid w:val="00AE4F38"/>
    <w:rsid w:val="00AF0B73"/>
    <w:rsid w:val="00AF2065"/>
    <w:rsid w:val="00AF2075"/>
    <w:rsid w:val="00B0104C"/>
    <w:rsid w:val="00B03265"/>
    <w:rsid w:val="00B03C9D"/>
    <w:rsid w:val="00B060AE"/>
    <w:rsid w:val="00B10517"/>
    <w:rsid w:val="00B14E76"/>
    <w:rsid w:val="00B161B8"/>
    <w:rsid w:val="00B2048C"/>
    <w:rsid w:val="00B26B60"/>
    <w:rsid w:val="00B310B9"/>
    <w:rsid w:val="00B35F3F"/>
    <w:rsid w:val="00B36CBB"/>
    <w:rsid w:val="00B37C69"/>
    <w:rsid w:val="00B406D0"/>
    <w:rsid w:val="00B40714"/>
    <w:rsid w:val="00B425E0"/>
    <w:rsid w:val="00B440AA"/>
    <w:rsid w:val="00B44B70"/>
    <w:rsid w:val="00B53C56"/>
    <w:rsid w:val="00B6279E"/>
    <w:rsid w:val="00B6700F"/>
    <w:rsid w:val="00B77EA6"/>
    <w:rsid w:val="00B81598"/>
    <w:rsid w:val="00B841F1"/>
    <w:rsid w:val="00B944D6"/>
    <w:rsid w:val="00B96FC8"/>
    <w:rsid w:val="00BA1756"/>
    <w:rsid w:val="00BA2A2A"/>
    <w:rsid w:val="00BA2E0B"/>
    <w:rsid w:val="00BB20AC"/>
    <w:rsid w:val="00BB4DF0"/>
    <w:rsid w:val="00BC289F"/>
    <w:rsid w:val="00BC5361"/>
    <w:rsid w:val="00BC5460"/>
    <w:rsid w:val="00BC6B50"/>
    <w:rsid w:val="00BD0E25"/>
    <w:rsid w:val="00BD7488"/>
    <w:rsid w:val="00BF45B7"/>
    <w:rsid w:val="00BF5BD6"/>
    <w:rsid w:val="00BF6BBA"/>
    <w:rsid w:val="00C03E31"/>
    <w:rsid w:val="00C10FAC"/>
    <w:rsid w:val="00C138E8"/>
    <w:rsid w:val="00C15127"/>
    <w:rsid w:val="00C2434D"/>
    <w:rsid w:val="00C3028B"/>
    <w:rsid w:val="00C30725"/>
    <w:rsid w:val="00C33E72"/>
    <w:rsid w:val="00C354B2"/>
    <w:rsid w:val="00C35554"/>
    <w:rsid w:val="00C42709"/>
    <w:rsid w:val="00C470AC"/>
    <w:rsid w:val="00C533CC"/>
    <w:rsid w:val="00C5751C"/>
    <w:rsid w:val="00C61BFC"/>
    <w:rsid w:val="00C62B85"/>
    <w:rsid w:val="00C65438"/>
    <w:rsid w:val="00C8373C"/>
    <w:rsid w:val="00C90442"/>
    <w:rsid w:val="00C91CBB"/>
    <w:rsid w:val="00C94DA0"/>
    <w:rsid w:val="00CA6B33"/>
    <w:rsid w:val="00CB3584"/>
    <w:rsid w:val="00CC09B6"/>
    <w:rsid w:val="00CC3FA1"/>
    <w:rsid w:val="00CC5C94"/>
    <w:rsid w:val="00CC666F"/>
    <w:rsid w:val="00CC7493"/>
    <w:rsid w:val="00CD024A"/>
    <w:rsid w:val="00CD1266"/>
    <w:rsid w:val="00CD1E3F"/>
    <w:rsid w:val="00CD248A"/>
    <w:rsid w:val="00CE44F6"/>
    <w:rsid w:val="00CE49DA"/>
    <w:rsid w:val="00CE4EC8"/>
    <w:rsid w:val="00CE7B61"/>
    <w:rsid w:val="00CE7E7F"/>
    <w:rsid w:val="00CF34EA"/>
    <w:rsid w:val="00CF6A7B"/>
    <w:rsid w:val="00D00095"/>
    <w:rsid w:val="00D011CC"/>
    <w:rsid w:val="00D11F04"/>
    <w:rsid w:val="00D20620"/>
    <w:rsid w:val="00D26091"/>
    <w:rsid w:val="00D26448"/>
    <w:rsid w:val="00D2673A"/>
    <w:rsid w:val="00D34E7C"/>
    <w:rsid w:val="00D35489"/>
    <w:rsid w:val="00D51276"/>
    <w:rsid w:val="00D7035F"/>
    <w:rsid w:val="00D757D2"/>
    <w:rsid w:val="00D90E48"/>
    <w:rsid w:val="00D97598"/>
    <w:rsid w:val="00DA2BE8"/>
    <w:rsid w:val="00DA5B5C"/>
    <w:rsid w:val="00DA65AC"/>
    <w:rsid w:val="00DA7BA7"/>
    <w:rsid w:val="00DB0F51"/>
    <w:rsid w:val="00DB1913"/>
    <w:rsid w:val="00DC410D"/>
    <w:rsid w:val="00DC57E0"/>
    <w:rsid w:val="00DC68CA"/>
    <w:rsid w:val="00DC7CBA"/>
    <w:rsid w:val="00DD02FD"/>
    <w:rsid w:val="00DD0959"/>
    <w:rsid w:val="00DD73B7"/>
    <w:rsid w:val="00DD74FC"/>
    <w:rsid w:val="00DE7B51"/>
    <w:rsid w:val="00DF28BC"/>
    <w:rsid w:val="00DF34B9"/>
    <w:rsid w:val="00E01053"/>
    <w:rsid w:val="00E07ACF"/>
    <w:rsid w:val="00E1281C"/>
    <w:rsid w:val="00E13041"/>
    <w:rsid w:val="00E15BE2"/>
    <w:rsid w:val="00E206D9"/>
    <w:rsid w:val="00E233AE"/>
    <w:rsid w:val="00E331A1"/>
    <w:rsid w:val="00E33202"/>
    <w:rsid w:val="00E336A9"/>
    <w:rsid w:val="00E43B3D"/>
    <w:rsid w:val="00E4733B"/>
    <w:rsid w:val="00E50624"/>
    <w:rsid w:val="00E568DF"/>
    <w:rsid w:val="00E64269"/>
    <w:rsid w:val="00E64794"/>
    <w:rsid w:val="00E81F8C"/>
    <w:rsid w:val="00E82267"/>
    <w:rsid w:val="00E87489"/>
    <w:rsid w:val="00EA010F"/>
    <w:rsid w:val="00EA42CA"/>
    <w:rsid w:val="00EA5CA4"/>
    <w:rsid w:val="00EA7967"/>
    <w:rsid w:val="00EB0B09"/>
    <w:rsid w:val="00ED0809"/>
    <w:rsid w:val="00ED1B63"/>
    <w:rsid w:val="00ED3C1F"/>
    <w:rsid w:val="00ED4085"/>
    <w:rsid w:val="00ED420E"/>
    <w:rsid w:val="00EE2F57"/>
    <w:rsid w:val="00EE5356"/>
    <w:rsid w:val="00EF22F8"/>
    <w:rsid w:val="00EF443D"/>
    <w:rsid w:val="00EF4C34"/>
    <w:rsid w:val="00EF579C"/>
    <w:rsid w:val="00EF77C6"/>
    <w:rsid w:val="00F05438"/>
    <w:rsid w:val="00F06A0F"/>
    <w:rsid w:val="00F1361C"/>
    <w:rsid w:val="00F160C7"/>
    <w:rsid w:val="00F366A8"/>
    <w:rsid w:val="00F36D8F"/>
    <w:rsid w:val="00F37B23"/>
    <w:rsid w:val="00F417B1"/>
    <w:rsid w:val="00F418E6"/>
    <w:rsid w:val="00F52BEC"/>
    <w:rsid w:val="00F602DF"/>
    <w:rsid w:val="00F617D2"/>
    <w:rsid w:val="00F61907"/>
    <w:rsid w:val="00F80862"/>
    <w:rsid w:val="00F81FD9"/>
    <w:rsid w:val="00F83112"/>
    <w:rsid w:val="00F841AA"/>
    <w:rsid w:val="00F918D4"/>
    <w:rsid w:val="00FA23E8"/>
    <w:rsid w:val="00FA6ED6"/>
    <w:rsid w:val="00FB32A1"/>
    <w:rsid w:val="00FD1099"/>
    <w:rsid w:val="00FD23E0"/>
    <w:rsid w:val="00FD3CC1"/>
    <w:rsid w:val="00FD60B4"/>
    <w:rsid w:val="00FD7905"/>
    <w:rsid w:val="00FF1BCE"/>
    <w:rsid w:val="00FF1E02"/>
    <w:rsid w:val="00FF30B4"/>
    <w:rsid w:val="10C055FF"/>
    <w:rsid w:val="16BB723D"/>
    <w:rsid w:val="240371BF"/>
    <w:rsid w:val="29D94A78"/>
    <w:rsid w:val="29FD04D3"/>
    <w:rsid w:val="2FF54FD1"/>
    <w:rsid w:val="319F7F4E"/>
    <w:rsid w:val="48C72B30"/>
    <w:rsid w:val="5D0C71DC"/>
    <w:rsid w:val="7DD5149E"/>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qFormat="1" w:unhideWhenUsed="0" w:uiPriority="99" w:semiHidden="0" w:name="toc 2"/>
    <w:lsdException w:qFormat="1" w:unhideWhenUsed="0" w:uiPriority="99" w:semiHidden="0" w:name="toc 3"/>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99" w:semiHidden="0" w:name="Strong"/>
    <w:lsdException w:qFormat="1" w:unhideWhenUsed="0" w:uiPriority="99"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9"/>
    <w:qFormat/>
    <w:uiPriority w:val="99"/>
    <w:pPr>
      <w:keepNext/>
      <w:keepLines/>
      <w:spacing w:before="340" w:after="330" w:line="578" w:lineRule="auto"/>
      <w:outlineLvl w:val="0"/>
    </w:pPr>
    <w:rPr>
      <w:b/>
      <w:bCs/>
      <w:kern w:val="44"/>
      <w:sz w:val="44"/>
      <w:szCs w:val="44"/>
    </w:rPr>
  </w:style>
  <w:style w:type="paragraph" w:styleId="3">
    <w:name w:val="heading 2"/>
    <w:basedOn w:val="1"/>
    <w:next w:val="1"/>
    <w:link w:val="20"/>
    <w:qFormat/>
    <w:uiPriority w:val="99"/>
    <w:pPr>
      <w:keepNext/>
      <w:keepLines/>
      <w:spacing w:before="260" w:after="260" w:line="416" w:lineRule="auto"/>
      <w:outlineLvl w:val="1"/>
    </w:pPr>
    <w:rPr>
      <w:rFonts w:ascii="Cambria" w:hAnsi="Cambria"/>
      <w:b/>
      <w:bCs/>
      <w:sz w:val="32"/>
      <w:szCs w:val="32"/>
    </w:rPr>
  </w:style>
  <w:style w:type="paragraph" w:styleId="4">
    <w:name w:val="heading 3"/>
    <w:basedOn w:val="1"/>
    <w:next w:val="1"/>
    <w:link w:val="21"/>
    <w:qFormat/>
    <w:uiPriority w:val="99"/>
    <w:pPr>
      <w:keepNext/>
      <w:keepLines/>
      <w:spacing w:before="260" w:after="260" w:line="416" w:lineRule="auto"/>
      <w:outlineLvl w:val="2"/>
    </w:pPr>
    <w:rPr>
      <w:b/>
      <w:bCs/>
      <w:sz w:val="32"/>
      <w:szCs w:val="32"/>
    </w:rPr>
  </w:style>
  <w:style w:type="character" w:default="1" w:styleId="14">
    <w:name w:val="Default Paragraph Font"/>
    <w:semiHidden/>
    <w:uiPriority w:val="99"/>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5">
    <w:name w:val="Body Text"/>
    <w:basedOn w:val="1"/>
    <w:link w:val="27"/>
    <w:qFormat/>
    <w:uiPriority w:val="99"/>
    <w:pPr>
      <w:spacing w:beforeLines="30"/>
    </w:pPr>
    <w:rPr>
      <w:rFonts w:ascii="仿宋_GB2312" w:eastAsia="仿宋_GB2312"/>
      <w:kern w:val="0"/>
      <w:sz w:val="24"/>
      <w:szCs w:val="20"/>
    </w:rPr>
  </w:style>
  <w:style w:type="paragraph" w:styleId="6">
    <w:name w:val="toc 3"/>
    <w:basedOn w:val="1"/>
    <w:next w:val="1"/>
    <w:qFormat/>
    <w:uiPriority w:val="99"/>
    <w:pPr>
      <w:tabs>
        <w:tab w:val="right" w:leader="dot" w:pos="8296"/>
      </w:tabs>
      <w:ind w:left="840" w:leftChars="400"/>
    </w:pPr>
  </w:style>
  <w:style w:type="paragraph" w:styleId="7">
    <w:name w:val="Balloon Text"/>
    <w:basedOn w:val="1"/>
    <w:link w:val="31"/>
    <w:semiHidden/>
    <w:qFormat/>
    <w:uiPriority w:val="99"/>
    <w:rPr>
      <w:sz w:val="18"/>
      <w:szCs w:val="18"/>
    </w:rPr>
  </w:style>
  <w:style w:type="paragraph" w:styleId="8">
    <w:name w:val="footer"/>
    <w:basedOn w:val="1"/>
    <w:link w:val="26"/>
    <w:qFormat/>
    <w:uiPriority w:val="99"/>
    <w:pPr>
      <w:tabs>
        <w:tab w:val="center" w:pos="4153"/>
        <w:tab w:val="right" w:pos="8306"/>
      </w:tabs>
      <w:snapToGrid w:val="0"/>
      <w:jc w:val="left"/>
    </w:pPr>
    <w:rPr>
      <w:rFonts w:ascii="Calibri" w:hAnsi="Calibri"/>
      <w:kern w:val="0"/>
      <w:sz w:val="18"/>
      <w:szCs w:val="20"/>
    </w:rPr>
  </w:style>
  <w:style w:type="paragraph" w:styleId="9">
    <w:name w:val="header"/>
    <w:basedOn w:val="1"/>
    <w:link w:val="25"/>
    <w:semiHidden/>
    <w:qFormat/>
    <w:uiPriority w:val="99"/>
    <w:pPr>
      <w:pBdr>
        <w:bottom w:val="single" w:color="auto" w:sz="6" w:space="1"/>
      </w:pBdr>
      <w:tabs>
        <w:tab w:val="center" w:pos="4153"/>
        <w:tab w:val="right" w:pos="8306"/>
      </w:tabs>
      <w:snapToGrid w:val="0"/>
      <w:jc w:val="center"/>
    </w:pPr>
    <w:rPr>
      <w:rFonts w:ascii="Calibri" w:hAnsi="Calibri"/>
      <w:kern w:val="0"/>
      <w:sz w:val="18"/>
      <w:szCs w:val="20"/>
    </w:rPr>
  </w:style>
  <w:style w:type="paragraph" w:styleId="10">
    <w:name w:val="toc 1"/>
    <w:basedOn w:val="1"/>
    <w:next w:val="1"/>
    <w:qFormat/>
    <w:uiPriority w:val="99"/>
    <w:pPr>
      <w:tabs>
        <w:tab w:val="right" w:leader="dot" w:pos="8296"/>
      </w:tabs>
      <w:spacing w:before="93"/>
      <w:jc w:val="center"/>
    </w:pPr>
    <w:rPr>
      <w:rFonts w:ascii="仿宋" w:hAnsi="仿宋" w:eastAsia="仿宋"/>
      <w:sz w:val="28"/>
      <w:szCs w:val="28"/>
    </w:rPr>
  </w:style>
  <w:style w:type="paragraph" w:styleId="11">
    <w:name w:val="toc 2"/>
    <w:basedOn w:val="1"/>
    <w:next w:val="1"/>
    <w:qFormat/>
    <w:uiPriority w:val="99"/>
    <w:pPr>
      <w:tabs>
        <w:tab w:val="right" w:leader="dot" w:pos="8296"/>
      </w:tabs>
      <w:ind w:left="420" w:leftChars="200"/>
    </w:pPr>
  </w:style>
  <w:style w:type="paragraph" w:styleId="12">
    <w:name w:val="Normal (Web)"/>
    <w:basedOn w:val="1"/>
    <w:qFormat/>
    <w:uiPriority w:val="99"/>
    <w:pPr>
      <w:widowControl/>
      <w:spacing w:before="100" w:beforeAutospacing="1" w:after="100" w:afterAutospacing="1"/>
      <w:jc w:val="left"/>
    </w:pPr>
    <w:rPr>
      <w:rFonts w:ascii="宋体" w:hAnsi="宋体" w:cs="宋体"/>
      <w:kern w:val="0"/>
      <w:sz w:val="24"/>
    </w:rPr>
  </w:style>
  <w:style w:type="character" w:styleId="15">
    <w:name w:val="Strong"/>
    <w:basedOn w:val="14"/>
    <w:qFormat/>
    <w:uiPriority w:val="99"/>
    <w:rPr>
      <w:rFonts w:cs="Times New Roman"/>
      <w:b/>
    </w:rPr>
  </w:style>
  <w:style w:type="character" w:styleId="16">
    <w:name w:val="page number"/>
    <w:basedOn w:val="14"/>
    <w:qFormat/>
    <w:uiPriority w:val="99"/>
    <w:rPr>
      <w:rFonts w:cs="Times New Roman"/>
    </w:rPr>
  </w:style>
  <w:style w:type="character" w:styleId="17">
    <w:name w:val="Emphasis"/>
    <w:basedOn w:val="14"/>
    <w:qFormat/>
    <w:locked/>
    <w:uiPriority w:val="99"/>
    <w:rPr>
      <w:rFonts w:cs="Times New Roman"/>
      <w:i/>
      <w:iCs/>
    </w:rPr>
  </w:style>
  <w:style w:type="character" w:styleId="18">
    <w:name w:val="Hyperlink"/>
    <w:basedOn w:val="14"/>
    <w:qFormat/>
    <w:uiPriority w:val="99"/>
    <w:rPr>
      <w:rFonts w:cs="Times New Roman"/>
      <w:color w:val="0000FF"/>
      <w:u w:val="single"/>
    </w:rPr>
  </w:style>
  <w:style w:type="character" w:customStyle="1" w:styleId="19">
    <w:name w:val="Heading 1 Char"/>
    <w:basedOn w:val="14"/>
    <w:link w:val="2"/>
    <w:qFormat/>
    <w:locked/>
    <w:uiPriority w:val="99"/>
    <w:rPr>
      <w:rFonts w:ascii="Times New Roman" w:hAnsi="Times New Roman" w:cs="Times New Roman"/>
      <w:b/>
      <w:bCs/>
      <w:kern w:val="44"/>
      <w:sz w:val="44"/>
      <w:szCs w:val="44"/>
    </w:rPr>
  </w:style>
  <w:style w:type="character" w:customStyle="1" w:styleId="20">
    <w:name w:val="Heading 2 Char"/>
    <w:basedOn w:val="14"/>
    <w:link w:val="3"/>
    <w:qFormat/>
    <w:locked/>
    <w:uiPriority w:val="99"/>
    <w:rPr>
      <w:rFonts w:ascii="Cambria" w:hAnsi="Cambria" w:eastAsia="宋体" w:cs="Times New Roman"/>
      <w:b/>
      <w:bCs/>
      <w:kern w:val="2"/>
      <w:sz w:val="32"/>
      <w:szCs w:val="32"/>
    </w:rPr>
  </w:style>
  <w:style w:type="character" w:customStyle="1" w:styleId="21">
    <w:name w:val="Heading 3 Char"/>
    <w:basedOn w:val="14"/>
    <w:link w:val="4"/>
    <w:qFormat/>
    <w:locked/>
    <w:uiPriority w:val="99"/>
    <w:rPr>
      <w:rFonts w:ascii="Times New Roman" w:hAnsi="Times New Roman" w:cs="Times New Roman"/>
      <w:b/>
      <w:bCs/>
      <w:kern w:val="2"/>
      <w:sz w:val="32"/>
      <w:szCs w:val="32"/>
    </w:rPr>
  </w:style>
  <w:style w:type="character" w:customStyle="1" w:styleId="22">
    <w:name w:val="Body Text Char"/>
    <w:basedOn w:val="14"/>
    <w:link w:val="5"/>
    <w:semiHidden/>
    <w:qFormat/>
    <w:locked/>
    <w:uiPriority w:val="99"/>
    <w:rPr>
      <w:rFonts w:ascii="Times New Roman" w:hAnsi="Times New Roman" w:cs="Times New Roman"/>
      <w:sz w:val="24"/>
      <w:szCs w:val="24"/>
    </w:rPr>
  </w:style>
  <w:style w:type="character" w:customStyle="1" w:styleId="23">
    <w:name w:val="Footer Char"/>
    <w:basedOn w:val="14"/>
    <w:link w:val="8"/>
    <w:semiHidden/>
    <w:qFormat/>
    <w:locked/>
    <w:uiPriority w:val="99"/>
    <w:rPr>
      <w:rFonts w:ascii="Times New Roman" w:hAnsi="Times New Roman" w:cs="Times New Roman"/>
      <w:sz w:val="18"/>
      <w:szCs w:val="18"/>
    </w:rPr>
  </w:style>
  <w:style w:type="character" w:customStyle="1" w:styleId="24">
    <w:name w:val="Header Char"/>
    <w:basedOn w:val="14"/>
    <w:link w:val="9"/>
    <w:semiHidden/>
    <w:qFormat/>
    <w:locked/>
    <w:uiPriority w:val="99"/>
    <w:rPr>
      <w:rFonts w:ascii="Times New Roman" w:hAnsi="Times New Roman" w:cs="Times New Roman"/>
      <w:sz w:val="18"/>
      <w:szCs w:val="18"/>
    </w:rPr>
  </w:style>
  <w:style w:type="character" w:customStyle="1" w:styleId="25">
    <w:name w:val="Header Char1"/>
    <w:link w:val="9"/>
    <w:semiHidden/>
    <w:qFormat/>
    <w:locked/>
    <w:uiPriority w:val="99"/>
    <w:rPr>
      <w:sz w:val="18"/>
    </w:rPr>
  </w:style>
  <w:style w:type="character" w:customStyle="1" w:styleId="26">
    <w:name w:val="Footer Char1"/>
    <w:link w:val="8"/>
    <w:qFormat/>
    <w:locked/>
    <w:uiPriority w:val="99"/>
    <w:rPr>
      <w:sz w:val="18"/>
    </w:rPr>
  </w:style>
  <w:style w:type="character" w:customStyle="1" w:styleId="27">
    <w:name w:val="Body Text Char1"/>
    <w:link w:val="5"/>
    <w:qFormat/>
    <w:locked/>
    <w:uiPriority w:val="99"/>
    <w:rPr>
      <w:rFonts w:ascii="仿宋_GB2312" w:hAnsi="Times New Roman" w:eastAsia="仿宋_GB2312"/>
      <w:sz w:val="24"/>
    </w:rPr>
  </w:style>
  <w:style w:type="paragraph" w:customStyle="1" w:styleId="28">
    <w:name w:val="Default"/>
    <w:qFormat/>
    <w:uiPriority w:val="99"/>
    <w:pPr>
      <w:widowControl w:val="0"/>
      <w:autoSpaceDE w:val="0"/>
      <w:autoSpaceDN w:val="0"/>
      <w:adjustRightInd w:val="0"/>
    </w:pPr>
    <w:rPr>
      <w:rFonts w:ascii="仿宋" w:hAnsi="Calibri" w:eastAsia="仿宋" w:cs="仿宋"/>
      <w:color w:val="000000"/>
      <w:kern w:val="0"/>
      <w:sz w:val="24"/>
      <w:szCs w:val="24"/>
      <w:lang w:val="en-US" w:eastAsia="zh-CN" w:bidi="ar-SA"/>
    </w:rPr>
  </w:style>
  <w:style w:type="paragraph" w:styleId="29">
    <w:name w:val="List Paragraph"/>
    <w:basedOn w:val="1"/>
    <w:qFormat/>
    <w:uiPriority w:val="99"/>
    <w:pPr>
      <w:ind w:firstLine="420" w:firstLineChars="200"/>
    </w:pPr>
  </w:style>
  <w:style w:type="paragraph" w:customStyle="1" w:styleId="30">
    <w:name w:val="TOC Heading"/>
    <w:basedOn w:val="2"/>
    <w:next w:val="1"/>
    <w:qFormat/>
    <w:uiPriority w:val="99"/>
    <w:pPr>
      <w:widowControl/>
      <w:spacing w:before="480" w:after="0" w:line="276" w:lineRule="auto"/>
      <w:jc w:val="left"/>
      <w:outlineLvl w:val="9"/>
    </w:pPr>
    <w:rPr>
      <w:rFonts w:ascii="Cambria" w:hAnsi="Cambria"/>
      <w:color w:val="365F91"/>
      <w:kern w:val="0"/>
      <w:sz w:val="28"/>
      <w:szCs w:val="28"/>
    </w:rPr>
  </w:style>
  <w:style w:type="character" w:customStyle="1" w:styleId="31">
    <w:name w:val="Balloon Text Char"/>
    <w:basedOn w:val="14"/>
    <w:link w:val="7"/>
    <w:semiHidden/>
    <w:qFormat/>
    <w:locked/>
    <w:uiPriority w:val="99"/>
    <w:rPr>
      <w:rFonts w:ascii="Times New Roman" w:hAnsi="Times New Roman" w:cs="Times New Roman"/>
      <w:kern w:val="2"/>
      <w:sz w:val="18"/>
      <w:szCs w:val="18"/>
    </w:rPr>
  </w:style>
  <w:style w:type="character" w:customStyle="1" w:styleId="32">
    <w:name w:val="Char Char2"/>
    <w:basedOn w:val="14"/>
    <w:semiHidden/>
    <w:qFormat/>
    <w:uiPriority w:val="99"/>
    <w:rPr>
      <w:rFonts w:cs="Times New Roman"/>
      <w:kern w:val="2"/>
      <w:sz w:val="18"/>
      <w:szCs w:val="18"/>
    </w:rPr>
  </w:style>
  <w:style w:type="paragraph" w:customStyle="1" w:styleId="33">
    <w:name w:val="〖C01〗正文"/>
    <w:qFormat/>
    <w:uiPriority w:val="99"/>
    <w:pPr>
      <w:widowControl w:val="0"/>
      <w:topLinePunct/>
      <w:spacing w:line="600" w:lineRule="exact"/>
      <w:ind w:firstLine="637" w:firstLineChars="200"/>
    </w:pPr>
    <w:rPr>
      <w:rFonts w:ascii="仿宋_GB2312" w:hAnsi="Calibri" w:eastAsia="仿宋_GB2312" w:cs="Times New Roman"/>
      <w:kern w:val="2"/>
      <w:sz w:val="32"/>
      <w:szCs w:val="32"/>
      <w:lang w:val="en-US" w:eastAsia="zh-CN" w:bidi="ar-SA"/>
    </w:rPr>
  </w:style>
  <w:style w:type="paragraph" w:customStyle="1" w:styleId="34">
    <w:name w:val="四号正文"/>
    <w:basedOn w:val="1"/>
    <w:uiPriority w:val="99"/>
    <w:pPr>
      <w:spacing w:line="360" w:lineRule="auto"/>
    </w:pPr>
    <w:rPr>
      <w:rFonts w:ascii="??" w:hAnsi="??" w:eastAsia="宋体"/>
      <w:color w:val="000000"/>
      <w:kern w:val="0"/>
      <w:sz w:val="21"/>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file:///D:\my%2525252520documents\Documents%2525252520and%2525252520Settings\Administrator\Application%2525252520Data\Tencent\Users\746210060\QQ\WinTemp\RichOle\(S0H4ML~VC3R3KJ0%252525255b9($008.png" TargetMode="Externa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file:///D:\my%2525252520documents\Documents%2525252520and%2525252520Settings\Administrator\Application%2525252520Data\Tencent\Users\746210060\QQ\WinTemp\RichOle\E%2525252560$2T04ZY9%252525257d70)X_%252525257dPUN(2A.png" TargetMode="External"/><Relationship Id="rId20" Type="http://schemas.openxmlformats.org/officeDocument/2006/relationships/image" Target="media/image8.png"/><Relationship Id="rId2" Type="http://schemas.openxmlformats.org/officeDocument/2006/relationships/settings" Target="settings.xml"/><Relationship Id="rId19" Type="http://schemas.openxmlformats.org/officeDocument/2006/relationships/image" Target="media/image7.png"/><Relationship Id="rId18" Type="http://schemas.openxmlformats.org/officeDocument/2006/relationships/image" Target="file:///D:\my%2525252520documents\Documents%2525252520and%2525252520Settings\Administrator\Application%2525252520Data\Tencent\Users\746210060\QQ\WinTemp\RichOle\6H~IZV)UVL734MRZ_VA4G.png" TargetMode="External"/><Relationship Id="rId17" Type="http://schemas.openxmlformats.org/officeDocument/2006/relationships/image" Target="media/image6.wmf"/><Relationship Id="rId16" Type="http://schemas.openxmlformats.org/officeDocument/2006/relationships/image" Target="file:///D:\my%2525252520documents\Documents%2525252520and%2525252520Settings\Administrator\Application%2525252520Data\Tencent\Users\746210060\QQ\WinTemp\RichOle\62X4%252525257d3B5BY6R)%252525255bD11P381II.png" TargetMode="External"/><Relationship Id="rId15" Type="http://schemas.openxmlformats.org/officeDocument/2006/relationships/image" Target="media/image5.png"/><Relationship Id="rId14" Type="http://schemas.openxmlformats.org/officeDocument/2006/relationships/image" Target="file:///D:\my%2525252520documents\Documents%2525252520and%2525252520Settings\Administrator\Application%2525252520Data\Tencent\Users\746210060\QQ\WinTemp\RichOle\U16_X(GN@~0@%252525255bW2YF$C%252525257d(70.png" TargetMode="External"/><Relationship Id="rId13" Type="http://schemas.openxmlformats.org/officeDocument/2006/relationships/image" Target="media/image4.png"/><Relationship Id="rId12" Type="http://schemas.openxmlformats.org/officeDocument/2006/relationships/image" Target="file:///D:\my%2525252520documents\Documents%2525252520and%2525252520Settings\Administrator\Application%2525252520Data\Tencent\Users\746210060\QQ\WinTemp\RichOle\N9BYSC4_ASRLBQ5G9_EF5NN.png" TargetMode="External"/><Relationship Id="rId11" Type="http://schemas.openxmlformats.org/officeDocument/2006/relationships/image" Target="media/image3.png"/><Relationship Id="rId10" Type="http://schemas.openxmlformats.org/officeDocument/2006/relationships/image" Target="file:///D:\my%2525252520documents\Documents%2525252520and%2525252520Settings\Administrator\Application%2525252520Data\Tencent\Users\746210060\QQ\WinTemp\RichOle\X10S%252525257dF_1A9G(LALL5EOMP%252525257bG.png" TargetMode="Externa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四川省财政厅</Company>
  <Pages>3</Pages>
  <Words>3355</Words>
  <Characters>19130</Characters>
  <Lines>0</Lines>
  <Paragraphs>0</Paragraphs>
  <TotalTime>1</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2020-02-05T09:05:00Z</dcterms:created>
  <dc:creator>张彬茜</dc:creator>
  <cp:lastModifiedBy>何燕</cp:lastModifiedBy>
  <cp:lastPrinted>2021-07-09T07:29:00Z</cp:lastPrinted>
  <dcterms:modified xsi:type="dcterms:W3CDTF">2021-07-12T08:14:14Z</dcterms:modified>
  <dc:title>四川省***</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