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bidi w:val="0"/>
        <w:spacing w:line="590" w:lineRule="exact"/>
        <w:ind w:firstLine="0" w:firstLineChars="0"/>
        <w:jc w:val="center"/>
        <w:outlineLvl w:val="0"/>
        <w:rPr>
          <w:rFonts w:ascii="方正小标宋简体" w:hAnsi="宋体" w:eastAsia="方正小标宋简体"/>
          <w:color w:val="000000"/>
          <w:sz w:val="72"/>
          <w:szCs w:val="72"/>
        </w:rPr>
      </w:pPr>
      <w:bookmarkStart w:id="0" w:name="_Toc15306267"/>
    </w:p>
    <w:p>
      <w:pPr>
        <w:pageBreakBefore w:val="0"/>
        <w:kinsoku/>
        <w:wordWrap/>
        <w:overflowPunct/>
        <w:topLinePunct w:val="0"/>
        <w:bidi w:val="0"/>
        <w:spacing w:line="590" w:lineRule="exact"/>
        <w:ind w:firstLine="0" w:firstLineChars="0"/>
        <w:jc w:val="center"/>
        <w:outlineLvl w:val="0"/>
        <w:rPr>
          <w:rFonts w:ascii="方正小标宋简体" w:hAnsi="宋体" w:eastAsia="方正小标宋简体"/>
          <w:color w:val="000000"/>
          <w:sz w:val="72"/>
          <w:szCs w:val="72"/>
        </w:rPr>
      </w:pPr>
    </w:p>
    <w:p>
      <w:pPr>
        <w:pageBreakBefore w:val="0"/>
        <w:kinsoku/>
        <w:wordWrap/>
        <w:overflowPunct/>
        <w:topLinePunct w:val="0"/>
        <w:bidi w:val="0"/>
        <w:spacing w:line="590" w:lineRule="exact"/>
        <w:ind w:firstLine="0" w:firstLineChars="0"/>
        <w:jc w:val="center"/>
        <w:outlineLvl w:val="0"/>
        <w:rPr>
          <w:rFonts w:ascii="方正小标宋简体" w:hAnsi="宋体" w:eastAsia="方正小标宋简体"/>
          <w:color w:val="000000"/>
          <w:sz w:val="72"/>
          <w:szCs w:val="72"/>
        </w:rPr>
      </w:pPr>
    </w:p>
    <w:p>
      <w:pPr>
        <w:pageBreakBefore w:val="0"/>
        <w:kinsoku/>
        <w:wordWrap/>
        <w:overflowPunct/>
        <w:topLinePunct w:val="0"/>
        <w:bidi w:val="0"/>
        <w:spacing w:line="590" w:lineRule="exact"/>
        <w:ind w:firstLine="0" w:firstLineChars="0"/>
        <w:jc w:val="center"/>
        <w:outlineLvl w:val="0"/>
        <w:rPr>
          <w:rFonts w:ascii="方正小标宋简体" w:hAnsi="宋体" w:eastAsia="方正小标宋简体"/>
          <w:color w:val="000000"/>
          <w:sz w:val="72"/>
          <w:szCs w:val="72"/>
        </w:rPr>
      </w:pPr>
    </w:p>
    <w:p>
      <w:pPr>
        <w:keepNext w:val="0"/>
        <w:keepLines w:val="0"/>
        <w:pageBreakBefore w:val="0"/>
        <w:widowControl w:val="0"/>
        <w:kinsoku/>
        <w:wordWrap/>
        <w:overflowPunct/>
        <w:topLinePunct w:val="0"/>
        <w:autoSpaceDE/>
        <w:autoSpaceDN/>
        <w:bidi w:val="0"/>
        <w:spacing w:line="630" w:lineRule="exact"/>
        <w:ind w:firstLine="0" w:firstLineChars="0"/>
        <w:jc w:val="center"/>
        <w:textAlignment w:val="auto"/>
        <w:outlineLvl w:val="0"/>
        <w:rPr>
          <w:rFonts w:ascii="方正小标宋简体" w:hAnsi="宋体" w:eastAsia="方正小标宋简体"/>
          <w:color w:val="000000"/>
          <w:kern w:val="21"/>
          <w:sz w:val="72"/>
          <w:szCs w:val="72"/>
        </w:rPr>
      </w:pPr>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0"/>
        <w:rPr>
          <w:rFonts w:ascii="方正小标宋简体" w:hAnsi="宋体" w:eastAsia="方正小标宋简体"/>
          <w:color w:val="000000"/>
          <w:kern w:val="21"/>
          <w:sz w:val="72"/>
          <w:szCs w:val="72"/>
        </w:rPr>
      </w:pPr>
      <w:bookmarkStart w:id="1" w:name="_Toc15377193"/>
      <w:bookmarkStart w:id="2" w:name="_Toc15377425"/>
      <w:bookmarkStart w:id="3" w:name="_Toc15396475"/>
      <w:bookmarkStart w:id="4" w:name="_Toc15378441"/>
      <w:bookmarkStart w:id="5" w:name="_Toc15396597"/>
      <w:r>
        <w:rPr>
          <w:rFonts w:ascii="黑体" w:hAnsi="黑体" w:eastAsia="黑体"/>
          <w:color w:val="000000"/>
          <w:kern w:val="21"/>
          <w:sz w:val="72"/>
          <w:szCs w:val="72"/>
        </w:rPr>
        <w:t>201</w:t>
      </w:r>
      <w:r>
        <w:rPr>
          <w:rFonts w:hint="eastAsia" w:ascii="黑体" w:hAnsi="黑体" w:eastAsia="黑体"/>
          <w:color w:val="000000"/>
          <w:kern w:val="21"/>
          <w:sz w:val="72"/>
          <w:szCs w:val="72"/>
        </w:rPr>
        <w:t>9</w:t>
      </w:r>
      <w:r>
        <w:rPr>
          <w:rFonts w:hint="eastAsia" w:ascii="方正小标宋简体" w:hAnsi="宋体" w:eastAsia="方正小标宋简体"/>
          <w:color w:val="000000"/>
          <w:kern w:val="21"/>
          <w:sz w:val="72"/>
          <w:szCs w:val="72"/>
        </w:rPr>
        <w:t>年度</w:t>
      </w:r>
      <w:bookmarkEnd w:id="1"/>
      <w:bookmarkEnd w:id="2"/>
      <w:bookmarkEnd w:id="3"/>
      <w:bookmarkEnd w:id="4"/>
      <w:bookmarkEnd w:id="5"/>
    </w:p>
    <w:p>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outlineLvl w:val="0"/>
        <w:rPr>
          <w:rFonts w:ascii="方正小标宋简体" w:hAnsi="宋体" w:eastAsia="方正小标宋简体"/>
          <w:color w:val="000000"/>
          <w:kern w:val="21"/>
          <w:sz w:val="72"/>
          <w:szCs w:val="72"/>
        </w:rPr>
      </w:pPr>
      <w:bookmarkStart w:id="6" w:name="_Toc15377426"/>
      <w:bookmarkStart w:id="7" w:name="_Toc15378442"/>
      <w:bookmarkStart w:id="8" w:name="_Toc15377194"/>
      <w:bookmarkStart w:id="9" w:name="_Toc15396476"/>
      <w:bookmarkStart w:id="10" w:name="_Toc15396598"/>
      <w:r>
        <w:rPr>
          <w:rFonts w:hint="eastAsia" w:ascii="方正小标宋简体" w:hAnsi="宋体" w:eastAsia="方正小标宋简体"/>
          <w:color w:val="000000"/>
          <w:kern w:val="21"/>
          <w:sz w:val="72"/>
          <w:szCs w:val="72"/>
        </w:rPr>
        <w:t>乐山</w:t>
      </w:r>
      <w:r>
        <w:rPr>
          <w:rFonts w:ascii="方正小标宋简体" w:hAnsi="宋体" w:eastAsia="方正小标宋简体"/>
          <w:color w:val="000000"/>
          <w:kern w:val="21"/>
          <w:sz w:val="72"/>
          <w:szCs w:val="72"/>
        </w:rPr>
        <w:t>市</w:t>
      </w:r>
      <w:bookmarkEnd w:id="0"/>
      <w:bookmarkStart w:id="11" w:name="_Toc15306268"/>
      <w:r>
        <w:rPr>
          <w:rFonts w:hint="eastAsia" w:ascii="方正小标宋简体" w:hAnsi="宋体" w:eastAsia="方正小标宋简体"/>
          <w:color w:val="000000"/>
          <w:kern w:val="21"/>
          <w:sz w:val="72"/>
          <w:szCs w:val="72"/>
          <w:lang w:eastAsia="zh-CN"/>
        </w:rPr>
        <w:t>水务局</w:t>
      </w:r>
      <w:r>
        <w:rPr>
          <w:rFonts w:hint="eastAsia" w:ascii="方正小标宋简体" w:hAnsi="宋体" w:eastAsia="方正小标宋简体"/>
          <w:color w:val="000000"/>
          <w:kern w:val="21"/>
          <w:sz w:val="72"/>
          <w:szCs w:val="72"/>
        </w:rPr>
        <w:t>部门决算</w:t>
      </w:r>
      <w:bookmarkEnd w:id="6"/>
      <w:bookmarkEnd w:id="7"/>
      <w:bookmarkEnd w:id="8"/>
      <w:bookmarkEnd w:id="9"/>
      <w:bookmarkEnd w:id="10"/>
      <w:bookmarkEnd w:id="11"/>
    </w:p>
    <w:p>
      <w:pPr>
        <w:pageBreakBefore w:val="0"/>
        <w:widowControl/>
        <w:kinsoku/>
        <w:wordWrap/>
        <w:overflowPunct/>
        <w:topLinePunct w:val="0"/>
        <w:bidi w:val="0"/>
        <w:spacing w:line="590" w:lineRule="exact"/>
        <w:ind w:firstLine="0" w:firstLineChars="0"/>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pStyle w:val="10"/>
        <w:pageBreakBefore w:val="0"/>
        <w:kinsoku/>
        <w:wordWrap/>
        <w:overflowPunct/>
        <w:topLinePunct w:val="0"/>
        <w:bidi w:val="0"/>
        <w:spacing w:line="590" w:lineRule="exact"/>
        <w:ind w:firstLine="0" w:firstLineChars="0"/>
      </w:pPr>
      <w:r>
        <w:rPr>
          <w:rFonts w:hint="eastAsia"/>
        </w:rPr>
        <w:t>公开时间：2020年9月</w:t>
      </w:r>
      <w:r>
        <w:rPr>
          <w:rFonts w:hint="eastAsia"/>
          <w:lang w:val="en-US" w:eastAsia="zh-CN"/>
        </w:rPr>
        <w:t>27</w:t>
      </w:r>
      <w:r>
        <w:rPr>
          <w:rFonts w:hint="eastAsia"/>
        </w:rPr>
        <w:t>日</w:t>
      </w:r>
    </w:p>
    <w:sdt>
      <w:sdtPr>
        <w:rPr>
          <w:rFonts w:ascii="宋体" w:hAnsi="宋体" w:eastAsia="宋体" w:cs="Times New Roman"/>
          <w:kern w:val="2"/>
          <w:sz w:val="21"/>
          <w:szCs w:val="24"/>
          <w:lang w:val="en-US" w:eastAsia="zh-CN" w:bidi="ar-SA"/>
        </w:rPr>
        <w:id w:val="147453159"/>
        <w:docPartObj>
          <w:docPartGallery w:val="Table of Contents"/>
          <w:docPartUnique/>
        </w:docPartObj>
      </w:sdtPr>
      <w:sdtEndPr>
        <w:rPr>
          <w:rFonts w:ascii="Times New Roman" w:hAnsi="Times New Roman" w:eastAsia="宋体" w:cs="Times New Roman"/>
          <w:b/>
          <w:bCs/>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12" w:name="_Toc17854_WPSOffice_Type2"/>
        </w:p>
        <w:p>
          <w:pPr>
            <w:pStyle w:val="32"/>
            <w:tabs>
              <w:tab w:val="right" w:leader="dot" w:pos="8306"/>
            </w:tabs>
          </w:pPr>
          <w:r>
            <w:rPr>
              <w:b/>
              <w:bCs/>
            </w:rPr>
            <w:fldChar w:fldCharType="begin"/>
          </w:r>
          <w:r>
            <w:instrText xml:space="preserve"> HYPERLINK \l _Toc9224_WPSOffice_Level1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53159"/>
              <w:placeholder>
                <w:docPart w:val="{27aeab66-6b94-4fc7-abca-4b3c94fcb192}"/>
              </w:placeholder>
            </w:sdtPr>
            <w:sdtEndPr>
              <w:rPr>
                <w:rFonts w:ascii="Times New Roman" w:hAnsi="Times New Roman" w:eastAsia="宋体" w:cs="Times New Roman"/>
                <w:b/>
                <w:bCs/>
                <w:kern w:val="2"/>
                <w:sz w:val="21"/>
                <w:szCs w:val="24"/>
                <w:lang w:val="en-US" w:eastAsia="zh-CN" w:bidi="ar-SA"/>
              </w:rPr>
            </w:sdtEndPr>
            <w:sdtContent>
              <w:r>
                <w:rPr>
                  <w:rFonts w:hint="eastAsia" w:ascii="黑体" w:hAnsi="黑体" w:eastAsia="黑体" w:cs="Times New Roman"/>
                  <w:b/>
                  <w:bCs/>
                </w:rPr>
                <w:t>第一部分 部门概况</w:t>
              </w:r>
            </w:sdtContent>
          </w:sdt>
          <w:r>
            <w:rPr>
              <w:b/>
              <w:bCs/>
            </w:rPr>
            <w:tab/>
          </w:r>
          <w:bookmarkStart w:id="13" w:name="_Toc9224_WPSOffice_Level1Page"/>
          <w:r>
            <w:rPr>
              <w:b/>
              <w:bCs/>
            </w:rPr>
            <w:t>3</w:t>
          </w:r>
          <w:bookmarkEnd w:id="13"/>
          <w:r>
            <w:rPr>
              <w:b/>
              <w:bCs/>
            </w:rPr>
            <w:fldChar w:fldCharType="end"/>
          </w:r>
        </w:p>
        <w:p>
          <w:pPr>
            <w:pStyle w:val="33"/>
            <w:tabs>
              <w:tab w:val="right" w:leader="dot" w:pos="8306"/>
            </w:tabs>
          </w:pPr>
          <w:r>
            <w:fldChar w:fldCharType="begin"/>
          </w:r>
          <w:r>
            <w:instrText xml:space="preserve"> HYPERLINK \l _Toc17854_WPSOffice_Level2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e478e28e-2cc5-4201-86d1-8729363adcc8}"/>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一、基本职能及主要工作</w:t>
              </w:r>
            </w:sdtContent>
          </w:sdt>
          <w:r>
            <w:tab/>
          </w:r>
          <w:bookmarkStart w:id="14" w:name="_Toc17854_WPSOffice_Level2Page"/>
          <w:r>
            <w:t>3</w:t>
          </w:r>
          <w:bookmarkEnd w:id="14"/>
          <w:r>
            <w:fldChar w:fldCharType="end"/>
          </w:r>
        </w:p>
        <w:p>
          <w:pPr>
            <w:pStyle w:val="33"/>
            <w:tabs>
              <w:tab w:val="right" w:leader="dot" w:pos="8306"/>
            </w:tabs>
          </w:pPr>
          <w:r>
            <w:fldChar w:fldCharType="begin"/>
          </w:r>
          <w:r>
            <w:instrText xml:space="preserve"> HYPERLINK \l _Toc28350_WPSOffice_Level2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93da306b-2415-4733-bada-92849bf9dcb6}"/>
              </w:placeholder>
            </w:sdtPr>
            <w:sdtEndPr>
              <w:rPr>
                <w:rFonts w:ascii="Times New Roman" w:hAnsi="Times New Roman" w:eastAsia="宋体" w:cs="Times New Roman"/>
                <w:kern w:val="2"/>
                <w:sz w:val="21"/>
                <w:szCs w:val="24"/>
                <w:lang w:val="en-US" w:eastAsia="zh-CN" w:bidi="ar-SA"/>
              </w:rPr>
            </w:sdtEndPr>
            <w:sdtContent>
              <w:r>
                <w:rPr>
                  <w:rFonts w:hint="eastAsia" w:ascii="黑体" w:eastAsia="黑体" w:hAnsiTheme="majorHAnsi" w:cstheme="majorBidi"/>
                </w:rPr>
                <w:t>二、</w:t>
              </w:r>
              <w:r>
                <w:rPr>
                  <w:rFonts w:hint="eastAsia" w:ascii="黑体" w:hAnsi="黑体" w:eastAsia="黑体" w:cstheme="majorBidi"/>
                </w:rPr>
                <w:t>机构设置</w:t>
              </w:r>
            </w:sdtContent>
          </w:sdt>
          <w:r>
            <w:tab/>
          </w:r>
          <w:bookmarkStart w:id="15" w:name="_Toc28350_WPSOffice_Level2Page"/>
          <w:r>
            <w:t>8</w:t>
          </w:r>
          <w:bookmarkEnd w:id="15"/>
          <w:r>
            <w:fldChar w:fldCharType="end"/>
          </w:r>
        </w:p>
        <w:p>
          <w:pPr>
            <w:pStyle w:val="32"/>
            <w:tabs>
              <w:tab w:val="right" w:leader="dot" w:pos="8306"/>
            </w:tabs>
          </w:pPr>
          <w:r>
            <w:rPr>
              <w:b/>
              <w:bCs/>
            </w:rPr>
            <w:fldChar w:fldCharType="begin"/>
          </w:r>
          <w:r>
            <w:instrText xml:space="preserve"> HYPERLINK \l _Toc17854_WPSOffice_Level1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53159"/>
              <w:placeholder>
                <w:docPart w:val="{48d92401-7f9f-423f-817f-ea1df512b363}"/>
              </w:placeholder>
            </w:sdtPr>
            <w:sdtEndPr>
              <w:rPr>
                <w:rFonts w:ascii="Times New Roman" w:hAnsi="Times New Roman" w:eastAsia="宋体" w:cs="Times New Roman"/>
                <w:b/>
                <w:bCs/>
                <w:kern w:val="2"/>
                <w:sz w:val="21"/>
                <w:szCs w:val="24"/>
                <w:lang w:val="en-US" w:eastAsia="zh-CN" w:bidi="ar-SA"/>
              </w:rPr>
            </w:sdtEndPr>
            <w:sdtContent>
              <w:r>
                <w:rPr>
                  <w:rFonts w:hint="eastAsia" w:ascii="黑体" w:hAnsi="黑体" w:eastAsia="黑体" w:cs="Times New Roman"/>
                  <w:b/>
                  <w:bCs/>
                </w:rPr>
                <w:t>第二部分 2019年度部门决算情况说明</w:t>
              </w:r>
            </w:sdtContent>
          </w:sdt>
          <w:r>
            <w:rPr>
              <w:b/>
              <w:bCs/>
            </w:rPr>
            <w:tab/>
          </w:r>
          <w:bookmarkStart w:id="16" w:name="_Toc17854_WPSOffice_Level1Page"/>
          <w:r>
            <w:rPr>
              <w:b/>
              <w:bCs/>
            </w:rPr>
            <w:t>10</w:t>
          </w:r>
          <w:bookmarkEnd w:id="16"/>
          <w:r>
            <w:rPr>
              <w:b/>
              <w:bCs/>
            </w:rPr>
            <w:fldChar w:fldCharType="end"/>
          </w:r>
        </w:p>
        <w:p>
          <w:pPr>
            <w:pStyle w:val="33"/>
            <w:tabs>
              <w:tab w:val="right" w:leader="dot" w:pos="8306"/>
            </w:tabs>
          </w:pPr>
          <w:r>
            <w:fldChar w:fldCharType="begin"/>
          </w:r>
          <w:r>
            <w:instrText xml:space="preserve"> HYPERLINK \l _Toc5909_WPSOffice_Level2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7a57f36b-0c9f-4694-872f-7adaf50536ba}"/>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一、 </w:t>
              </w:r>
              <w:r>
                <w:rPr>
                  <w:rFonts w:hint="eastAsia" w:ascii="黑体" w:hAnsi="黑体" w:eastAsia="黑体" w:cs="Times New Roman"/>
                </w:rPr>
                <w:t>收</w:t>
              </w:r>
              <w:r>
                <w:rPr>
                  <w:rFonts w:hint="eastAsia" w:ascii="黑体" w:hAnsi="黑体" w:eastAsia="黑体" w:cstheme="majorBidi"/>
                </w:rPr>
                <w:t>入支出决算总体情况说明</w:t>
              </w:r>
            </w:sdtContent>
          </w:sdt>
          <w:r>
            <w:tab/>
          </w:r>
          <w:bookmarkStart w:id="17" w:name="_Toc5909_WPSOffice_Level2Page"/>
          <w:r>
            <w:t>10</w:t>
          </w:r>
          <w:bookmarkEnd w:id="17"/>
          <w:r>
            <w:fldChar w:fldCharType="end"/>
          </w:r>
        </w:p>
        <w:p>
          <w:pPr>
            <w:pStyle w:val="33"/>
            <w:tabs>
              <w:tab w:val="right" w:leader="dot" w:pos="8306"/>
            </w:tabs>
          </w:pPr>
          <w:r>
            <w:fldChar w:fldCharType="begin"/>
          </w:r>
          <w:r>
            <w:instrText xml:space="preserve"> HYPERLINK \l _Toc19834_WPSOffice_Level2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17334e80-d9ab-48a1-93b3-f10b9de431fa}"/>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二、 </w:t>
              </w:r>
              <w:r>
                <w:rPr>
                  <w:rFonts w:hint="eastAsia" w:ascii="黑体" w:hAnsi="黑体" w:eastAsia="黑体" w:cs="Times New Roman"/>
                </w:rPr>
                <w:t>收</w:t>
              </w:r>
              <w:r>
                <w:rPr>
                  <w:rFonts w:hint="eastAsia" w:ascii="黑体" w:hAnsi="黑体" w:eastAsia="黑体" w:cstheme="majorBidi"/>
                </w:rPr>
                <w:t>入决算情况说明</w:t>
              </w:r>
            </w:sdtContent>
          </w:sdt>
          <w:r>
            <w:tab/>
          </w:r>
          <w:bookmarkStart w:id="18" w:name="_Toc19834_WPSOffice_Level2Page"/>
          <w:r>
            <w:t>10</w:t>
          </w:r>
          <w:bookmarkEnd w:id="18"/>
          <w:r>
            <w:fldChar w:fldCharType="end"/>
          </w:r>
        </w:p>
        <w:p>
          <w:pPr>
            <w:pStyle w:val="33"/>
            <w:tabs>
              <w:tab w:val="right" w:leader="dot" w:pos="8306"/>
            </w:tabs>
          </w:pPr>
          <w:r>
            <w:fldChar w:fldCharType="begin"/>
          </w:r>
          <w:r>
            <w:instrText xml:space="preserve"> HYPERLINK \l _Toc4030_WPSOffice_Level2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1433758e-7cb4-4d36-8d93-cb5f5d3ff268}"/>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三、 </w:t>
              </w:r>
              <w:r>
                <w:rPr>
                  <w:rFonts w:hint="eastAsia" w:ascii="黑体" w:hAnsi="黑体" w:eastAsia="黑体" w:cs="Times New Roman"/>
                </w:rPr>
                <w:t>支</w:t>
              </w:r>
              <w:r>
                <w:rPr>
                  <w:rFonts w:hint="eastAsia" w:ascii="黑体" w:hAnsi="黑体" w:eastAsia="黑体" w:cstheme="majorBidi"/>
                </w:rPr>
                <w:t>出决算情况说明</w:t>
              </w:r>
            </w:sdtContent>
          </w:sdt>
          <w:r>
            <w:tab/>
          </w:r>
          <w:bookmarkStart w:id="19" w:name="_Toc4030_WPSOffice_Level2Page"/>
          <w:r>
            <w:t>11</w:t>
          </w:r>
          <w:bookmarkEnd w:id="19"/>
          <w:r>
            <w:fldChar w:fldCharType="end"/>
          </w:r>
        </w:p>
        <w:p>
          <w:pPr>
            <w:pStyle w:val="33"/>
            <w:tabs>
              <w:tab w:val="right" w:leader="dot" w:pos="8306"/>
            </w:tabs>
          </w:pPr>
          <w:r>
            <w:fldChar w:fldCharType="begin"/>
          </w:r>
          <w:r>
            <w:instrText xml:space="preserve"> HYPERLINK \l _Toc32133_WPSOffice_Level2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46758109-1647-4fdd-a6db-7e7eee4c4c48}"/>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四、财</w:t>
              </w:r>
              <w:r>
                <w:rPr>
                  <w:rFonts w:hint="eastAsia" w:ascii="黑体" w:hAnsi="黑体" w:eastAsia="黑体" w:cstheme="majorBidi"/>
                </w:rPr>
                <w:t>政拨款收入支出决算总体情况说明</w:t>
              </w:r>
            </w:sdtContent>
          </w:sdt>
          <w:r>
            <w:tab/>
          </w:r>
          <w:bookmarkStart w:id="20" w:name="_Toc32133_WPSOffice_Level2Page"/>
          <w:r>
            <w:t>12</w:t>
          </w:r>
          <w:bookmarkEnd w:id="20"/>
          <w:r>
            <w:fldChar w:fldCharType="end"/>
          </w:r>
        </w:p>
        <w:p>
          <w:pPr>
            <w:pStyle w:val="33"/>
            <w:tabs>
              <w:tab w:val="right" w:leader="dot" w:pos="8306"/>
            </w:tabs>
          </w:pPr>
          <w:r>
            <w:fldChar w:fldCharType="begin"/>
          </w:r>
          <w:r>
            <w:instrText xml:space="preserve"> HYPERLINK \l _Toc10154_WPSOffice_Level2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b0464909-b6e0-4aa9-9d04-7400f2f3355b}"/>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五、一</w:t>
              </w:r>
              <w:r>
                <w:rPr>
                  <w:rFonts w:hint="eastAsia" w:ascii="黑体" w:hAnsi="黑体" w:eastAsia="黑体" w:cstheme="majorBidi"/>
                </w:rPr>
                <w:t>般公共预算财政拨款支出决算情况说明</w:t>
              </w:r>
            </w:sdtContent>
          </w:sdt>
          <w:r>
            <w:tab/>
          </w:r>
          <w:bookmarkStart w:id="21" w:name="_Toc10154_WPSOffice_Level2Page"/>
          <w:r>
            <w:t>12</w:t>
          </w:r>
          <w:bookmarkEnd w:id="21"/>
          <w:r>
            <w:fldChar w:fldCharType="end"/>
          </w:r>
        </w:p>
        <w:p>
          <w:pPr>
            <w:pStyle w:val="33"/>
            <w:tabs>
              <w:tab w:val="right" w:leader="dot" w:pos="8306"/>
            </w:tabs>
          </w:pPr>
          <w:r>
            <w:fldChar w:fldCharType="begin"/>
          </w:r>
          <w:r>
            <w:instrText xml:space="preserve"> HYPERLINK \l _Toc23361_WPSOffice_Level2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d0f95783-3e77-4a42-ad3f-3a2bf8ffa7d5}"/>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六、</w:t>
              </w:r>
              <w:r>
                <w:rPr>
                  <w:rFonts w:hint="eastAsia" w:ascii="黑体" w:hAnsi="黑体" w:eastAsia="黑体" w:cs="Times New Roman"/>
                </w:rPr>
                <w:t>一</w:t>
              </w:r>
              <w:r>
                <w:rPr>
                  <w:rFonts w:hint="eastAsia" w:ascii="黑体" w:hAnsi="黑体" w:eastAsia="黑体" w:cstheme="majorBidi"/>
                </w:rPr>
                <w:t>般公共预算财政拨款基本支出决算情况说明</w:t>
              </w:r>
            </w:sdtContent>
          </w:sdt>
          <w:r>
            <w:tab/>
          </w:r>
          <w:bookmarkStart w:id="22" w:name="_Toc23361_WPSOffice_Level2Page"/>
          <w:r>
            <w:t>16</w:t>
          </w:r>
          <w:bookmarkEnd w:id="22"/>
          <w:r>
            <w:fldChar w:fldCharType="end"/>
          </w:r>
        </w:p>
        <w:p>
          <w:pPr>
            <w:pStyle w:val="33"/>
            <w:tabs>
              <w:tab w:val="right" w:leader="dot" w:pos="8306"/>
            </w:tabs>
          </w:pPr>
          <w:r>
            <w:fldChar w:fldCharType="begin"/>
          </w:r>
          <w:r>
            <w:instrText xml:space="preserve"> HYPERLINK \l _Toc17686_WPSOffice_Level2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d29cd4cd-9e8b-4308-a453-36beb2f5a1c7}"/>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七、</w:t>
              </w:r>
              <w:r>
                <w:rPr>
                  <w:rFonts w:hint="eastAsia" w:ascii="黑体" w:hAnsi="黑体" w:eastAsia="黑体" w:cstheme="majorBidi"/>
                </w:rPr>
                <w:t>“三公”经费财政拨款支出决算情况说明</w:t>
              </w:r>
            </w:sdtContent>
          </w:sdt>
          <w:r>
            <w:tab/>
          </w:r>
          <w:bookmarkStart w:id="23" w:name="_Toc17686_WPSOffice_Level2Page"/>
          <w:r>
            <w:t>16</w:t>
          </w:r>
          <w:bookmarkEnd w:id="23"/>
          <w:r>
            <w:fldChar w:fldCharType="end"/>
          </w:r>
        </w:p>
        <w:p>
          <w:pPr>
            <w:pStyle w:val="33"/>
            <w:tabs>
              <w:tab w:val="right" w:leader="dot" w:pos="8306"/>
            </w:tabs>
          </w:pPr>
          <w:r>
            <w:fldChar w:fldCharType="begin"/>
          </w:r>
          <w:r>
            <w:instrText xml:space="preserve"> HYPERLINK \l _Toc27063_WPSOffice_Level2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5d8ac77b-faeb-473e-ac70-de5b730a5cbc}"/>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八、</w:t>
              </w:r>
              <w:r>
                <w:rPr>
                  <w:rFonts w:hint="eastAsia" w:ascii="黑体" w:hAnsi="黑体" w:eastAsia="黑体" w:cstheme="majorBidi"/>
                </w:rPr>
                <w:t>政府性基金预算支出决算情况说明</w:t>
              </w:r>
            </w:sdtContent>
          </w:sdt>
          <w:r>
            <w:tab/>
          </w:r>
          <w:bookmarkStart w:id="24" w:name="_Toc27063_WPSOffice_Level2Page"/>
          <w:r>
            <w:t>18</w:t>
          </w:r>
          <w:bookmarkEnd w:id="24"/>
          <w:r>
            <w:fldChar w:fldCharType="end"/>
          </w:r>
        </w:p>
        <w:p>
          <w:pPr>
            <w:pStyle w:val="33"/>
            <w:tabs>
              <w:tab w:val="right" w:leader="dot" w:pos="8306"/>
            </w:tabs>
          </w:pPr>
          <w:r>
            <w:fldChar w:fldCharType="begin"/>
          </w:r>
          <w:r>
            <w:instrText xml:space="preserve"> HYPERLINK \l _Toc17833_WPSOffice_Level2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889a7c36-df33-48d7-b566-51c24c56ddcc}"/>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九、 国有资本经营预算支出决算情况说明</w:t>
              </w:r>
            </w:sdtContent>
          </w:sdt>
          <w:r>
            <w:tab/>
          </w:r>
          <w:bookmarkStart w:id="25" w:name="_Toc17833_WPSOffice_Level2Page"/>
          <w:r>
            <w:t>18</w:t>
          </w:r>
          <w:bookmarkEnd w:id="25"/>
          <w:r>
            <w:fldChar w:fldCharType="end"/>
          </w:r>
        </w:p>
        <w:p>
          <w:pPr>
            <w:pStyle w:val="33"/>
            <w:tabs>
              <w:tab w:val="right" w:leader="dot" w:pos="8306"/>
            </w:tabs>
          </w:pPr>
          <w:r>
            <w:fldChar w:fldCharType="begin"/>
          </w:r>
          <w:r>
            <w:instrText xml:space="preserve"> HYPERLINK \l _Toc17346_WPSOffice_Level2 </w:instrText>
          </w:r>
          <w:r>
            <w:fldChar w:fldCharType="separate"/>
          </w:r>
          <w:sdt>
            <w:sdtPr>
              <w:rPr>
                <w:rFonts w:ascii="Times New Roman" w:hAnsi="Times New Roman" w:eastAsia="宋体" w:cs="Times New Roman"/>
                <w:kern w:val="2"/>
                <w:sz w:val="21"/>
                <w:szCs w:val="24"/>
                <w:lang w:val="en-US" w:eastAsia="zh-CN" w:bidi="ar-SA"/>
              </w:rPr>
              <w:id w:val="147453159"/>
              <w:placeholder>
                <w:docPart w:val="{6dafff5f-aa4e-420c-b829-320d5bef3009}"/>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十</w:t>
              </w:r>
              <w:r>
                <w:rPr>
                  <w:rFonts w:hint="eastAsia" w:ascii="黑体" w:hAnsi="黑体" w:eastAsia="黑体" w:cstheme="majorBidi"/>
                </w:rPr>
                <w:t>、其他重要事项的情况说明</w:t>
              </w:r>
            </w:sdtContent>
          </w:sdt>
          <w:r>
            <w:tab/>
          </w:r>
          <w:bookmarkStart w:id="26" w:name="_Toc17346_WPSOffice_Level2Page"/>
          <w:r>
            <w:t>18</w:t>
          </w:r>
          <w:bookmarkEnd w:id="26"/>
          <w:r>
            <w:fldChar w:fldCharType="end"/>
          </w:r>
        </w:p>
        <w:p>
          <w:pPr>
            <w:pStyle w:val="32"/>
            <w:tabs>
              <w:tab w:val="right" w:leader="dot" w:pos="8306"/>
            </w:tabs>
          </w:pPr>
          <w:r>
            <w:rPr>
              <w:b/>
              <w:bCs/>
            </w:rPr>
            <w:fldChar w:fldCharType="begin"/>
          </w:r>
          <w:r>
            <w:instrText xml:space="preserve"> HYPERLINK \l _Toc28350_WPSOffice_Level1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53159"/>
              <w:placeholder>
                <w:docPart w:val="{0ab645a7-199a-44e4-92ae-b3b377ebfdc0}"/>
              </w:placeholder>
            </w:sdtPr>
            <w:sdtEndPr>
              <w:rPr>
                <w:rFonts w:ascii="Times New Roman" w:hAnsi="Times New Roman" w:eastAsia="宋体" w:cs="Times New Roman"/>
                <w:b/>
                <w:bCs/>
                <w:kern w:val="2"/>
                <w:sz w:val="21"/>
                <w:szCs w:val="24"/>
                <w:lang w:val="en-US" w:eastAsia="zh-CN" w:bidi="ar-SA"/>
              </w:rPr>
            </w:sdtEndPr>
            <w:sdtContent>
              <w:r>
                <w:rPr>
                  <w:rFonts w:hint="eastAsia" w:ascii="黑体" w:hAnsi="黑体" w:eastAsia="黑体" w:cs="Times New Roman"/>
                  <w:b/>
                  <w:bCs/>
                </w:rPr>
                <w:t>第三部分 名词解释</w:t>
              </w:r>
            </w:sdtContent>
          </w:sdt>
          <w:r>
            <w:rPr>
              <w:b/>
              <w:bCs/>
            </w:rPr>
            <w:tab/>
          </w:r>
          <w:bookmarkStart w:id="27" w:name="_Toc28350_WPSOffice_Level1Page"/>
          <w:r>
            <w:rPr>
              <w:b/>
              <w:bCs/>
            </w:rPr>
            <w:t>26</w:t>
          </w:r>
          <w:bookmarkEnd w:id="27"/>
          <w:r>
            <w:rPr>
              <w:b/>
              <w:bCs/>
            </w:rPr>
            <w:fldChar w:fldCharType="end"/>
          </w:r>
        </w:p>
        <w:p>
          <w:pPr>
            <w:pStyle w:val="32"/>
            <w:tabs>
              <w:tab w:val="right" w:leader="dot" w:pos="8306"/>
            </w:tabs>
          </w:pPr>
          <w:r>
            <w:rPr>
              <w:b/>
              <w:bCs/>
            </w:rPr>
            <w:fldChar w:fldCharType="begin"/>
          </w:r>
          <w:r>
            <w:instrText xml:space="preserve"> HYPERLINK \l _Toc5909_WPSOffice_Level1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53159"/>
              <w:placeholder>
                <w:docPart w:val="{01cd9bab-9ca7-4a5e-b828-30ecb9f4b2bb}"/>
              </w:placeholder>
            </w:sdtPr>
            <w:sdtEndPr>
              <w:rPr>
                <w:rFonts w:ascii="Times New Roman" w:hAnsi="Times New Roman" w:eastAsia="宋体" w:cs="Times New Roman"/>
                <w:b/>
                <w:bCs/>
                <w:kern w:val="2"/>
                <w:sz w:val="21"/>
                <w:szCs w:val="24"/>
                <w:lang w:val="en-US" w:eastAsia="zh-CN" w:bidi="ar-SA"/>
              </w:rPr>
            </w:sdtEndPr>
            <w:sdtContent>
              <w:r>
                <w:rPr>
                  <w:rFonts w:hint="eastAsia" w:ascii="黑体" w:hAnsi="黑体" w:eastAsia="黑体" w:cs="Times New Roman"/>
                  <w:b/>
                  <w:bCs/>
                </w:rPr>
                <w:t>第四部分 附件</w:t>
              </w:r>
            </w:sdtContent>
          </w:sdt>
          <w:r>
            <w:rPr>
              <w:b/>
              <w:bCs/>
            </w:rPr>
            <w:tab/>
          </w:r>
          <w:bookmarkStart w:id="28" w:name="_Toc5909_WPSOffice_Level1Page"/>
          <w:r>
            <w:rPr>
              <w:b/>
              <w:bCs/>
            </w:rPr>
            <w:t>32</w:t>
          </w:r>
          <w:bookmarkEnd w:id="28"/>
          <w:r>
            <w:rPr>
              <w:b/>
              <w:bCs/>
            </w:rPr>
            <w:fldChar w:fldCharType="end"/>
          </w:r>
        </w:p>
        <w:p>
          <w:pPr>
            <w:pStyle w:val="33"/>
            <w:tabs>
              <w:tab w:val="right" w:leader="dot" w:pos="8306"/>
            </w:tabs>
            <w:rPr>
              <w:rFonts w:hint="eastAsia" w:ascii="仿宋" w:hAnsi="仿宋" w:eastAsia="仿宋" w:cstheme="majorBidi"/>
            </w:rPr>
          </w:pPr>
          <w:r>
            <w:rPr>
              <w:rFonts w:hint="eastAsia" w:ascii="仿宋" w:hAnsi="仿宋" w:eastAsia="仿宋" w:cstheme="majorBidi"/>
            </w:rPr>
            <w:fldChar w:fldCharType="begin"/>
          </w:r>
          <w:r>
            <w:rPr>
              <w:rFonts w:hint="eastAsia" w:ascii="仿宋" w:hAnsi="仿宋" w:eastAsia="仿宋" w:cstheme="majorBidi"/>
            </w:rPr>
            <w:instrText xml:space="preserve"> HYPERLINK \l _Toc1365_WPSOffice_Level2 </w:instrText>
          </w:r>
          <w:r>
            <w:rPr>
              <w:rFonts w:hint="eastAsia" w:ascii="仿宋" w:hAnsi="仿宋" w:eastAsia="仿宋" w:cstheme="majorBidi"/>
            </w:rPr>
            <w:fldChar w:fldCharType="separate"/>
          </w:r>
          <w:sdt>
            <w:sdtPr>
              <w:rPr>
                <w:rFonts w:hint="eastAsia" w:ascii="仿宋" w:hAnsi="仿宋" w:eastAsia="仿宋" w:cstheme="majorBidi"/>
                <w:lang w:val="en-US" w:eastAsia="zh-CN"/>
              </w:rPr>
              <w:id w:val="147453159"/>
              <w:placeholder>
                <w:docPart w:val="{a6212573-5e86-470a-a32e-52a9033acc5e}"/>
              </w:placeholder>
            </w:sdtPr>
            <w:sdtEndPr>
              <w:rPr>
                <w:rFonts w:hint="eastAsia" w:ascii="仿宋" w:hAnsi="仿宋" w:eastAsia="仿宋" w:cstheme="majorBidi"/>
                <w:lang w:val="en-US" w:eastAsia="zh-CN"/>
              </w:rPr>
            </w:sdtEndPr>
            <w:sdtContent>
              <w:r>
                <w:rPr>
                  <w:rFonts w:hint="eastAsia" w:ascii="仿宋" w:hAnsi="仿宋" w:eastAsia="仿宋" w:cstheme="majorBidi"/>
                  <w:lang w:val="en-US" w:eastAsia="zh-CN"/>
                </w:rPr>
                <w:t>附件1</w:t>
              </w:r>
            </w:sdtContent>
          </w:sdt>
          <w:r>
            <w:rPr>
              <w:rFonts w:hint="eastAsia" w:ascii="仿宋" w:hAnsi="仿宋" w:eastAsia="仿宋" w:cstheme="majorBidi"/>
            </w:rPr>
            <w:tab/>
          </w:r>
          <w:bookmarkStart w:id="29" w:name="_Toc1365_WPSOffice_Level2Page"/>
          <w:r>
            <w:rPr>
              <w:rFonts w:hint="eastAsia" w:ascii="仿宋" w:hAnsi="仿宋" w:eastAsia="仿宋" w:cstheme="majorBidi"/>
            </w:rPr>
            <w:t>32</w:t>
          </w:r>
          <w:bookmarkEnd w:id="29"/>
          <w:r>
            <w:rPr>
              <w:rFonts w:hint="eastAsia" w:ascii="仿宋" w:hAnsi="仿宋" w:eastAsia="仿宋" w:cstheme="majorBidi"/>
            </w:rPr>
            <w:fldChar w:fldCharType="end"/>
          </w:r>
        </w:p>
        <w:p>
          <w:pPr>
            <w:pStyle w:val="33"/>
            <w:tabs>
              <w:tab w:val="right" w:leader="dot" w:pos="8306"/>
            </w:tabs>
          </w:pPr>
          <w:r>
            <w:rPr>
              <w:rFonts w:hint="eastAsia" w:ascii="仿宋" w:hAnsi="仿宋" w:eastAsia="仿宋" w:cstheme="majorBidi"/>
            </w:rPr>
            <w:fldChar w:fldCharType="begin"/>
          </w:r>
          <w:r>
            <w:rPr>
              <w:rFonts w:hint="eastAsia" w:ascii="仿宋" w:hAnsi="仿宋" w:eastAsia="仿宋" w:cstheme="majorBidi"/>
            </w:rPr>
            <w:instrText xml:space="preserve"> HYPERLINK \l _Toc5138_WPSOffice_Level2 </w:instrText>
          </w:r>
          <w:r>
            <w:rPr>
              <w:rFonts w:hint="eastAsia" w:ascii="仿宋" w:hAnsi="仿宋" w:eastAsia="仿宋" w:cstheme="majorBidi"/>
            </w:rPr>
            <w:fldChar w:fldCharType="separate"/>
          </w:r>
          <w:sdt>
            <w:sdtPr>
              <w:rPr>
                <w:rFonts w:hint="eastAsia" w:ascii="仿宋" w:hAnsi="仿宋" w:eastAsia="仿宋" w:cstheme="majorBidi"/>
                <w:lang w:val="en-US" w:eastAsia="zh-CN"/>
              </w:rPr>
              <w:id w:val="147453159"/>
              <w:placeholder>
                <w:docPart w:val="{7be313bb-3ce3-43eb-9f25-6f024d6adbec}"/>
              </w:placeholder>
            </w:sdtPr>
            <w:sdtEndPr>
              <w:rPr>
                <w:rFonts w:hint="eastAsia" w:ascii="仿宋" w:hAnsi="仿宋" w:eastAsia="仿宋" w:cstheme="majorBidi"/>
                <w:lang w:val="en-US" w:eastAsia="zh-CN"/>
              </w:rPr>
            </w:sdtEndPr>
            <w:sdtContent>
              <w:r>
                <w:rPr>
                  <w:rFonts w:hint="eastAsia" w:ascii="仿宋" w:hAnsi="仿宋" w:eastAsia="仿宋" w:cstheme="majorBidi"/>
                  <w:lang w:eastAsia="zh-CN"/>
                </w:rPr>
                <w:t>附件</w:t>
              </w:r>
              <w:r>
                <w:rPr>
                  <w:rFonts w:hint="eastAsia" w:ascii="仿宋" w:hAnsi="仿宋" w:eastAsia="仿宋" w:cstheme="majorBidi"/>
                  <w:lang w:val="en-US" w:eastAsia="zh-CN"/>
                </w:rPr>
                <w:t>2</w:t>
              </w:r>
            </w:sdtContent>
          </w:sdt>
          <w:r>
            <w:rPr>
              <w:rFonts w:hint="eastAsia" w:ascii="仿宋" w:hAnsi="仿宋" w:eastAsia="仿宋" w:cstheme="majorBidi"/>
            </w:rPr>
            <w:tab/>
          </w:r>
          <w:bookmarkStart w:id="30" w:name="_Toc5138_WPSOffice_Level2Page"/>
          <w:r>
            <w:rPr>
              <w:rFonts w:hint="eastAsia" w:ascii="仿宋" w:hAnsi="仿宋" w:eastAsia="仿宋" w:cstheme="majorBidi"/>
            </w:rPr>
            <w:t>39</w:t>
          </w:r>
          <w:bookmarkEnd w:id="30"/>
          <w:r>
            <w:rPr>
              <w:rFonts w:hint="eastAsia" w:ascii="仿宋" w:hAnsi="仿宋" w:eastAsia="仿宋" w:cstheme="majorBidi"/>
            </w:rPr>
            <w:fldChar w:fldCharType="end"/>
          </w:r>
        </w:p>
        <w:p>
          <w:pPr>
            <w:pStyle w:val="32"/>
            <w:tabs>
              <w:tab w:val="right" w:leader="dot" w:pos="8306"/>
            </w:tabs>
            <w:rPr>
              <w:b/>
              <w:bCs/>
            </w:rPr>
          </w:pPr>
          <w:r>
            <w:rPr>
              <w:b/>
              <w:bCs/>
            </w:rPr>
            <w:fldChar w:fldCharType="begin"/>
          </w:r>
          <w:r>
            <w:instrText xml:space="preserve"> HYPERLINK \l _Toc19834_WPSOffice_Level1 </w:instrText>
          </w:r>
          <w:r>
            <w:rPr>
              <w:b/>
              <w:bCs/>
            </w:rPr>
            <w:fldChar w:fldCharType="separate"/>
          </w:r>
          <w:sdt>
            <w:sdtPr>
              <w:rPr>
                <w:rFonts w:ascii="Times New Roman" w:hAnsi="Times New Roman" w:eastAsia="宋体" w:cs="Times New Roman"/>
                <w:b/>
                <w:bCs/>
                <w:kern w:val="2"/>
                <w:sz w:val="21"/>
                <w:szCs w:val="24"/>
                <w:lang w:val="en-US" w:eastAsia="zh-CN" w:bidi="ar-SA"/>
              </w:rPr>
              <w:id w:val="147453159"/>
              <w:placeholder>
                <w:docPart w:val="{3eb0b2f7-9177-49df-b0a5-c3fa903ac2e8}"/>
              </w:placeholder>
            </w:sdtPr>
            <w:sdtEndPr>
              <w:rPr>
                <w:rFonts w:ascii="Times New Roman" w:hAnsi="Times New Roman" w:eastAsia="宋体" w:cs="Times New Roman"/>
                <w:b/>
                <w:bCs/>
                <w:kern w:val="2"/>
                <w:sz w:val="21"/>
                <w:szCs w:val="24"/>
                <w:lang w:val="en-US" w:eastAsia="zh-CN" w:bidi="ar-SA"/>
              </w:rPr>
            </w:sdtEndPr>
            <w:sdtContent>
              <w:r>
                <w:rPr>
                  <w:rFonts w:hint="eastAsia" w:ascii="黑体" w:hAnsi="黑体" w:eastAsia="黑体" w:cs="Times New Roman"/>
                  <w:b/>
                  <w:bCs/>
                </w:rPr>
                <w:t>第五部分 附表</w:t>
              </w:r>
            </w:sdtContent>
          </w:sdt>
          <w:r>
            <w:rPr>
              <w:b/>
              <w:bCs/>
            </w:rPr>
            <w:tab/>
          </w:r>
          <w:bookmarkStart w:id="31" w:name="_Toc19834_WPSOffice_Level1Page"/>
          <w:r>
            <w:rPr>
              <w:b/>
              <w:bCs/>
            </w:rPr>
            <w:t>43</w:t>
          </w:r>
          <w:bookmarkEnd w:id="31"/>
          <w:r>
            <w:rPr>
              <w:b/>
              <w:bCs/>
            </w:rPr>
            <w:fldChar w:fldCharType="end"/>
          </w:r>
          <w:bookmarkEnd w:id="12"/>
        </w:p>
        <w:p>
          <w:pPr>
            <w:pStyle w:val="32"/>
            <w:numPr>
              <w:ilvl w:val="0"/>
              <w:numId w:val="1"/>
            </w:numPr>
            <w:tabs>
              <w:tab w:val="right" w:leader="dot" w:pos="8306"/>
            </w:tabs>
            <w:ind w:left="400" w:leftChars="0" w:firstLine="0" w:firstLineChars="0"/>
          </w:pPr>
          <w:r>
            <w:rPr>
              <w:rFonts w:hint="eastAsia" w:ascii="Times New Roman" w:hAnsi="Times New Roman" w:eastAsia="宋体" w:cs="Times New Roman"/>
              <w:sz w:val="20"/>
              <w:szCs w:val="20"/>
              <w:lang w:val="en-US" w:eastAsia="zh-CN"/>
            </w:rPr>
            <w:t>收入支出决算总表.......</w:t>
          </w:r>
          <w:r>
            <w:rPr>
              <w:rFonts w:hint="eastAsia"/>
              <w:lang w:val="en-US" w:eastAsia="zh-CN"/>
            </w:rPr>
            <w:t>...........................................................................................................43</w:t>
          </w:r>
        </w:p>
        <w:p>
          <w:pPr>
            <w:pStyle w:val="32"/>
            <w:numPr>
              <w:ilvl w:val="0"/>
              <w:numId w:val="0"/>
            </w:numPr>
            <w:tabs>
              <w:tab w:val="right" w:leader="dot" w:pos="8306"/>
            </w:tabs>
            <w:ind w:left="400" w:leftChars="0"/>
            <w:rPr>
              <w:rFonts w:hint="eastAsia" w:eastAsia="宋体"/>
              <w:lang w:val="en-US" w:eastAsia="zh-CN"/>
            </w:rPr>
          </w:pPr>
          <w:r>
            <w:fldChar w:fldCharType="begin"/>
          </w:r>
          <w:r>
            <w:instrText xml:space="preserve"> HYPERLINK \l _Toc1929_WPSOffice_Level2 </w:instrText>
          </w:r>
          <w:r>
            <w:fldChar w:fldCharType="separate"/>
          </w:r>
          <w:sdt>
            <w:sdtPr>
              <w:rPr>
                <w:rFonts w:ascii="Times New Roman" w:hAnsi="Times New Roman" w:eastAsia="宋体" w:cs="Times New Roman"/>
                <w:sz w:val="20"/>
                <w:szCs w:val="20"/>
              </w:rPr>
              <w:id w:val="147453636"/>
              <w:placeholder>
                <w:docPart w:val="{96e6ab82-00ec-4795-8975-f98b013909e0}"/>
              </w:placeholder>
            </w:sdtPr>
            <w:sdtEndPr>
              <w:rPr>
                <w:rFonts w:ascii="Times New Roman" w:hAnsi="Times New Roman" w:eastAsia="宋体" w:cs="Times New Roman"/>
                <w:sz w:val="20"/>
                <w:szCs w:val="20"/>
              </w:rPr>
            </w:sdtEndPr>
            <w:sdtContent>
              <w:r>
                <w:rPr>
                  <w:rFonts w:hint="eastAsia" w:ascii="仿宋" w:hAnsi="仿宋" w:eastAsia="仿宋" w:cstheme="majorBidi"/>
                </w:rPr>
                <w:t>二、收入决算表</w:t>
              </w:r>
            </w:sdtContent>
          </w:sdt>
          <w:r>
            <w:tab/>
          </w:r>
          <w:r>
            <w:rPr>
              <w:rFonts w:hint="eastAsia"/>
              <w:lang w:val="en-US" w:eastAsia="zh-CN"/>
            </w:rPr>
            <w:t>4</w:t>
          </w:r>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_Toc14624_WPSOffice_Level2 </w:instrText>
          </w:r>
          <w:r>
            <w:fldChar w:fldCharType="separate"/>
          </w:r>
          <w:sdt>
            <w:sdtPr>
              <w:rPr>
                <w:rFonts w:ascii="Times New Roman" w:hAnsi="Times New Roman" w:eastAsia="宋体" w:cs="Times New Roman"/>
                <w:sz w:val="20"/>
                <w:szCs w:val="20"/>
              </w:rPr>
              <w:id w:val="147453636"/>
              <w:placeholder>
                <w:docPart w:val="{bcdbda49-ae44-4d9e-b073-5c8d83f6ee16}"/>
              </w:placeholder>
            </w:sdtPr>
            <w:sdtEndPr>
              <w:rPr>
                <w:rFonts w:ascii="Times New Roman" w:hAnsi="Times New Roman" w:eastAsia="宋体" w:cs="Times New Roman"/>
                <w:sz w:val="20"/>
                <w:szCs w:val="20"/>
              </w:rPr>
            </w:sdtEndPr>
            <w:sdtContent>
              <w:r>
                <w:rPr>
                  <w:rFonts w:hint="eastAsia" w:ascii="仿宋" w:hAnsi="仿宋" w:eastAsia="仿宋" w:cstheme="majorBidi"/>
                </w:rPr>
                <w:t>三、支出决算表</w:t>
              </w:r>
            </w:sdtContent>
          </w:sdt>
          <w:r>
            <w:tab/>
          </w:r>
          <w:bookmarkStart w:id="32" w:name="_Toc14624_WPSOffice_Level2Page"/>
          <w:r>
            <w:t>4</w:t>
          </w:r>
          <w:bookmarkEnd w:id="32"/>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_Toc3623_WPSOffice_Level2 </w:instrText>
          </w:r>
          <w:r>
            <w:fldChar w:fldCharType="separate"/>
          </w:r>
          <w:sdt>
            <w:sdtPr>
              <w:rPr>
                <w:rFonts w:ascii="Times New Roman" w:hAnsi="Times New Roman" w:eastAsia="宋体" w:cs="Times New Roman"/>
                <w:sz w:val="20"/>
                <w:szCs w:val="20"/>
              </w:rPr>
              <w:id w:val="147453636"/>
              <w:placeholder>
                <w:docPart w:val="{26390178-59f6-4b58-a900-2033027655b0}"/>
              </w:placeholder>
            </w:sdtPr>
            <w:sdtEndPr>
              <w:rPr>
                <w:rFonts w:ascii="Times New Roman" w:hAnsi="Times New Roman" w:eastAsia="宋体" w:cs="Times New Roman"/>
                <w:sz w:val="20"/>
                <w:szCs w:val="20"/>
              </w:rPr>
            </w:sdtEndPr>
            <w:sdtContent>
              <w:r>
                <w:rPr>
                  <w:rFonts w:hint="eastAsia" w:ascii="仿宋" w:hAnsi="仿宋" w:eastAsia="仿宋" w:cstheme="majorBidi"/>
                </w:rPr>
                <w:t>四、财政拨款收入支出决算总表</w:t>
              </w:r>
            </w:sdtContent>
          </w:sdt>
          <w:r>
            <w:tab/>
          </w:r>
          <w:bookmarkStart w:id="33" w:name="_Toc3623_WPSOffice_Level2Page"/>
          <w:r>
            <w:t>4</w:t>
          </w:r>
          <w:bookmarkEnd w:id="33"/>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_Toc21795_WPSOffice_Level2 </w:instrText>
          </w:r>
          <w:r>
            <w:fldChar w:fldCharType="separate"/>
          </w:r>
          <w:sdt>
            <w:sdtPr>
              <w:rPr>
                <w:rFonts w:ascii="Times New Roman" w:hAnsi="Times New Roman" w:eastAsia="宋体" w:cs="Times New Roman"/>
                <w:sz w:val="20"/>
                <w:szCs w:val="20"/>
              </w:rPr>
              <w:id w:val="147453636"/>
              <w:placeholder>
                <w:docPart w:val="{cfad161f-23eb-447c-9a22-afc60e01185b}"/>
              </w:placeholder>
            </w:sdtPr>
            <w:sdtEndPr>
              <w:rPr>
                <w:rFonts w:ascii="Times New Roman" w:hAnsi="Times New Roman" w:eastAsia="宋体" w:cs="Times New Roman"/>
                <w:sz w:val="20"/>
                <w:szCs w:val="20"/>
              </w:rPr>
            </w:sdtEndPr>
            <w:sdtContent>
              <w:r>
                <w:rPr>
                  <w:rFonts w:hint="eastAsia" w:ascii="仿宋" w:hAnsi="仿宋" w:eastAsia="仿宋" w:cstheme="majorBidi"/>
                </w:rPr>
                <w:t>五、财政拨款支出决算明细表</w:t>
              </w:r>
            </w:sdtContent>
          </w:sdt>
          <w:r>
            <w:tab/>
          </w:r>
          <w:bookmarkStart w:id="34" w:name="_Toc21795_WPSOffice_Level2Page"/>
          <w:r>
            <w:t>4</w:t>
          </w:r>
          <w:bookmarkEnd w:id="34"/>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_Toc25513_WPSOffice_Level2 </w:instrText>
          </w:r>
          <w:r>
            <w:fldChar w:fldCharType="separate"/>
          </w:r>
          <w:sdt>
            <w:sdtPr>
              <w:rPr>
                <w:rFonts w:ascii="Times New Roman" w:hAnsi="Times New Roman" w:eastAsia="宋体" w:cs="Times New Roman"/>
                <w:sz w:val="20"/>
                <w:szCs w:val="20"/>
              </w:rPr>
              <w:id w:val="147453636"/>
              <w:placeholder>
                <w:docPart w:val="{26fbe3aa-495c-4287-97c1-5649710bda75}"/>
              </w:placeholder>
            </w:sdtPr>
            <w:sdtEndPr>
              <w:rPr>
                <w:rFonts w:ascii="Times New Roman" w:hAnsi="Times New Roman" w:eastAsia="宋体" w:cs="Times New Roman"/>
                <w:sz w:val="20"/>
                <w:szCs w:val="20"/>
              </w:rPr>
            </w:sdtEndPr>
            <w:sdtContent>
              <w:r>
                <w:rPr>
                  <w:rFonts w:hint="eastAsia" w:ascii="仿宋" w:hAnsi="仿宋" w:eastAsia="仿宋" w:cstheme="majorBidi"/>
                </w:rPr>
                <w:t>六、一般公共预算财政拨款支出决算表</w:t>
              </w:r>
            </w:sdtContent>
          </w:sdt>
          <w:r>
            <w:tab/>
          </w:r>
          <w:bookmarkStart w:id="35" w:name="_Toc25513_WPSOffice_Level2Page"/>
          <w:r>
            <w:t>4</w:t>
          </w:r>
          <w:bookmarkEnd w:id="35"/>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_Toc11414_WPSOffice_Level2 </w:instrText>
          </w:r>
          <w:r>
            <w:fldChar w:fldCharType="separate"/>
          </w:r>
          <w:sdt>
            <w:sdtPr>
              <w:rPr>
                <w:rFonts w:ascii="Times New Roman" w:hAnsi="Times New Roman" w:eastAsia="宋体" w:cs="Times New Roman"/>
                <w:sz w:val="20"/>
                <w:szCs w:val="20"/>
              </w:rPr>
              <w:id w:val="147453636"/>
              <w:placeholder>
                <w:docPart w:val="{6b6124cc-4afc-4b92-9496-ed73c67d7406}"/>
              </w:placeholder>
            </w:sdtPr>
            <w:sdtEndPr>
              <w:rPr>
                <w:rFonts w:ascii="Times New Roman" w:hAnsi="Times New Roman" w:eastAsia="宋体" w:cs="Times New Roman"/>
                <w:sz w:val="20"/>
                <w:szCs w:val="20"/>
              </w:rPr>
            </w:sdtEndPr>
            <w:sdtContent>
              <w:r>
                <w:rPr>
                  <w:rFonts w:hint="eastAsia" w:ascii="仿宋" w:hAnsi="仿宋" w:eastAsia="仿宋" w:cstheme="majorBidi"/>
                </w:rPr>
                <w:t>七、一般公共预算财政拨款支出决算明细表</w:t>
              </w:r>
            </w:sdtContent>
          </w:sdt>
          <w:r>
            <w:tab/>
          </w:r>
          <w:bookmarkStart w:id="36" w:name="_Toc11414_WPSOffice_Level2Page"/>
          <w:r>
            <w:t>4</w:t>
          </w:r>
          <w:bookmarkEnd w:id="36"/>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_Toc22403_WPSOffice_Level2 </w:instrText>
          </w:r>
          <w:r>
            <w:fldChar w:fldCharType="separate"/>
          </w:r>
          <w:sdt>
            <w:sdtPr>
              <w:rPr>
                <w:rFonts w:ascii="Times New Roman" w:hAnsi="Times New Roman" w:eastAsia="宋体" w:cs="Times New Roman"/>
                <w:sz w:val="20"/>
                <w:szCs w:val="20"/>
              </w:rPr>
              <w:id w:val="147453636"/>
              <w:placeholder>
                <w:docPart w:val="{9e5821b4-4894-438d-b030-b076674c67b5}"/>
              </w:placeholder>
            </w:sdtPr>
            <w:sdtEndPr>
              <w:rPr>
                <w:rFonts w:ascii="Times New Roman" w:hAnsi="Times New Roman" w:eastAsia="宋体" w:cs="Times New Roman"/>
                <w:sz w:val="20"/>
                <w:szCs w:val="20"/>
              </w:rPr>
            </w:sdtEndPr>
            <w:sdtContent>
              <w:r>
                <w:rPr>
                  <w:rFonts w:hint="eastAsia" w:ascii="仿宋" w:hAnsi="仿宋" w:eastAsia="仿宋" w:cstheme="majorBidi"/>
                </w:rPr>
                <w:t>八、一般公共预算财政拨款基本支出决算表</w:t>
              </w:r>
            </w:sdtContent>
          </w:sdt>
          <w:r>
            <w:tab/>
          </w:r>
          <w:bookmarkStart w:id="37" w:name="_Toc22403_WPSOffice_Level2Page"/>
          <w:r>
            <w:t>4</w:t>
          </w:r>
          <w:bookmarkEnd w:id="37"/>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_Toc23572_WPSOffice_Level2 </w:instrText>
          </w:r>
          <w:r>
            <w:fldChar w:fldCharType="separate"/>
          </w:r>
          <w:sdt>
            <w:sdtPr>
              <w:rPr>
                <w:rFonts w:ascii="Times New Roman" w:hAnsi="Times New Roman" w:eastAsia="宋体" w:cs="Times New Roman"/>
                <w:sz w:val="20"/>
                <w:szCs w:val="20"/>
              </w:rPr>
              <w:id w:val="147453636"/>
              <w:placeholder>
                <w:docPart w:val="{522dfbb1-f73e-467f-af8a-25b62c436c45}"/>
              </w:placeholder>
            </w:sdtPr>
            <w:sdtEndPr>
              <w:rPr>
                <w:rFonts w:ascii="Times New Roman" w:hAnsi="Times New Roman" w:eastAsia="宋体" w:cs="Times New Roman"/>
                <w:sz w:val="20"/>
                <w:szCs w:val="20"/>
              </w:rPr>
            </w:sdtEndPr>
            <w:sdtContent>
              <w:r>
                <w:rPr>
                  <w:rFonts w:hint="eastAsia" w:ascii="仿宋" w:hAnsi="仿宋" w:eastAsia="仿宋" w:cstheme="majorBidi"/>
                </w:rPr>
                <w:t>九、一般公共预算财政拨款项目支出决算表</w:t>
              </w:r>
            </w:sdtContent>
          </w:sdt>
          <w:r>
            <w:tab/>
          </w:r>
          <w:bookmarkStart w:id="38" w:name="_Toc23572_WPSOffice_Level2Page"/>
          <w:r>
            <w:t>4</w:t>
          </w:r>
          <w:bookmarkEnd w:id="38"/>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_Toc15114_WPSOffice_Level2 </w:instrText>
          </w:r>
          <w:r>
            <w:fldChar w:fldCharType="separate"/>
          </w:r>
          <w:sdt>
            <w:sdtPr>
              <w:rPr>
                <w:rFonts w:ascii="Times New Roman" w:hAnsi="Times New Roman" w:eastAsia="宋体" w:cs="Times New Roman"/>
                <w:sz w:val="20"/>
                <w:szCs w:val="20"/>
              </w:rPr>
              <w:id w:val="147453636"/>
              <w:placeholder>
                <w:docPart w:val="{2d9084d1-3546-46ba-a8f8-457ab51e0bba}"/>
              </w:placeholder>
            </w:sdtPr>
            <w:sdtEndPr>
              <w:rPr>
                <w:rFonts w:ascii="Times New Roman" w:hAnsi="Times New Roman" w:eastAsia="宋体" w:cs="Times New Roman"/>
                <w:sz w:val="20"/>
                <w:szCs w:val="20"/>
              </w:rPr>
            </w:sdtEndPr>
            <w:sdtContent>
              <w:r>
                <w:rPr>
                  <w:rFonts w:hint="eastAsia" w:ascii="仿宋" w:hAnsi="仿宋" w:eastAsia="仿宋" w:cstheme="majorBidi"/>
                </w:rPr>
                <w:t>十、一般公共预算财政拨款“三公”经费支出决算表</w:t>
              </w:r>
            </w:sdtContent>
          </w:sdt>
          <w:r>
            <w:tab/>
          </w:r>
          <w:bookmarkStart w:id="39" w:name="_Toc15114_WPSOffice_Level2Page"/>
          <w:r>
            <w:t>4</w:t>
          </w:r>
          <w:bookmarkEnd w:id="39"/>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_Toc8731_WPSOffice_Level2 </w:instrText>
          </w:r>
          <w:r>
            <w:fldChar w:fldCharType="separate"/>
          </w:r>
          <w:sdt>
            <w:sdtPr>
              <w:rPr>
                <w:rFonts w:ascii="Times New Roman" w:hAnsi="Times New Roman" w:eastAsia="宋体" w:cs="Times New Roman"/>
                <w:sz w:val="20"/>
                <w:szCs w:val="20"/>
              </w:rPr>
              <w:id w:val="147453636"/>
              <w:placeholder>
                <w:docPart w:val="{f6b87d9c-55b4-40d6-b720-3a90a31c98cc}"/>
              </w:placeholder>
            </w:sdtPr>
            <w:sdtEndPr>
              <w:rPr>
                <w:rFonts w:ascii="Times New Roman" w:hAnsi="Times New Roman" w:eastAsia="宋体" w:cs="Times New Roman"/>
                <w:sz w:val="20"/>
                <w:szCs w:val="20"/>
              </w:rPr>
            </w:sdtEndPr>
            <w:sdtContent>
              <w:r>
                <w:rPr>
                  <w:rFonts w:hint="eastAsia" w:ascii="仿宋" w:hAnsi="仿宋" w:eastAsia="仿宋" w:cstheme="majorBidi"/>
                </w:rPr>
                <w:t>十一、政府性基金预算财政拨款收入支出决算表</w:t>
              </w:r>
            </w:sdtContent>
          </w:sdt>
          <w:r>
            <w:tab/>
          </w:r>
          <w:bookmarkStart w:id="40" w:name="_Toc8731_WPSOffice_Level2Page"/>
          <w:r>
            <w:t>4</w:t>
          </w:r>
          <w:bookmarkEnd w:id="40"/>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_Toc17215_WPSOffice_Level2 </w:instrText>
          </w:r>
          <w:r>
            <w:fldChar w:fldCharType="separate"/>
          </w:r>
          <w:sdt>
            <w:sdtPr>
              <w:rPr>
                <w:rFonts w:ascii="Times New Roman" w:hAnsi="Times New Roman" w:eastAsia="宋体" w:cs="Times New Roman"/>
                <w:sz w:val="20"/>
                <w:szCs w:val="20"/>
              </w:rPr>
              <w:id w:val="147453636"/>
              <w:placeholder>
                <w:docPart w:val="{307623eb-07d8-4b84-9c56-e552c8cf9577}"/>
              </w:placeholder>
            </w:sdtPr>
            <w:sdtEndPr>
              <w:rPr>
                <w:rFonts w:ascii="Times New Roman" w:hAnsi="Times New Roman" w:eastAsia="宋体" w:cs="Times New Roman"/>
                <w:sz w:val="20"/>
                <w:szCs w:val="20"/>
              </w:rPr>
            </w:sdtEndPr>
            <w:sdtContent>
              <w:r>
                <w:rPr>
                  <w:rFonts w:hint="eastAsia" w:ascii="仿宋" w:hAnsi="仿宋" w:eastAsia="仿宋" w:cstheme="majorBidi"/>
                </w:rPr>
                <w:t>十二、政府性基金预算财政拨款“三公”经费支出决算表</w:t>
              </w:r>
            </w:sdtContent>
          </w:sdt>
          <w:r>
            <w:tab/>
          </w:r>
          <w:bookmarkStart w:id="41" w:name="_Toc17215_WPSOffice_Level2Page"/>
          <w:r>
            <w:t>4</w:t>
          </w:r>
          <w:bookmarkEnd w:id="41"/>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_Toc30267_WPSOffice_Level2 </w:instrText>
          </w:r>
          <w:r>
            <w:fldChar w:fldCharType="separate"/>
          </w:r>
          <w:sdt>
            <w:sdtPr>
              <w:rPr>
                <w:rFonts w:ascii="Times New Roman" w:hAnsi="Times New Roman" w:eastAsia="宋体" w:cs="Times New Roman"/>
                <w:sz w:val="20"/>
                <w:szCs w:val="20"/>
              </w:rPr>
              <w:id w:val="147453636"/>
              <w:placeholder>
                <w:docPart w:val="{48c8762d-9179-4d94-875f-25d55138b3aa}"/>
              </w:placeholder>
            </w:sdtPr>
            <w:sdtEndPr>
              <w:rPr>
                <w:rFonts w:ascii="Times New Roman" w:hAnsi="Times New Roman" w:eastAsia="宋体" w:cs="Times New Roman"/>
                <w:sz w:val="20"/>
                <w:szCs w:val="20"/>
              </w:rPr>
            </w:sdtEndPr>
            <w:sdtContent>
              <w:r>
                <w:rPr>
                  <w:rFonts w:hint="eastAsia" w:ascii="仿宋" w:hAnsi="仿宋" w:eastAsia="仿宋" w:cstheme="majorBidi"/>
                </w:rPr>
                <w:t>十三、国有资本经营预算支出决算表</w:t>
              </w:r>
            </w:sdtContent>
          </w:sdt>
          <w:r>
            <w:tab/>
          </w:r>
          <w:bookmarkStart w:id="42" w:name="_Toc30267_WPSOffice_Level2Page"/>
          <w:r>
            <w:t>4</w:t>
          </w:r>
          <w:bookmarkEnd w:id="42"/>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_Toc30974_WPSOffice_Level2 </w:instrText>
          </w:r>
          <w:r>
            <w:fldChar w:fldCharType="separate"/>
          </w:r>
          <w:sdt>
            <w:sdtPr>
              <w:rPr>
                <w:rFonts w:ascii="Times New Roman" w:hAnsi="Times New Roman" w:eastAsia="宋体" w:cs="Times New Roman"/>
                <w:kern w:val="2"/>
                <w:sz w:val="21"/>
                <w:szCs w:val="24"/>
                <w:lang w:val="en-US" w:eastAsia="zh-CN" w:bidi="ar-SA"/>
              </w:rPr>
              <w:id w:val="147454668"/>
              <w:placeholder>
                <w:docPart w:val="{35493194-952b-4905-9ae4-439f9f0a3b40}"/>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heme="majorBidi"/>
                </w:rPr>
                <w:t>六、一般公共预算财政拨款支出决算表</w:t>
              </w:r>
            </w:sdtContent>
          </w:sdt>
          <w:r>
            <w:tab/>
          </w:r>
          <w:bookmarkStart w:id="43" w:name="_Toc30974_WPSOffice_Level2Page"/>
          <w:r>
            <w:t>4</w:t>
          </w:r>
          <w:bookmarkEnd w:id="43"/>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_Toc119_WPSOffice_Level2 </w:instrText>
          </w:r>
          <w:r>
            <w:fldChar w:fldCharType="separate"/>
          </w:r>
          <w:sdt>
            <w:sdtPr>
              <w:rPr>
                <w:rFonts w:ascii="Times New Roman" w:hAnsi="Times New Roman" w:eastAsia="宋体" w:cs="Times New Roman"/>
                <w:kern w:val="2"/>
                <w:sz w:val="21"/>
                <w:szCs w:val="24"/>
                <w:lang w:val="en-US" w:eastAsia="zh-CN" w:bidi="ar-SA"/>
              </w:rPr>
              <w:id w:val="147454668"/>
              <w:placeholder>
                <w:docPart w:val="{95e34683-e875-48ed-9f36-61404b6c5fbc}"/>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heme="majorBidi"/>
                </w:rPr>
                <w:t>七、一般公共预算财政拨款支出决算明细表</w:t>
              </w:r>
            </w:sdtContent>
          </w:sdt>
          <w:r>
            <w:tab/>
          </w:r>
          <w:bookmarkStart w:id="44" w:name="_Toc119_WPSOffice_Level2Page"/>
          <w:r>
            <w:t>4</w:t>
          </w:r>
          <w:bookmarkEnd w:id="44"/>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_Toc21630_WPSOffice_Level2 </w:instrText>
          </w:r>
          <w:r>
            <w:fldChar w:fldCharType="separate"/>
          </w:r>
          <w:sdt>
            <w:sdtPr>
              <w:rPr>
                <w:rFonts w:ascii="Times New Roman" w:hAnsi="Times New Roman" w:eastAsia="宋体" w:cs="Times New Roman"/>
                <w:kern w:val="2"/>
                <w:sz w:val="21"/>
                <w:szCs w:val="24"/>
                <w:lang w:val="en-US" w:eastAsia="zh-CN" w:bidi="ar-SA"/>
              </w:rPr>
              <w:id w:val="147454668"/>
              <w:placeholder>
                <w:docPart w:val="{fe948a1c-8259-4a92-97ef-3a4f0d07b2cb}"/>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heme="majorBidi"/>
                </w:rPr>
                <w:t>八、一般公共预算财政拨款基本支出决算表</w:t>
              </w:r>
            </w:sdtContent>
          </w:sdt>
          <w:r>
            <w:tab/>
          </w:r>
          <w:bookmarkStart w:id="45" w:name="_Toc21630_WPSOffice_Level2Page"/>
          <w:r>
            <w:t>4</w:t>
          </w:r>
          <w:bookmarkEnd w:id="45"/>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_Toc24195_WPSOffice_Level2 </w:instrText>
          </w:r>
          <w:r>
            <w:fldChar w:fldCharType="separate"/>
          </w:r>
          <w:sdt>
            <w:sdtPr>
              <w:rPr>
                <w:rFonts w:ascii="Times New Roman" w:hAnsi="Times New Roman" w:eastAsia="宋体" w:cs="Times New Roman"/>
                <w:kern w:val="2"/>
                <w:sz w:val="21"/>
                <w:szCs w:val="24"/>
                <w:lang w:val="en-US" w:eastAsia="zh-CN" w:bidi="ar-SA"/>
              </w:rPr>
              <w:id w:val="147454668"/>
              <w:placeholder>
                <w:docPart w:val="{77b21000-02b1-4097-9162-36255a195d37}"/>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heme="majorBidi"/>
                </w:rPr>
                <w:t>九、一般公共预算财政拨款项目支出决算表</w:t>
              </w:r>
            </w:sdtContent>
          </w:sdt>
          <w:r>
            <w:tab/>
          </w:r>
          <w:bookmarkStart w:id="46" w:name="_Toc24195_WPSOffice_Level2Page"/>
          <w:r>
            <w:t>4</w:t>
          </w:r>
          <w:bookmarkEnd w:id="46"/>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_Toc7644_WPSOffice_Level2 </w:instrText>
          </w:r>
          <w:r>
            <w:fldChar w:fldCharType="separate"/>
          </w:r>
          <w:sdt>
            <w:sdtPr>
              <w:rPr>
                <w:rFonts w:ascii="Times New Roman" w:hAnsi="Times New Roman" w:eastAsia="宋体" w:cs="Times New Roman"/>
                <w:kern w:val="2"/>
                <w:sz w:val="21"/>
                <w:szCs w:val="24"/>
                <w:lang w:val="en-US" w:eastAsia="zh-CN" w:bidi="ar-SA"/>
              </w:rPr>
              <w:id w:val="147454668"/>
              <w:placeholder>
                <w:docPart w:val="{98ef6133-8707-42e3-b1ec-bcb2fa76345c}"/>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heme="majorBidi"/>
                </w:rPr>
                <w:t>十、一般公共预算财政拨款“三公”经费支出决算表</w:t>
              </w:r>
            </w:sdtContent>
          </w:sdt>
          <w:r>
            <w:tab/>
          </w:r>
          <w:bookmarkStart w:id="47" w:name="_Toc7644_WPSOffice_Level2Page"/>
          <w:r>
            <w:t>4</w:t>
          </w:r>
          <w:bookmarkEnd w:id="47"/>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_Toc14474_WPSOffice_Level2 </w:instrText>
          </w:r>
          <w:r>
            <w:fldChar w:fldCharType="separate"/>
          </w:r>
          <w:sdt>
            <w:sdtPr>
              <w:rPr>
                <w:rFonts w:ascii="Times New Roman" w:hAnsi="Times New Roman" w:eastAsia="宋体" w:cs="Times New Roman"/>
                <w:kern w:val="2"/>
                <w:sz w:val="21"/>
                <w:szCs w:val="24"/>
                <w:lang w:val="en-US" w:eastAsia="zh-CN" w:bidi="ar-SA"/>
              </w:rPr>
              <w:id w:val="147454668"/>
              <w:placeholder>
                <w:docPart w:val="{667c725e-000a-409d-a0aa-5076d96343a1}"/>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heme="majorBidi"/>
                </w:rPr>
                <w:t>十一、政府性基金预算财政拨款收入支出决算表</w:t>
              </w:r>
            </w:sdtContent>
          </w:sdt>
          <w:r>
            <w:tab/>
          </w:r>
          <w:bookmarkStart w:id="48" w:name="_Toc14474_WPSOffice_Level2Page"/>
          <w:r>
            <w:t>4</w:t>
          </w:r>
          <w:bookmarkEnd w:id="48"/>
          <w:r>
            <w:fldChar w:fldCharType="end"/>
          </w:r>
          <w:r>
            <w:rPr>
              <w:rFonts w:hint="eastAsia"/>
              <w:lang w:val="en-US" w:eastAsia="zh-CN"/>
            </w:rPr>
            <w:t>3</w:t>
          </w:r>
        </w:p>
        <w:p>
          <w:pPr>
            <w:pStyle w:val="33"/>
            <w:tabs>
              <w:tab w:val="right" w:leader="dot" w:pos="8306"/>
            </w:tabs>
            <w:rPr>
              <w:rFonts w:hint="eastAsia" w:eastAsia="宋体"/>
              <w:lang w:val="en-US" w:eastAsia="zh-CN"/>
            </w:rPr>
          </w:pPr>
          <w:r>
            <w:fldChar w:fldCharType="begin"/>
          </w:r>
          <w:r>
            <w:instrText xml:space="preserve"> HYPERLINK \l _Toc19329_WPSOffice_Level2 </w:instrText>
          </w:r>
          <w:r>
            <w:fldChar w:fldCharType="separate"/>
          </w:r>
          <w:sdt>
            <w:sdtPr>
              <w:rPr>
                <w:rFonts w:ascii="Times New Roman" w:hAnsi="Times New Roman" w:eastAsia="宋体" w:cs="Times New Roman"/>
                <w:kern w:val="2"/>
                <w:sz w:val="21"/>
                <w:szCs w:val="24"/>
                <w:lang w:val="en-US" w:eastAsia="zh-CN" w:bidi="ar-SA"/>
              </w:rPr>
              <w:id w:val="147454668"/>
              <w:placeholder>
                <w:docPart w:val="{422f2492-caa0-4887-9d80-fb0ec59215b6}"/>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heme="majorBidi"/>
                </w:rPr>
                <w:t>十二、政府性基金预算财政拨款“三公”经费支出决算表</w:t>
              </w:r>
            </w:sdtContent>
          </w:sdt>
          <w:r>
            <w:tab/>
          </w:r>
          <w:bookmarkStart w:id="49" w:name="_Toc19329_WPSOffice_Level2Page"/>
          <w:r>
            <w:t>4</w:t>
          </w:r>
          <w:bookmarkEnd w:id="49"/>
          <w:r>
            <w:fldChar w:fldCharType="end"/>
          </w:r>
          <w:r>
            <w:rPr>
              <w:rFonts w:hint="eastAsia"/>
              <w:lang w:val="en-US" w:eastAsia="zh-CN"/>
            </w:rPr>
            <w:t>3</w:t>
          </w:r>
        </w:p>
        <w:p>
          <w:pPr>
            <w:pStyle w:val="32"/>
            <w:tabs>
              <w:tab w:val="right" w:leader="dot" w:pos="8306"/>
            </w:tabs>
            <w:ind w:firstLine="400" w:firstLineChars="200"/>
          </w:pPr>
          <w:r>
            <w:fldChar w:fldCharType="begin"/>
          </w:r>
          <w:r>
            <w:instrText xml:space="preserve"> HYPERLINK \l _Toc25090_WPSOffice_Level2 </w:instrText>
          </w:r>
          <w:r>
            <w:fldChar w:fldCharType="separate"/>
          </w:r>
          <w:sdt>
            <w:sdtPr>
              <w:rPr>
                <w:rFonts w:ascii="Times New Roman" w:hAnsi="Times New Roman" w:eastAsia="宋体" w:cs="Times New Roman"/>
                <w:kern w:val="2"/>
                <w:sz w:val="21"/>
                <w:szCs w:val="24"/>
                <w:lang w:val="en-US" w:eastAsia="zh-CN" w:bidi="ar-SA"/>
              </w:rPr>
              <w:id w:val="147454668"/>
              <w:placeholder>
                <w:docPart w:val="{a396e611-969f-47e8-bc02-4b20df4a38c9}"/>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heme="majorBidi"/>
                </w:rPr>
                <w:t>十三、国有资本经营预算支出决算表</w:t>
              </w:r>
            </w:sdtContent>
          </w:sdt>
          <w:r>
            <w:tab/>
          </w:r>
          <w:bookmarkStart w:id="50" w:name="_Toc25090_WPSOffice_Level2Page"/>
          <w:r>
            <w:t>4</w:t>
          </w:r>
          <w:bookmarkEnd w:id="50"/>
          <w:r>
            <w:fldChar w:fldCharType="end"/>
          </w:r>
          <w:r>
            <w:rPr>
              <w:rFonts w:hint="eastAsia"/>
              <w:lang w:val="en-US" w:eastAsia="zh-CN"/>
            </w:rPr>
            <w:t>3</w:t>
          </w:r>
        </w:p>
      </w:sdtContent>
    </w:sdt>
    <w:p>
      <w:pPr>
        <w:pStyle w:val="11"/>
        <w:adjustRightInd w:val="0"/>
        <w:snapToGrid w:val="0"/>
        <w:spacing w:line="440" w:lineRule="exact"/>
        <w:jc w:val="left"/>
        <w:rPr>
          <w:rFonts w:hint="eastAsia" w:ascii="Times New Roman" w:hAnsi="Times New Roman" w:cs="Times New Roman"/>
          <w:sz w:val="24"/>
        </w:rPr>
      </w:pPr>
      <w:r>
        <w:rPr>
          <w:rFonts w:hint="eastAsia" w:ascii="Times New Roman" w:hAnsi="Times New Roman" w:cs="Times New Roman"/>
          <w:sz w:val="24"/>
        </w:rPr>
        <w:br w:type="page"/>
      </w:r>
    </w:p>
    <w:p>
      <w:pPr>
        <w:pStyle w:val="33"/>
        <w:tabs>
          <w:tab w:val="right" w:leader="dot" w:pos="8306"/>
        </w:tabs>
      </w:pPr>
    </w:p>
    <w:p>
      <w:pPr>
        <w:pStyle w:val="2"/>
        <w:pageBreakBefore w:val="0"/>
        <w:kinsoku/>
        <w:wordWrap/>
        <w:overflowPunct/>
        <w:topLinePunct w:val="0"/>
        <w:bidi w:val="0"/>
        <w:spacing w:line="590" w:lineRule="exact"/>
        <w:ind w:firstLine="0" w:firstLineChars="0"/>
        <w:jc w:val="center"/>
        <w:rPr>
          <w:rStyle w:val="25"/>
          <w:rFonts w:ascii="黑体" w:hAnsi="黑体" w:eastAsia="黑体"/>
          <w:b/>
          <w:bCs w:val="0"/>
        </w:rPr>
      </w:pPr>
      <w:bookmarkStart w:id="51" w:name="_Toc9224_WPSOffice_Level1"/>
      <w:r>
        <w:rPr>
          <w:rFonts w:hint="eastAsia" w:ascii="黑体" w:hAnsi="黑体" w:eastAsia="黑体"/>
          <w:b w:val="0"/>
        </w:rPr>
        <w:t xml:space="preserve">第一部分 </w:t>
      </w:r>
      <w:r>
        <w:rPr>
          <w:rStyle w:val="25"/>
          <w:rFonts w:hint="eastAsia" w:ascii="黑体" w:hAnsi="黑体" w:eastAsia="黑体"/>
          <w:b w:val="0"/>
          <w:bCs w:val="0"/>
        </w:rPr>
        <w:t>部门概况</w:t>
      </w:r>
      <w:bookmarkEnd w:id="51"/>
    </w:p>
    <w:p>
      <w:pPr>
        <w:pageBreakBefore w:val="0"/>
        <w:widowControl/>
        <w:kinsoku/>
        <w:wordWrap/>
        <w:overflowPunct/>
        <w:topLinePunct w:val="0"/>
        <w:bidi w:val="0"/>
        <w:spacing w:line="590" w:lineRule="exact"/>
        <w:ind w:firstLine="0" w:firstLineChars="0"/>
        <w:jc w:val="left"/>
        <w:rPr>
          <w:rFonts w:ascii="黑体" w:eastAsia="黑体"/>
          <w:color w:val="000000"/>
          <w:sz w:val="32"/>
          <w:szCs w:val="32"/>
        </w:rPr>
      </w:pPr>
    </w:p>
    <w:p>
      <w:pPr>
        <w:pStyle w:val="3"/>
        <w:pageBreakBefore w:val="0"/>
        <w:kinsoku/>
        <w:wordWrap/>
        <w:overflowPunct/>
        <w:topLinePunct w:val="0"/>
        <w:bidi w:val="0"/>
        <w:spacing w:line="590" w:lineRule="exact"/>
        <w:ind w:firstLine="0" w:firstLineChars="0"/>
        <w:rPr>
          <w:rStyle w:val="26"/>
          <w:rFonts w:ascii="仿宋" w:hAnsi="仿宋" w:eastAsia="仿宋"/>
          <w:b w:val="0"/>
          <w:bCs w:val="0"/>
        </w:rPr>
      </w:pPr>
      <w:bookmarkStart w:id="52" w:name="_Toc17854_WPSOffice_Level2"/>
      <w:bookmarkStart w:id="53" w:name="_Toc15377197"/>
      <w:bookmarkStart w:id="54" w:name="_Toc15396600"/>
      <w:r>
        <w:rPr>
          <w:rFonts w:hint="eastAsia" w:ascii="黑体" w:hAnsi="黑体" w:eastAsia="黑体"/>
          <w:b w:val="0"/>
          <w:color w:val="000000"/>
        </w:rPr>
        <w:t>一、基</w:t>
      </w:r>
      <w:r>
        <w:rPr>
          <w:rStyle w:val="26"/>
          <w:rFonts w:hint="eastAsia" w:ascii="黑体" w:hAnsi="黑体" w:eastAsia="黑体"/>
          <w:b w:val="0"/>
          <w:bCs w:val="0"/>
        </w:rPr>
        <w:t>本职能及主要工作</w:t>
      </w:r>
      <w:bookmarkEnd w:id="52"/>
      <w:bookmarkEnd w:id="53"/>
      <w:bookmarkEnd w:id="54"/>
    </w:p>
    <w:p>
      <w:pPr>
        <w:pStyle w:val="5"/>
        <w:pageBreakBefore w:val="0"/>
        <w:kinsoku/>
        <w:wordWrap/>
        <w:overflowPunct/>
        <w:topLinePunct w:val="0"/>
        <w:bidi w:val="0"/>
        <w:adjustRightInd w:val="0"/>
        <w:snapToGrid w:val="0"/>
        <w:spacing w:before="93" w:line="590" w:lineRule="exact"/>
        <w:ind w:left="0" w:leftChars="0" w:firstLine="640" w:firstLineChars="200"/>
        <w:outlineLvl w:val="2"/>
        <w:rPr>
          <w:rFonts w:hint="eastAsia" w:ascii="仿宋" w:hAnsi="仿宋" w:eastAsia="仿宋"/>
          <w:bCs/>
          <w:color w:val="000000"/>
          <w:sz w:val="32"/>
          <w:szCs w:val="32"/>
        </w:rPr>
      </w:pPr>
      <w:bookmarkStart w:id="55" w:name="_Toc15377198"/>
      <w:bookmarkStart w:id="56" w:name="_Toc15378445"/>
      <w:r>
        <w:rPr>
          <w:rFonts w:hint="eastAsia" w:ascii="仿宋" w:hAnsi="仿宋" w:eastAsia="仿宋"/>
          <w:bCs/>
          <w:color w:val="000000"/>
          <w:sz w:val="32"/>
          <w:szCs w:val="32"/>
        </w:rPr>
        <w:t>（一）主要职能。</w:t>
      </w:r>
      <w:bookmarkEnd w:id="55"/>
      <w:bookmarkEnd w:id="56"/>
    </w:p>
    <w:p>
      <w:pPr>
        <w:pStyle w:val="5"/>
        <w:keepNext w:val="0"/>
        <w:keepLines w:val="0"/>
        <w:pageBreakBefore w:val="0"/>
        <w:widowControl w:val="0"/>
        <w:kinsoku/>
        <w:wordWrap/>
        <w:overflowPunct/>
        <w:topLinePunct w:val="0"/>
        <w:autoSpaceDE/>
        <w:autoSpaceDN/>
        <w:bidi w:val="0"/>
        <w:adjustRightInd w:val="0"/>
        <w:snapToGrid w:val="0"/>
        <w:spacing w:before="93" w:line="600" w:lineRule="exact"/>
        <w:ind w:firstLine="640" w:firstLineChars="200"/>
        <w:textAlignment w:val="auto"/>
        <w:outlineLvl w:val="2"/>
        <w:rPr>
          <w:rFonts w:hint="eastAsia" w:ascii="仿宋" w:hAnsi="仿宋" w:eastAsia="仿宋"/>
          <w:bCs/>
          <w:color w:val="000000"/>
          <w:sz w:val="32"/>
          <w:szCs w:val="32"/>
        </w:rPr>
      </w:pPr>
      <w:r>
        <w:rPr>
          <w:rFonts w:hint="eastAsia" w:ascii="仿宋" w:hAnsi="仿宋" w:eastAsia="仿宋"/>
          <w:bCs/>
          <w:color w:val="000000"/>
          <w:sz w:val="32"/>
          <w:szCs w:val="32"/>
        </w:rPr>
        <w:t xml:space="preserve">（1）贯彻执行国家、省有关水务行政管理工作的方针、政策和法律、法规；拟订全市水务管理规范性文件并监督实施。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（2）编制全市城乡水务发展规划；组织拟订全市水资源总体规划、流域规划和专业规划，制定全市和跨县（市、区）中长期供水计划和年度供水计划、水量分配方案和旱情紧急情况下用水调度预案并监督实施。</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（3）组织有关全市国民经济发展总体规划、城市规划及重大建设项目的水资源利用和论证工作；组织实施取水许可、水资源有偿使用制度；发布全市水资源公报，承担实施最严格水资源管理制度相关工作。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4）负责生活、生产经营和生态环境用水的统筹兼顾和保障，实施水资源的统一监督管理，组织编制全市跨县（市、区）流域的水量分配、水资源调度方案；水资源调度管理工作；编制全市节约用水、计划用水规划，组织相关部门开展节约用水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5）组织编制乐山中心城区供水规划；指导各县（市）区供水规划，指导全市供水行业服务标准的实施，监督城镇（乡）供水运营工作；组织指导城市非居民用水超计划或超定额加价收费管理工作；指导全市城镇（乡）供水设施的新建、改建和扩建工作；指导城镇（乡）供水行业安全生产；指导全市应急供水管理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6）负责部门预（决）算和政府综合财务报告编制、预算执行工作；承担市级水利行政事业单位国有资产监督管理工作；牵头负责水利项目资金监督检查和绩效管理工作；指导编制全市水务行业建设项目资金计划；受委托监管市级水务行业国有资产。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7）指导全市水利基本建设并实施行业监督管理；负责小型水利工程建设审批，初审、转报大中型水利建设项目的可行性研究报告和初步设计；组织实施具有控制性或跨县（市、区）的重要水利工程建设与运行管理；依法负责水利行业安全生产工作，组织指导水库大坝、水电站大坝等水利工程的安全监管；组织实施水利工程建设质量与安全的监督，指导水利建设市场的监督管理。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8）指导农村水利工作。指导全市大中型农村水利工程建设管理，指导节水灌溉有关工作以及水库移民工作；协调牧区水利工作，指导农村水利改革创新和社会化服务体系建设。负责乐山市区域内不涉及风景名胜区、自然保护区管理的水利风景区规划、申报、建设、管理等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（9）负责防治水土流失。拟订水土保持规划并监督实施；负责水土保持预防监督；指导水土流失监测、综合防治和水利工程绿化工作。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10）组织编制并实施洪水干旱灾害防治规划和防护标准；承担水情旱情监测预警工作；组织编制市内重要江河湖泊和重要水工程的防御洪水、抗御旱灾调度和应急水量调度方案，按程序报批并组织实施；承担全市防御洪水应急抢险的技术支撑工作。承担市防汛抗旱指挥部办公室的日常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（11）组织指导地方水电站、电网建设管理，实施技术监督；指导农村水能资源开发和水电农村电气化、小水电代燃料生态保护工程建设。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（12）指导水政监察和水行政执法；负责水务行政复议的受理和行政诉讼的应诉工作；查处重大涉水违法事件，协调、仲裁跨县（市、区）水事纠纷。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（13）指导全市江河、湖泊、滩涂的综合治理与开发；负责河道采砂的统一监督管理工作。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（14）指导全市有关水务项目的科学研究和技术推广，组织指导全市重大水务项目的对外合作和交流；指导全市水务行业发展、改革、稳定工作及队伍和服务体系建设；指导水务行业劳动保护、安全生产工作。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（15）承担市政府公布的有关行政审批事项。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16）承担河长制组织实施具体工作，负责协调、督促、落实总河长会议、河长会议、总河长办公室确定的事项；拟制全市河湖管理工作方案、相关制度及考核办法；督促市级相关部门按照职能职责，落实责任，协调联动，共同推进河湖管理保护工作；督导县（市、区）同步全面落实河长制相关工作，并对县（市、区）河湖管理保护工作进行监督考核。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（17）承办市政府交办的其他事项。</w:t>
      </w:r>
    </w:p>
    <w:p>
      <w:pPr>
        <w:pStyle w:val="5"/>
        <w:pageBreakBefore w:val="0"/>
        <w:kinsoku/>
        <w:wordWrap/>
        <w:overflowPunct/>
        <w:topLinePunct w:val="0"/>
        <w:bidi w:val="0"/>
        <w:adjustRightInd w:val="0"/>
        <w:snapToGrid w:val="0"/>
        <w:spacing w:before="93" w:line="590" w:lineRule="exact"/>
        <w:ind w:left="0" w:leftChars="0" w:firstLine="640" w:firstLineChars="200"/>
        <w:outlineLvl w:val="2"/>
        <w:rPr>
          <w:rFonts w:hint="eastAsia" w:ascii="仿宋" w:hAnsi="仿宋" w:eastAsia="仿宋"/>
          <w:bCs/>
          <w:color w:val="000000"/>
          <w:sz w:val="32"/>
          <w:szCs w:val="32"/>
        </w:rPr>
      </w:pPr>
      <w:bookmarkStart w:id="57" w:name="_Toc15377199"/>
      <w:bookmarkStart w:id="58" w:name="_Toc15378446"/>
      <w:r>
        <w:rPr>
          <w:rFonts w:hint="eastAsia" w:ascii="仿宋" w:hAnsi="仿宋" w:eastAsia="仿宋"/>
          <w:bCs/>
          <w:color w:val="000000"/>
          <w:sz w:val="32"/>
          <w:szCs w:val="32"/>
        </w:rPr>
        <w:t>（二）</w:t>
      </w:r>
      <w:r>
        <w:rPr>
          <w:rFonts w:ascii="仿宋" w:hAnsi="仿宋" w:eastAsia="仿宋"/>
          <w:bCs/>
          <w:color w:val="000000"/>
          <w:sz w:val="32"/>
          <w:szCs w:val="32"/>
        </w:rPr>
        <w:t>201</w:t>
      </w:r>
      <w:r>
        <w:rPr>
          <w:rFonts w:hint="eastAsia" w:ascii="仿宋" w:hAnsi="仿宋" w:eastAsia="仿宋"/>
          <w:bCs/>
          <w:color w:val="000000"/>
          <w:sz w:val="32"/>
          <w:szCs w:val="32"/>
        </w:rPr>
        <w:t>9年重点工作完成情况。</w:t>
      </w:r>
      <w:bookmarkEnd w:id="57"/>
      <w:bookmarkEnd w:id="58"/>
    </w:p>
    <w:p>
      <w:pPr>
        <w:keepNext w:val="0"/>
        <w:keepLines w:val="0"/>
        <w:pageBreakBefore w:val="0"/>
        <w:widowControl w:val="0"/>
        <w:kinsoku/>
        <w:wordWrap/>
        <w:overflowPunct/>
        <w:topLinePunct w:val="0"/>
        <w:autoSpaceDE/>
        <w:autoSpaceDN/>
        <w:bidi w:val="0"/>
        <w:adjustRightInd/>
        <w:snapToGrid/>
        <w:spacing w:line="590" w:lineRule="exact"/>
        <w:ind w:left="0" w:leftChars="0" w:firstLine="640" w:firstLineChars="200"/>
        <w:textAlignment w:val="auto"/>
        <w:rPr>
          <w:rFonts w:hint="eastAsia" w:ascii="仿宋" w:hAnsi="仿宋" w:eastAsia="仿宋" w:cs="Times New Roman"/>
          <w:bCs/>
          <w:color w:val="000000"/>
          <w:kern w:val="0"/>
          <w:sz w:val="32"/>
          <w:szCs w:val="32"/>
          <w:lang w:val="en-US" w:eastAsia="zh-CN" w:bidi="ar-SA"/>
        </w:rPr>
      </w:pPr>
      <w:r>
        <w:rPr>
          <w:rFonts w:eastAsia="仿宋_GB2312"/>
          <w:sz w:val="32"/>
          <w:szCs w:val="32"/>
        </w:rPr>
        <w:t>201</w:t>
      </w:r>
      <w:r>
        <w:rPr>
          <w:rFonts w:hint="eastAsia" w:eastAsia="仿宋_GB2312"/>
          <w:sz w:val="32"/>
          <w:szCs w:val="32"/>
        </w:rPr>
        <w:t>9年，市水务局在市委、市政府的坚强领导下，认真落实省委省政府和市委市政府各项决策部署，坚持“干在实处、走在前列”工作取向，不断提升水利保障服务全市经济</w:t>
      </w:r>
      <w:r>
        <w:rPr>
          <w:rFonts w:hint="eastAsia" w:ascii="仿宋" w:hAnsi="仿宋" w:eastAsia="仿宋" w:cs="Times New Roman"/>
          <w:bCs/>
          <w:color w:val="000000"/>
          <w:kern w:val="0"/>
          <w:sz w:val="32"/>
          <w:szCs w:val="32"/>
          <w:lang w:val="en-US" w:eastAsia="zh-CN" w:bidi="ar-SA"/>
        </w:rPr>
        <w:t>社会发展的能力。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
          <w:sz w:val="32"/>
          <w:szCs w:val="32"/>
        </w:rPr>
      </w:pPr>
      <w:r>
        <w:rPr>
          <w:rFonts w:hint="eastAsia" w:ascii="仿宋" w:hAnsi="仿宋" w:eastAsia="仿宋" w:cs="Times New Roman"/>
          <w:bCs/>
          <w:color w:val="000000"/>
          <w:kern w:val="0"/>
          <w:sz w:val="32"/>
          <w:szCs w:val="32"/>
          <w:lang w:val="en-US" w:eastAsia="zh-CN" w:bidi="ar-SA"/>
        </w:rPr>
        <w:t>（1）抓项目补工程短板。一是抓好项目谋划。编制完成《乐山城市水利规划》《岷江（乐山段）15条市管河流综合治理概念性方案》《乐山市水资源综合规划》等总体规划，为城市水利建设提供</w:t>
      </w:r>
      <w:r>
        <w:rPr>
          <w:rFonts w:ascii="Times New Roman" w:hAnsi="Times New Roman" w:eastAsia="仿宋"/>
          <w:sz w:val="32"/>
          <w:szCs w:val="32"/>
        </w:rPr>
        <w:t>顶层设计。全面启动长征渠引水工程规划修编，谋划</w:t>
      </w:r>
      <w:r>
        <w:rPr>
          <w:rFonts w:hint="eastAsia" w:ascii="Times New Roman" w:hAnsi="Times New Roman" w:eastAsia="仿宋"/>
          <w:sz w:val="32"/>
          <w:szCs w:val="32"/>
        </w:rPr>
        <w:t>一批</w:t>
      </w:r>
      <w:r>
        <w:rPr>
          <w:rFonts w:ascii="Times New Roman" w:hAnsi="Times New Roman" w:eastAsia="仿宋"/>
          <w:sz w:val="32"/>
          <w:szCs w:val="32"/>
        </w:rPr>
        <w:t>具有控制功能的大</w:t>
      </w:r>
      <w:r>
        <w:rPr>
          <w:rFonts w:hint="eastAsia" w:ascii="Times New Roman" w:hAnsi="Times New Roman" w:eastAsia="仿宋"/>
          <w:sz w:val="32"/>
          <w:szCs w:val="32"/>
        </w:rPr>
        <w:t>中</w:t>
      </w:r>
      <w:r>
        <w:rPr>
          <w:rFonts w:ascii="Times New Roman" w:hAnsi="Times New Roman" w:eastAsia="仿宋"/>
          <w:sz w:val="32"/>
          <w:szCs w:val="32"/>
        </w:rPr>
        <w:t>型</w:t>
      </w:r>
      <w:r>
        <w:rPr>
          <w:rFonts w:hint="eastAsia" w:ascii="Times New Roman" w:hAnsi="Times New Roman" w:eastAsia="仿宋"/>
          <w:sz w:val="32"/>
          <w:szCs w:val="32"/>
        </w:rPr>
        <w:t>水利骨干工程</w:t>
      </w:r>
      <w:r>
        <w:rPr>
          <w:rFonts w:ascii="Times New Roman" w:hAnsi="Times New Roman" w:eastAsia="仿宋"/>
          <w:sz w:val="32"/>
          <w:szCs w:val="32"/>
        </w:rPr>
        <w:t>。二是做好项目储备。储备大江大河防洪减灾能力提升、城市防洪排涝提升、防洪能力提升、抗旱供水提升、河湖空间管控</w:t>
      </w:r>
      <w:r>
        <w:rPr>
          <w:rFonts w:hint="eastAsia" w:ascii="Times New Roman" w:hAnsi="Times New Roman" w:eastAsia="仿宋"/>
          <w:sz w:val="32"/>
          <w:szCs w:val="32"/>
        </w:rPr>
        <w:t>5</w:t>
      </w:r>
      <w:r>
        <w:rPr>
          <w:rFonts w:ascii="Times New Roman" w:hAnsi="Times New Roman" w:eastAsia="仿宋"/>
          <w:sz w:val="32"/>
          <w:szCs w:val="32"/>
        </w:rPr>
        <w:t>大工程类项目239个，总投资约295亿元。打捆生成总投资94.4亿元的乐山市岷江水系乐山段水生态修复及综合治理项目，是全省2个进入国家“十四五”重大水利工程盘子新增项目之一。三是加</w:t>
      </w:r>
      <w:r>
        <w:rPr>
          <w:rFonts w:hint="eastAsia" w:ascii="Times New Roman" w:hAnsi="Times New Roman" w:eastAsia="仿宋"/>
          <w:sz w:val="32"/>
          <w:szCs w:val="32"/>
        </w:rPr>
        <w:t>大</w:t>
      </w:r>
      <w:r>
        <w:rPr>
          <w:rFonts w:ascii="Times New Roman" w:hAnsi="Times New Roman" w:eastAsia="仿宋"/>
          <w:sz w:val="32"/>
          <w:szCs w:val="32"/>
        </w:rPr>
        <w:t>项目争取和建设。</w:t>
      </w:r>
      <w:r>
        <w:rPr>
          <w:rFonts w:hint="eastAsia" w:ascii="Times New Roman" w:hAnsi="Times New Roman" w:eastAsia="仿宋"/>
          <w:sz w:val="32"/>
          <w:szCs w:val="32"/>
        </w:rPr>
        <w:t>完成 “三百水利”项目投资</w:t>
      </w:r>
      <w:r>
        <w:rPr>
          <w:rFonts w:ascii="Times New Roman" w:hAnsi="Times New Roman" w:eastAsia="仿宋"/>
          <w:sz w:val="32"/>
          <w:szCs w:val="32"/>
        </w:rPr>
        <w:t>42亿元，其中争取到位中、省水利资金</w:t>
      </w:r>
      <w:r>
        <w:rPr>
          <w:rFonts w:hint="eastAsia" w:ascii="Times New Roman" w:hAnsi="Times New Roman" w:eastAsia="仿宋"/>
          <w:sz w:val="32"/>
          <w:szCs w:val="32"/>
        </w:rPr>
        <w:t>4.17</w:t>
      </w:r>
      <w:r>
        <w:rPr>
          <w:rFonts w:ascii="Times New Roman" w:hAnsi="Times New Roman" w:eastAsia="仿宋"/>
          <w:sz w:val="32"/>
          <w:szCs w:val="32"/>
        </w:rPr>
        <w:t>亿元</w:t>
      </w:r>
      <w:r>
        <w:rPr>
          <w:rFonts w:hint="eastAsia" w:ascii="Times New Roman" w:hAnsi="Times New Roman" w:eastAsia="仿宋"/>
          <w:sz w:val="32"/>
          <w:szCs w:val="32"/>
        </w:rPr>
        <w:t>，</w:t>
      </w:r>
      <w:r>
        <w:rPr>
          <w:rFonts w:ascii="Times New Roman" w:hAnsi="Times New Roman" w:eastAsia="仿宋"/>
          <w:sz w:val="32"/>
          <w:szCs w:val="32"/>
        </w:rPr>
        <w:t>马边青龙水库</w:t>
      </w:r>
      <w:r>
        <w:rPr>
          <w:rFonts w:hint="eastAsia" w:ascii="Times New Roman" w:hAnsi="Times New Roman" w:eastAsia="仿宋"/>
          <w:sz w:val="32"/>
          <w:szCs w:val="32"/>
        </w:rPr>
        <w:t>、“</w:t>
      </w:r>
      <w:r>
        <w:rPr>
          <w:rFonts w:ascii="Times New Roman" w:hAnsi="Times New Roman" w:eastAsia="仿宋"/>
          <w:sz w:val="32"/>
          <w:szCs w:val="32"/>
        </w:rPr>
        <w:t>引青进峨</w:t>
      </w:r>
      <w:r>
        <w:rPr>
          <w:rFonts w:hint="eastAsia" w:ascii="Times New Roman" w:hAnsi="Times New Roman" w:eastAsia="仿宋"/>
          <w:sz w:val="32"/>
          <w:szCs w:val="32"/>
        </w:rPr>
        <w:t>”、岷茫水系连通等一批重点项目有序推进；市</w:t>
      </w:r>
      <w:r>
        <w:rPr>
          <w:rFonts w:ascii="Times New Roman" w:hAnsi="Times New Roman" w:eastAsia="仿宋"/>
          <w:sz w:val="32"/>
          <w:szCs w:val="32"/>
        </w:rPr>
        <w:t>第四水厂</w:t>
      </w:r>
      <w:r>
        <w:rPr>
          <w:rFonts w:hint="eastAsia" w:ascii="Times New Roman" w:hAnsi="Times New Roman" w:eastAsia="仿宋"/>
          <w:sz w:val="32"/>
          <w:szCs w:val="32"/>
        </w:rPr>
        <w:t>已</w:t>
      </w:r>
      <w:r>
        <w:rPr>
          <w:rFonts w:ascii="Times New Roman" w:hAnsi="Times New Roman" w:eastAsia="仿宋"/>
          <w:sz w:val="32"/>
          <w:szCs w:val="32"/>
        </w:rPr>
        <w:t>向五通桥和沙湾城区输送自来水</w:t>
      </w:r>
      <w:r>
        <w:rPr>
          <w:rFonts w:hint="eastAsia" w:ascii="Times New Roman" w:hAnsi="Times New Roman" w:eastAsia="仿宋"/>
          <w:sz w:val="32"/>
          <w:szCs w:val="32"/>
        </w:rPr>
        <w:t>，</w:t>
      </w:r>
      <w:r>
        <w:rPr>
          <w:rFonts w:ascii="Times New Roman" w:hAnsi="Times New Roman" w:eastAsia="仿宋"/>
          <w:sz w:val="32"/>
          <w:szCs w:val="32"/>
        </w:rPr>
        <w:t>第二生产线施工进展顺利，已投入试运行。印发《乐山市城镇二次供水工程规范化建设技术导则（试行）》，进一步规范乐山市城镇二次供水设施建设，</w:t>
      </w:r>
      <w:r>
        <w:rPr>
          <w:rFonts w:hint="eastAsia" w:ascii="Times New Roman" w:hAnsi="Times New Roman" w:eastAsia="仿宋"/>
          <w:sz w:val="32"/>
          <w:szCs w:val="32"/>
        </w:rPr>
        <w:t>保障</w:t>
      </w:r>
      <w:r>
        <w:rPr>
          <w:rFonts w:ascii="Times New Roman" w:hAnsi="Times New Roman" w:eastAsia="仿宋"/>
          <w:sz w:val="32"/>
          <w:szCs w:val="32"/>
        </w:rPr>
        <w:t>“最后一公里”水质安全。</w:t>
      </w:r>
      <w:r>
        <w:rPr>
          <w:rFonts w:hint="eastAsia" w:ascii="Times New Roman" w:hAnsi="Times New Roman" w:eastAsia="仿宋"/>
          <w:sz w:val="32"/>
          <w:szCs w:val="32"/>
        </w:rPr>
        <w:t>四是全力推进市委、市政府中心工作。</w:t>
      </w:r>
      <w:r>
        <w:rPr>
          <w:rFonts w:ascii="Times New Roman" w:hAnsi="Times New Roman" w:eastAsia="仿宋"/>
          <w:sz w:val="32"/>
          <w:szCs w:val="32"/>
        </w:rPr>
        <w:t>积极协调长江水利委员会和省水利厅，</w:t>
      </w:r>
      <w:r>
        <w:rPr>
          <w:rFonts w:hint="eastAsia" w:ascii="Times New Roman" w:hAnsi="Times New Roman" w:eastAsia="仿宋"/>
          <w:sz w:val="32"/>
          <w:szCs w:val="32"/>
        </w:rPr>
        <w:t>全力推进中心城区防洪能力提升综合治理，</w:t>
      </w:r>
      <w:r>
        <w:rPr>
          <w:rFonts w:ascii="Times New Roman" w:hAnsi="Times New Roman" w:eastAsia="仿宋"/>
          <w:sz w:val="32"/>
          <w:szCs w:val="32"/>
        </w:rPr>
        <w:t>乐山市市中区大渡河大件码头至沫若广场段堤防综合整治</w:t>
      </w:r>
      <w:r>
        <w:rPr>
          <w:rFonts w:hint="eastAsia" w:ascii="Times New Roman" w:hAnsi="Times New Roman" w:eastAsia="仿宋"/>
          <w:sz w:val="32"/>
          <w:szCs w:val="32"/>
        </w:rPr>
        <w:t>项目方案设计</w:t>
      </w:r>
      <w:r>
        <w:rPr>
          <w:rFonts w:ascii="Times New Roman" w:hAnsi="Times New Roman" w:eastAsia="仿宋"/>
          <w:sz w:val="32"/>
          <w:szCs w:val="32"/>
        </w:rPr>
        <w:t>已取得立项批复，正</w:t>
      </w:r>
      <w:r>
        <w:rPr>
          <w:rFonts w:hint="eastAsia" w:ascii="Times New Roman" w:hAnsi="Times New Roman" w:eastAsia="仿宋"/>
          <w:sz w:val="32"/>
          <w:szCs w:val="32"/>
        </w:rPr>
        <w:t>抓紧</w:t>
      </w:r>
      <w:r>
        <w:rPr>
          <w:rFonts w:ascii="Times New Roman" w:hAnsi="Times New Roman" w:eastAsia="仿宋"/>
          <w:sz w:val="32"/>
          <w:szCs w:val="32"/>
        </w:rPr>
        <w:t>开展初设</w:t>
      </w:r>
      <w:r>
        <w:rPr>
          <w:rFonts w:hint="eastAsia" w:ascii="Times New Roman" w:hAnsi="Times New Roman" w:eastAsia="仿宋"/>
          <w:sz w:val="32"/>
          <w:szCs w:val="32"/>
        </w:rPr>
        <w:t>等</w:t>
      </w:r>
      <w:r>
        <w:rPr>
          <w:rFonts w:ascii="Times New Roman" w:hAnsi="Times New Roman" w:eastAsia="仿宋"/>
          <w:sz w:val="32"/>
          <w:szCs w:val="32"/>
        </w:rPr>
        <w:t>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Times New Roman" w:hAnsi="Times New Roman" w:eastAsia="仿宋"/>
          <w:b w:val="0"/>
          <w:bCs w:val="0"/>
          <w:sz w:val="32"/>
          <w:szCs w:val="32"/>
        </w:rPr>
      </w:pPr>
      <w:r>
        <w:rPr>
          <w:rFonts w:hint="eastAsia" w:eastAsia="仿宋"/>
          <w:b w:val="0"/>
          <w:bCs w:val="0"/>
          <w:sz w:val="32"/>
          <w:szCs w:val="32"/>
          <w:lang w:eastAsia="zh-CN"/>
        </w:rPr>
        <w:t>（</w:t>
      </w:r>
      <w:r>
        <w:rPr>
          <w:rFonts w:hint="eastAsia" w:eastAsia="仿宋"/>
          <w:b w:val="0"/>
          <w:bCs w:val="0"/>
          <w:sz w:val="32"/>
          <w:szCs w:val="32"/>
          <w:lang w:val="en-US" w:eastAsia="zh-CN"/>
        </w:rPr>
        <w:t>2）</w:t>
      </w:r>
      <w:r>
        <w:rPr>
          <w:rFonts w:ascii="Times New Roman" w:hAnsi="Times New Roman" w:eastAsia="仿宋"/>
          <w:b w:val="0"/>
          <w:bCs w:val="0"/>
          <w:sz w:val="32"/>
          <w:szCs w:val="32"/>
        </w:rPr>
        <w:t>抓治理强</w:t>
      </w:r>
      <w:r>
        <w:rPr>
          <w:rFonts w:hint="eastAsia" w:ascii="Times New Roman" w:hAnsi="Times New Roman" w:eastAsia="仿宋"/>
          <w:b w:val="0"/>
          <w:bCs w:val="0"/>
          <w:sz w:val="32"/>
          <w:szCs w:val="32"/>
        </w:rPr>
        <w:t>行业</w:t>
      </w:r>
      <w:r>
        <w:rPr>
          <w:rFonts w:ascii="Times New Roman" w:hAnsi="Times New Roman" w:eastAsia="仿宋"/>
          <w:b w:val="0"/>
          <w:bCs w:val="0"/>
          <w:sz w:val="32"/>
          <w:szCs w:val="32"/>
        </w:rPr>
        <w:t>监管。一是扎实推进河湖长制。</w:t>
      </w:r>
      <w:r>
        <w:rPr>
          <w:rFonts w:hint="eastAsia" w:ascii="Times New Roman" w:hAnsi="Times New Roman" w:eastAsia="仿宋"/>
          <w:b w:val="0"/>
          <w:bCs w:val="0"/>
          <w:sz w:val="32"/>
          <w:szCs w:val="32"/>
        </w:rPr>
        <w:t>市级河长先后125次带队组织市、县相关部门对市管15条主要河流开展现场巡查督导，研究解决河湖治理中的各类重点难点问题；县、乡、村三级河长开展巡河管护12万余次，发现解决问题1.02万余个。</w:t>
      </w:r>
      <w:r>
        <w:rPr>
          <w:rFonts w:ascii="Times New Roman" w:hAnsi="Times New Roman" w:eastAsia="仿宋"/>
          <w:b w:val="0"/>
          <w:bCs w:val="0"/>
          <w:sz w:val="32"/>
          <w:szCs w:val="32"/>
        </w:rPr>
        <w:t>完成省对市河（湖）长制2018年度考核迎检，全市河长制工作及“三江”河长考核结果均为优秀</w:t>
      </w:r>
      <w:r>
        <w:rPr>
          <w:rFonts w:hint="eastAsia" w:ascii="Times New Roman" w:hAnsi="Times New Roman" w:eastAsia="仿宋"/>
          <w:b w:val="0"/>
          <w:bCs w:val="0"/>
          <w:sz w:val="32"/>
          <w:szCs w:val="32"/>
        </w:rPr>
        <w:t>，井研县三江镇在全省河（湖）长制工作推进视频会上再次作经验交流发言</w:t>
      </w:r>
      <w:r>
        <w:rPr>
          <w:rFonts w:ascii="Times New Roman" w:hAnsi="Times New Roman" w:eastAsia="仿宋"/>
          <w:b w:val="0"/>
          <w:bCs w:val="0"/>
          <w:sz w:val="32"/>
          <w:szCs w:val="32"/>
        </w:rPr>
        <w:t>。</w:t>
      </w:r>
      <w:r>
        <w:rPr>
          <w:rFonts w:hint="eastAsia" w:ascii="Times New Roman" w:hAnsi="Times New Roman" w:eastAsia="仿宋"/>
          <w:b w:val="0"/>
          <w:bCs w:val="0"/>
          <w:sz w:val="32"/>
          <w:szCs w:val="32"/>
        </w:rPr>
        <w:t>二是扎实开展河湖管护。初步完成岷江、青衣江、大渡河等3条省管河流管理保护范围划定，预计年底前完成流域面积1000k㎡以上河流管护范围划定。</w:t>
      </w:r>
      <w:r>
        <w:rPr>
          <w:rFonts w:ascii="Times New Roman" w:hAnsi="Times New Roman" w:eastAsia="仿宋"/>
          <w:b w:val="0"/>
          <w:bCs w:val="0"/>
          <w:sz w:val="32"/>
          <w:szCs w:val="32"/>
        </w:rPr>
        <w:t>积极开展“清四乱”专项行动，全市共清理河湖“四乱”点位123个，完成整改销号123个。按“消化存量”“只减不增”的原则，已完成</w:t>
      </w:r>
      <w:r>
        <w:rPr>
          <w:rFonts w:hint="eastAsia" w:ascii="Times New Roman" w:hAnsi="Times New Roman" w:eastAsia="仿宋"/>
          <w:b w:val="0"/>
          <w:bCs w:val="0"/>
          <w:sz w:val="32"/>
          <w:szCs w:val="32"/>
        </w:rPr>
        <w:t>89</w:t>
      </w:r>
      <w:r>
        <w:rPr>
          <w:rFonts w:ascii="Times New Roman" w:hAnsi="Times New Roman" w:eastAsia="仿宋"/>
          <w:b w:val="0"/>
          <w:bCs w:val="0"/>
          <w:sz w:val="32"/>
          <w:szCs w:val="32"/>
        </w:rPr>
        <w:t>家砂石加工厂（堆放场）取缔。三是全面加强水资源管理。积极配合开展大渡河、青衣江流域水资源调度方案编制，狠抓执行确保河流生态流量足额</w:t>
      </w:r>
      <w:r>
        <w:rPr>
          <w:rFonts w:hint="eastAsia" w:ascii="Times New Roman" w:hAnsi="Times New Roman" w:eastAsia="仿宋"/>
          <w:b w:val="0"/>
          <w:bCs w:val="0"/>
          <w:sz w:val="32"/>
          <w:szCs w:val="32"/>
        </w:rPr>
        <w:t>下泄</w:t>
      </w:r>
      <w:r>
        <w:rPr>
          <w:rFonts w:ascii="Times New Roman" w:hAnsi="Times New Roman" w:eastAsia="仿宋"/>
          <w:b w:val="0"/>
          <w:bCs w:val="0"/>
          <w:sz w:val="32"/>
          <w:szCs w:val="32"/>
        </w:rPr>
        <w:t>。完成核查登记取水工程4348个，登记取水项目 3646个；新办、延续、变更取水许可251个。四是全面加强水土保持监管。全面部署实施长江经济带水土保持监督执法专项行动，强化生产建设项目水土保持监督管理，落实生产建设项目水土保持“三同时”制度。治理水土流失</w:t>
      </w:r>
      <w:r>
        <w:rPr>
          <w:rFonts w:hint="eastAsia" w:ascii="Times New Roman" w:hAnsi="Times New Roman" w:eastAsia="仿宋"/>
          <w:b w:val="0"/>
          <w:bCs w:val="0"/>
          <w:sz w:val="32"/>
          <w:szCs w:val="32"/>
        </w:rPr>
        <w:t>面积194.52</w:t>
      </w:r>
      <w:r>
        <w:rPr>
          <w:rFonts w:ascii="Times New Roman" w:hAnsi="Times New Roman" w:eastAsia="仿宋"/>
          <w:b w:val="0"/>
          <w:bCs w:val="0"/>
          <w:sz w:val="32"/>
          <w:szCs w:val="32"/>
        </w:rPr>
        <w:t>平方公里。五是狠抓饮水工程</w:t>
      </w:r>
      <w:r>
        <w:rPr>
          <w:rFonts w:hint="eastAsia" w:ascii="Times New Roman" w:hAnsi="Times New Roman" w:eastAsia="仿宋"/>
          <w:b w:val="0"/>
          <w:bCs w:val="0"/>
          <w:sz w:val="32"/>
          <w:szCs w:val="32"/>
        </w:rPr>
        <w:t>建后管护</w:t>
      </w:r>
      <w:r>
        <w:rPr>
          <w:rFonts w:ascii="Times New Roman" w:hAnsi="Times New Roman" w:eastAsia="仿宋"/>
          <w:b w:val="0"/>
          <w:bCs w:val="0"/>
          <w:sz w:val="32"/>
          <w:szCs w:val="32"/>
        </w:rPr>
        <w:t>。</w:t>
      </w:r>
      <w:r>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t>11个区县全部落实农村饮水安全管理“三项责任”，各地已成立农村饮水安全县级管理机构、出台了县级农村供水工程运行管理办法、落实了县级农村饮水工程运管理经费</w:t>
      </w:r>
      <w:r>
        <w:rPr>
          <w:rFonts w:ascii="Times New Roman" w:hAnsi="Times New Roman" w:eastAsia="仿宋"/>
          <w:b w:val="0"/>
          <w:bCs w:val="0"/>
          <w:sz w:val="32"/>
          <w:szCs w:val="32"/>
        </w:rPr>
        <w:t>，</w:t>
      </w:r>
      <w:r>
        <w:rPr>
          <w:rFonts w:hint="eastAsia" w:ascii="Times New Roman" w:hAnsi="Times New Roman" w:eastAsia="仿宋"/>
          <w:b w:val="0"/>
          <w:bCs w:val="0"/>
          <w:sz w:val="32"/>
          <w:szCs w:val="32"/>
        </w:rPr>
        <w:t>农村饮水工程建后管护迈出了坚实的步伐</w:t>
      </w:r>
      <w:r>
        <w:rPr>
          <w:rFonts w:ascii="Times New Roman" w:hAnsi="Times New Roman" w:eastAsia="仿宋"/>
          <w:b w:val="0"/>
          <w:bCs w:val="0"/>
          <w:sz w:val="32"/>
          <w:szCs w:val="32"/>
        </w:rPr>
        <w:t>。</w:t>
      </w:r>
      <w:r>
        <w:rPr>
          <w:rFonts w:hint="eastAsia" w:ascii="Times New Roman" w:hAnsi="Times New Roman" w:eastAsia="仿宋"/>
          <w:b w:val="0"/>
          <w:bCs w:val="0"/>
          <w:sz w:val="32"/>
          <w:szCs w:val="32"/>
        </w:rPr>
        <w:t>六是</w:t>
      </w:r>
      <w:r>
        <w:rPr>
          <w:rFonts w:ascii="Times New Roman" w:hAnsi="Times New Roman" w:eastAsia="仿宋"/>
          <w:b w:val="0"/>
          <w:bCs w:val="0"/>
          <w:sz w:val="32"/>
          <w:szCs w:val="32"/>
        </w:rPr>
        <w:t>全面打赢防汛减灾硬仗。</w:t>
      </w:r>
      <w:r>
        <w:rPr>
          <w:rFonts w:hint="eastAsia" w:ascii="Times New Roman" w:hAnsi="Times New Roman" w:eastAsia="仿宋"/>
          <w:b w:val="0"/>
          <w:bCs w:val="0"/>
          <w:sz w:val="32"/>
          <w:szCs w:val="32"/>
        </w:rPr>
        <w:t>坚持</w:t>
      </w:r>
      <w:r>
        <w:rPr>
          <w:rFonts w:ascii="Times New Roman" w:hAnsi="Times New Roman" w:eastAsia="仿宋"/>
          <w:b w:val="0"/>
          <w:bCs w:val="0"/>
          <w:sz w:val="32"/>
          <w:szCs w:val="32"/>
        </w:rPr>
        <w:t>把防灾减灾救灾作为压倒性中心任务，查隐患、防风险，建机制、补短板，防汛救灾措施得力、应对有序，实现了水库水电站无一垮坝、堤防无一决口、无群死群伤的防汛减灾工作目标。</w:t>
      </w:r>
      <w:r>
        <w:rPr>
          <w:rFonts w:hint="eastAsia" w:ascii="Times New Roman" w:hAnsi="Times New Roman" w:eastAsia="仿宋"/>
          <w:b w:val="0"/>
          <w:bCs w:val="0"/>
          <w:sz w:val="32"/>
          <w:szCs w:val="32"/>
        </w:rPr>
        <w:t>市水务局被省委省政府评为2018年度防汛抗旱减灾先进集体。</w:t>
      </w:r>
    </w:p>
    <w:p>
      <w:pPr>
        <w:pStyle w:val="3"/>
        <w:pageBreakBefore w:val="0"/>
        <w:kinsoku/>
        <w:wordWrap/>
        <w:overflowPunct/>
        <w:topLinePunct w:val="0"/>
        <w:bidi w:val="0"/>
        <w:spacing w:line="590" w:lineRule="exact"/>
        <w:ind w:firstLine="0" w:firstLineChars="0"/>
        <w:rPr>
          <w:rStyle w:val="26"/>
          <w:b w:val="0"/>
          <w:bCs w:val="0"/>
        </w:rPr>
      </w:pPr>
      <w:bookmarkStart w:id="59" w:name="_Toc28350_WPSOffice_Level2"/>
      <w:bookmarkStart w:id="60" w:name="_Toc15377200"/>
      <w:bookmarkStart w:id="61" w:name="_Toc15396601"/>
      <w:r>
        <w:rPr>
          <w:rFonts w:hint="eastAsia" w:ascii="黑体" w:eastAsia="黑体"/>
          <w:b w:val="0"/>
          <w:color w:val="000000"/>
        </w:rPr>
        <w:t>二、</w:t>
      </w:r>
      <w:r>
        <w:rPr>
          <w:rFonts w:hint="eastAsia" w:ascii="黑体" w:hAnsi="黑体" w:eastAsia="黑体"/>
          <w:b w:val="0"/>
          <w:color w:val="000000"/>
        </w:rPr>
        <w:t>机</w:t>
      </w:r>
      <w:r>
        <w:rPr>
          <w:rStyle w:val="26"/>
          <w:rFonts w:hint="eastAsia" w:ascii="黑体" w:hAnsi="黑体" w:eastAsia="黑体"/>
          <w:b w:val="0"/>
          <w:bCs w:val="0"/>
        </w:rPr>
        <w:t>构设置</w:t>
      </w:r>
      <w:bookmarkEnd w:id="59"/>
      <w:bookmarkEnd w:id="60"/>
      <w:bookmarkEnd w:id="6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b w:val="0"/>
          <w:bCs w:val="0"/>
          <w:sz w:val="32"/>
          <w:szCs w:val="32"/>
        </w:rPr>
      </w:pPr>
      <w:r>
        <w:rPr>
          <w:rFonts w:hint="eastAsia" w:ascii="Times New Roman" w:hAnsi="Times New Roman" w:eastAsia="仿宋"/>
          <w:b w:val="0"/>
          <w:bCs w:val="0"/>
          <w:sz w:val="32"/>
          <w:szCs w:val="32"/>
          <w:lang w:eastAsia="zh-CN"/>
        </w:rPr>
        <w:t>乐山市水务局</w:t>
      </w:r>
      <w:r>
        <w:rPr>
          <w:rFonts w:hint="eastAsia" w:ascii="Times New Roman" w:hAnsi="Times New Roman" w:eastAsia="仿宋"/>
          <w:b w:val="0"/>
          <w:bCs w:val="0"/>
          <w:sz w:val="32"/>
          <w:szCs w:val="32"/>
        </w:rPr>
        <w:t>下属二级单位</w:t>
      </w:r>
      <w:r>
        <w:rPr>
          <w:rFonts w:hint="eastAsia" w:ascii="Times New Roman" w:hAnsi="Times New Roman" w:eastAsia="仿宋"/>
          <w:b w:val="0"/>
          <w:bCs w:val="0"/>
          <w:sz w:val="32"/>
          <w:szCs w:val="32"/>
          <w:lang w:val="en-US" w:eastAsia="zh-CN"/>
        </w:rPr>
        <w:t>12</w:t>
      </w:r>
      <w:r>
        <w:rPr>
          <w:rFonts w:hint="eastAsia" w:ascii="Times New Roman" w:hAnsi="Times New Roman" w:eastAsia="仿宋"/>
          <w:b w:val="0"/>
          <w:bCs w:val="0"/>
          <w:sz w:val="32"/>
          <w:szCs w:val="32"/>
        </w:rPr>
        <w:t>个，其中行政单位</w:t>
      </w:r>
      <w:r>
        <w:rPr>
          <w:rFonts w:hint="eastAsia" w:ascii="Times New Roman" w:hAnsi="Times New Roman" w:eastAsia="仿宋"/>
          <w:b w:val="0"/>
          <w:bCs w:val="0"/>
          <w:sz w:val="32"/>
          <w:szCs w:val="32"/>
          <w:lang w:val="en-US" w:eastAsia="zh-CN"/>
        </w:rPr>
        <w:t>1</w:t>
      </w:r>
      <w:r>
        <w:rPr>
          <w:rFonts w:hint="eastAsia" w:ascii="Times New Roman" w:hAnsi="Times New Roman" w:eastAsia="仿宋"/>
          <w:b w:val="0"/>
          <w:bCs w:val="0"/>
          <w:sz w:val="32"/>
          <w:szCs w:val="32"/>
        </w:rPr>
        <w:t>个，参照公务员法管理的事业单位</w:t>
      </w:r>
      <w:r>
        <w:rPr>
          <w:rFonts w:hint="eastAsia" w:ascii="Times New Roman" w:hAnsi="Times New Roman" w:eastAsia="仿宋"/>
          <w:b w:val="0"/>
          <w:bCs w:val="0"/>
          <w:sz w:val="32"/>
          <w:szCs w:val="32"/>
          <w:lang w:val="en-US" w:eastAsia="zh-CN"/>
        </w:rPr>
        <w:t>2</w:t>
      </w:r>
      <w:r>
        <w:rPr>
          <w:rFonts w:hint="eastAsia" w:ascii="Times New Roman" w:hAnsi="Times New Roman" w:eastAsia="仿宋"/>
          <w:b w:val="0"/>
          <w:bCs w:val="0"/>
          <w:sz w:val="32"/>
          <w:szCs w:val="32"/>
        </w:rPr>
        <w:t>个，其他事业单位</w:t>
      </w:r>
      <w:r>
        <w:rPr>
          <w:rFonts w:hint="eastAsia" w:ascii="Times New Roman" w:hAnsi="Times New Roman" w:eastAsia="仿宋"/>
          <w:b w:val="0"/>
          <w:bCs w:val="0"/>
          <w:sz w:val="32"/>
          <w:szCs w:val="32"/>
          <w:lang w:val="en-US" w:eastAsia="zh-CN"/>
        </w:rPr>
        <w:t>9</w:t>
      </w:r>
      <w:r>
        <w:rPr>
          <w:rFonts w:hint="eastAsia" w:ascii="Times New Roman" w:hAnsi="Times New Roman" w:eastAsia="仿宋"/>
          <w:b w:val="0"/>
          <w:bCs w:val="0"/>
          <w:sz w:val="32"/>
          <w:szCs w:val="32"/>
        </w:rPr>
        <w:t>个。</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b w:val="0"/>
          <w:bCs w:val="0"/>
          <w:sz w:val="32"/>
          <w:szCs w:val="32"/>
        </w:rPr>
      </w:pPr>
      <w:r>
        <w:rPr>
          <w:rFonts w:hint="eastAsia" w:ascii="Times New Roman" w:hAnsi="Times New Roman" w:eastAsia="仿宋"/>
          <w:b w:val="0"/>
          <w:bCs w:val="0"/>
          <w:sz w:val="32"/>
          <w:szCs w:val="32"/>
        </w:rPr>
        <w:t>纳入</w:t>
      </w:r>
      <w:r>
        <w:rPr>
          <w:rFonts w:hint="eastAsia" w:ascii="Times New Roman" w:hAnsi="Times New Roman" w:eastAsia="仿宋"/>
          <w:b w:val="0"/>
          <w:bCs w:val="0"/>
          <w:sz w:val="32"/>
          <w:szCs w:val="32"/>
          <w:lang w:eastAsia="zh-CN"/>
        </w:rPr>
        <w:t>乐山市水务局</w:t>
      </w:r>
      <w:r>
        <w:rPr>
          <w:rFonts w:hint="eastAsia" w:ascii="Times New Roman" w:hAnsi="Times New Roman" w:eastAsia="仿宋"/>
          <w:b w:val="0"/>
          <w:bCs w:val="0"/>
          <w:sz w:val="32"/>
          <w:szCs w:val="32"/>
        </w:rPr>
        <w:t>2019年度部门决算编制范围的二级预算单位包括：</w:t>
      </w:r>
    </w:p>
    <w:p>
      <w:pPr>
        <w:keepNext w:val="0"/>
        <w:keepLines w:val="0"/>
        <w:pageBreakBefore w:val="0"/>
        <w:widowControl w:val="0"/>
        <w:numPr>
          <w:ilvl w:val="0"/>
          <w:numId w:val="2"/>
        </w:numPr>
        <w:kinsoku/>
        <w:wordWrap/>
        <w:overflowPunct/>
        <w:topLinePunct w:val="0"/>
        <w:autoSpaceDE/>
        <w:autoSpaceDN/>
        <w:bidi w:val="0"/>
        <w:spacing w:line="600" w:lineRule="exact"/>
        <w:ind w:left="641" w:leftChars="0" w:hanging="219" w:firstLineChars="0"/>
        <w:textAlignment w:val="auto"/>
        <w:rPr>
          <w:rFonts w:ascii="Times New Roman" w:hAnsi="Times New Roman" w:eastAsia="仿宋"/>
          <w:b w:val="0"/>
          <w:bCs w:val="0"/>
          <w:sz w:val="32"/>
          <w:szCs w:val="32"/>
        </w:rPr>
      </w:pPr>
      <w:bookmarkStart w:id="62" w:name="_Toc15306276"/>
      <w:bookmarkStart w:id="63" w:name="_Toc15377433"/>
      <w:bookmarkStart w:id="64" w:name="_Toc15377202"/>
      <w:bookmarkStart w:id="65" w:name="_Toc15378449"/>
      <w:r>
        <w:rPr>
          <w:rFonts w:hint="eastAsia" w:ascii="Times New Roman" w:hAnsi="Times New Roman" w:eastAsia="仿宋"/>
          <w:b w:val="0"/>
          <w:bCs w:val="0"/>
          <w:sz w:val="32"/>
          <w:szCs w:val="32"/>
          <w:lang w:eastAsia="zh-CN"/>
        </w:rPr>
        <w:t>乐山市水务局机关</w:t>
      </w:r>
      <w:bookmarkEnd w:id="62"/>
      <w:bookmarkEnd w:id="63"/>
      <w:bookmarkEnd w:id="64"/>
      <w:bookmarkEnd w:id="65"/>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乐山市水政监察支队</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乐山市水利工程建设质量与安全监督站</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乐山市水利管理处</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乐山水土保持生态环境监测分站</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乐山市河湖管理站</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四川省青衣江乐山灌区（流域）管理局</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乐山市水利电力建筑勘察设计研究院</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乐山市高中水库管理处</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19" w:firstLineChars="0"/>
        <w:textAlignment w:val="auto"/>
        <w:outlineLvl w:val="2"/>
        <w:rPr>
          <w:rFonts w:hint="eastAsia" w:ascii="仿宋" w:hAnsi="仿宋" w:eastAsia="仿宋"/>
          <w:color w:val="000000"/>
          <w:sz w:val="32"/>
          <w:szCs w:val="32"/>
          <w:lang w:eastAsia="zh-CN"/>
        </w:rPr>
      </w:pPr>
      <w:r>
        <w:rPr>
          <w:rFonts w:hint="eastAsia" w:ascii="仿宋" w:hAnsi="仿宋" w:eastAsia="仿宋"/>
          <w:color w:val="000000"/>
          <w:sz w:val="32"/>
          <w:szCs w:val="32"/>
          <w:lang w:eastAsia="zh-CN"/>
        </w:rPr>
        <w:t>乐山市沫江堰管理处</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21"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乐山市跃进渠保护服务中心</w:t>
      </w: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before="93" w:line="600" w:lineRule="exact"/>
        <w:ind w:left="641" w:leftChars="0" w:hanging="221" w:firstLineChars="0"/>
        <w:textAlignment w:val="auto"/>
        <w:outlineLvl w:val="2"/>
        <w:rPr>
          <w:rFonts w:ascii="仿宋" w:hAnsi="仿宋" w:eastAsia="仿宋"/>
          <w:color w:val="000000"/>
          <w:sz w:val="32"/>
          <w:szCs w:val="32"/>
        </w:rPr>
      </w:pPr>
      <w:r>
        <w:rPr>
          <w:rFonts w:hint="eastAsia" w:ascii="仿宋" w:hAnsi="仿宋" w:eastAsia="仿宋"/>
          <w:color w:val="000000"/>
          <w:sz w:val="32"/>
          <w:szCs w:val="32"/>
          <w:lang w:eastAsia="zh-CN"/>
        </w:rPr>
        <w:t>乐山市东风堰管理处</w:t>
      </w:r>
    </w:p>
    <w:p>
      <w:pPr>
        <w:pStyle w:val="5"/>
        <w:pageBreakBefore w:val="0"/>
        <w:numPr>
          <w:ilvl w:val="0"/>
          <w:numId w:val="0"/>
        </w:numPr>
        <w:kinsoku/>
        <w:wordWrap/>
        <w:overflowPunct/>
        <w:topLinePunct w:val="0"/>
        <w:bidi w:val="0"/>
        <w:adjustRightInd w:val="0"/>
        <w:snapToGrid w:val="0"/>
        <w:spacing w:before="93" w:line="590" w:lineRule="exact"/>
        <w:ind w:left="672" w:leftChars="0" w:firstLine="0" w:firstLineChars="0"/>
        <w:outlineLvl w:val="2"/>
        <w:rPr>
          <w:rFonts w:ascii="仿宋" w:hAnsi="仿宋" w:eastAsia="仿宋"/>
          <w:color w:val="000000"/>
          <w:sz w:val="32"/>
          <w:szCs w:val="32"/>
        </w:rPr>
      </w:pPr>
    </w:p>
    <w:p>
      <w:pPr>
        <w:pageBreakBefore w:val="0"/>
        <w:widowControl/>
        <w:kinsoku/>
        <w:wordWrap/>
        <w:overflowPunct/>
        <w:topLinePunct w:val="0"/>
        <w:bidi w:val="0"/>
        <w:spacing w:line="590" w:lineRule="exact"/>
        <w:ind w:firstLine="0" w:firstLineChars="0"/>
        <w:jc w:val="left"/>
        <w:rPr>
          <w:rFonts w:ascii="仿宋" w:hAnsi="仿宋" w:eastAsia="仿宋"/>
          <w:color w:val="000000"/>
          <w:kern w:val="0"/>
          <w:sz w:val="32"/>
          <w:szCs w:val="32"/>
        </w:rPr>
      </w:pPr>
      <w:r>
        <w:rPr>
          <w:rFonts w:ascii="仿宋" w:hAnsi="仿宋" w:eastAsia="仿宋"/>
          <w:color w:val="000000"/>
          <w:sz w:val="32"/>
          <w:szCs w:val="32"/>
        </w:rPr>
        <w:br w:type="page"/>
      </w:r>
    </w:p>
    <w:p>
      <w:pPr>
        <w:pStyle w:val="2"/>
        <w:pageBreakBefore w:val="0"/>
        <w:kinsoku/>
        <w:wordWrap/>
        <w:overflowPunct/>
        <w:topLinePunct w:val="0"/>
        <w:bidi w:val="0"/>
        <w:spacing w:line="590" w:lineRule="exact"/>
        <w:ind w:right="440" w:firstLine="0" w:firstLineChars="0"/>
        <w:jc w:val="right"/>
        <w:rPr>
          <w:rStyle w:val="25"/>
          <w:rFonts w:ascii="黑体" w:hAnsi="黑体" w:eastAsia="黑体"/>
          <w:b w:val="0"/>
          <w:bCs w:val="0"/>
        </w:rPr>
      </w:pPr>
      <w:bookmarkStart w:id="66" w:name="_Toc17854_WPSOffice_Level1"/>
      <w:bookmarkStart w:id="67" w:name="_Toc15396602"/>
      <w:bookmarkStart w:id="68" w:name="_Toc15377204"/>
      <w:r>
        <w:rPr>
          <w:rFonts w:hint="eastAsia" w:ascii="黑体" w:hAnsi="黑体" w:eastAsia="黑体"/>
          <w:b w:val="0"/>
          <w:color w:val="000000"/>
        </w:rPr>
        <w:t>第二部分</w:t>
      </w:r>
      <w:r>
        <w:rPr>
          <w:rFonts w:hint="eastAsia" w:ascii="黑体" w:hAnsi="黑体" w:eastAsia="黑体"/>
          <w:color w:val="000000"/>
        </w:rPr>
        <w:t xml:space="preserve"> </w:t>
      </w:r>
      <w:r>
        <w:rPr>
          <w:rStyle w:val="25"/>
          <w:rFonts w:hint="eastAsia" w:ascii="黑体" w:hAnsi="黑体" w:eastAsia="黑体"/>
          <w:b w:val="0"/>
          <w:bCs w:val="0"/>
        </w:rPr>
        <w:t>2019年度部门决算情况说明</w:t>
      </w:r>
      <w:bookmarkEnd w:id="66"/>
      <w:bookmarkEnd w:id="67"/>
      <w:bookmarkEnd w:id="68"/>
    </w:p>
    <w:p>
      <w:pPr>
        <w:pageBreakBefore w:val="0"/>
        <w:kinsoku/>
        <w:wordWrap/>
        <w:overflowPunct/>
        <w:topLinePunct w:val="0"/>
        <w:bidi w:val="0"/>
        <w:spacing w:line="590" w:lineRule="exact"/>
        <w:ind w:firstLine="0" w:firstLineChars="0"/>
      </w:pPr>
    </w:p>
    <w:p>
      <w:pPr>
        <w:pStyle w:val="24"/>
        <w:keepNext w:val="0"/>
        <w:keepLines w:val="0"/>
        <w:pageBreakBefore w:val="0"/>
        <w:widowControl w:val="0"/>
        <w:numPr>
          <w:ilvl w:val="0"/>
          <w:numId w:val="3"/>
        </w:numPr>
        <w:kinsoku/>
        <w:wordWrap/>
        <w:overflowPunct/>
        <w:topLinePunct w:val="0"/>
        <w:autoSpaceDE/>
        <w:autoSpaceDN/>
        <w:bidi w:val="0"/>
        <w:adjustRightInd/>
        <w:snapToGrid/>
        <w:spacing w:line="600" w:lineRule="exact"/>
        <w:ind w:left="1055" w:leftChars="312" w:hanging="400" w:hangingChars="125"/>
        <w:jc w:val="left"/>
        <w:textAlignment w:val="auto"/>
        <w:outlineLvl w:val="1"/>
        <w:rPr>
          <w:rStyle w:val="26"/>
          <w:rFonts w:ascii="黑体" w:hAnsi="黑体" w:eastAsia="黑体"/>
          <w:b w:val="0"/>
        </w:rPr>
      </w:pPr>
      <w:bookmarkStart w:id="69" w:name="_Toc15377205"/>
      <w:bookmarkStart w:id="70" w:name="_Toc5909_WPSOffice_Level2"/>
      <w:bookmarkStart w:id="71" w:name="_Toc15396603"/>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69"/>
      <w:bookmarkEnd w:id="70"/>
      <w:bookmarkEnd w:id="71"/>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olor w:val="000000"/>
          <w:sz w:val="32"/>
          <w:szCs w:val="32"/>
          <w:lang w:val="en-US" w:eastAsia="zh-CN"/>
        </w:rPr>
      </w:pPr>
      <w:r>
        <w:rPr>
          <w:rFonts w:hint="eastAsia" w:ascii="仿宋" w:hAnsi="仿宋" w:eastAsia="仿宋"/>
          <w:color w:val="000000"/>
          <w:sz w:val="32"/>
          <w:szCs w:val="32"/>
        </w:rPr>
        <w:t>2019年度收、支总计</w:t>
      </w:r>
      <w:r>
        <w:rPr>
          <w:rFonts w:hint="eastAsia" w:ascii="仿宋" w:hAnsi="仿宋" w:eastAsia="仿宋"/>
          <w:color w:val="000000"/>
          <w:sz w:val="32"/>
          <w:szCs w:val="32"/>
          <w:lang w:eastAsia="zh-CN"/>
        </w:rPr>
        <w:t>各</w:t>
      </w:r>
      <w:r>
        <w:rPr>
          <w:rFonts w:hint="eastAsia" w:ascii="仿宋" w:hAnsi="仿宋" w:eastAsia="仿宋"/>
          <w:color w:val="000000"/>
          <w:sz w:val="32"/>
          <w:szCs w:val="32"/>
          <w:lang w:val="en-US" w:eastAsia="zh-CN"/>
        </w:rPr>
        <w:t>12871.62</w:t>
      </w:r>
      <w:r>
        <w:rPr>
          <w:rFonts w:hint="eastAsia" w:ascii="仿宋" w:hAnsi="仿宋" w:eastAsia="仿宋"/>
          <w:color w:val="000000"/>
          <w:sz w:val="32"/>
          <w:szCs w:val="32"/>
        </w:rPr>
        <w:t>万元。与2018年相比，收、支总计各减少</w:t>
      </w:r>
      <w:r>
        <w:rPr>
          <w:rFonts w:hint="eastAsia" w:ascii="仿宋" w:hAnsi="仿宋" w:eastAsia="仿宋"/>
          <w:color w:val="000000"/>
          <w:sz w:val="32"/>
          <w:szCs w:val="32"/>
          <w:lang w:val="en-US" w:eastAsia="zh-CN"/>
        </w:rPr>
        <w:t>8334.91</w:t>
      </w:r>
      <w:r>
        <w:rPr>
          <w:rFonts w:hint="eastAsia" w:ascii="仿宋" w:hAnsi="仿宋" w:eastAsia="仿宋"/>
          <w:color w:val="000000"/>
          <w:sz w:val="32"/>
          <w:szCs w:val="32"/>
        </w:rPr>
        <w:t>万元，下降</w:t>
      </w:r>
      <w:r>
        <w:rPr>
          <w:rFonts w:hint="eastAsia" w:ascii="仿宋" w:hAnsi="仿宋" w:eastAsia="仿宋"/>
          <w:color w:val="000000"/>
          <w:sz w:val="32"/>
          <w:szCs w:val="32"/>
          <w:lang w:val="en-US" w:eastAsia="zh-CN"/>
        </w:rPr>
        <w:t>39.3</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color w:val="000000"/>
          <w:sz w:val="32"/>
          <w:szCs w:val="32"/>
          <w:highlight w:val="none"/>
        </w:rPr>
        <w:t>主要变动原因是</w:t>
      </w:r>
      <w:r>
        <w:rPr>
          <w:rFonts w:hint="eastAsia" w:ascii="仿宋" w:hAnsi="仿宋" w:eastAsia="仿宋"/>
          <w:color w:val="000000"/>
          <w:sz w:val="32"/>
          <w:szCs w:val="32"/>
          <w:highlight w:val="none"/>
          <w:lang w:eastAsia="zh-CN"/>
        </w:rPr>
        <w:t>青衣江续建配套与节水改造项目部分标段在</w:t>
      </w:r>
      <w:r>
        <w:rPr>
          <w:rFonts w:hint="eastAsia" w:ascii="仿宋" w:hAnsi="仿宋" w:eastAsia="仿宋"/>
          <w:color w:val="000000"/>
          <w:sz w:val="32"/>
          <w:szCs w:val="32"/>
          <w:highlight w:val="none"/>
          <w:lang w:val="en-US" w:eastAsia="zh-CN"/>
        </w:rPr>
        <w:t>2018年整体工程完工，导致水利工程建设支出下降幅度较大；2019年年底应返还额度较2018年应返还额度减少2239.14元。</w:t>
      </w:r>
    </w:p>
    <w:p>
      <w:pPr>
        <w:pageBreakBefore w:val="0"/>
        <w:kinsoku/>
        <w:wordWrap/>
        <w:overflowPunct/>
        <w:topLinePunct w:val="0"/>
        <w:bidi w:val="0"/>
        <w:spacing w:line="590" w:lineRule="exact"/>
        <w:ind w:firstLine="0" w:firstLineChars="0"/>
        <w:jc w:val="left"/>
        <w:rPr>
          <w:rFonts w:ascii="仿宋_GB2312" w:eastAsia="仿宋_GB2312"/>
          <w:color w:val="000000"/>
          <w:sz w:val="32"/>
          <w:szCs w:val="32"/>
        </w:rPr>
      </w:pPr>
      <w:r>
        <w:drawing>
          <wp:anchor distT="0" distB="0" distL="114300" distR="114300" simplePos="0" relativeHeight="251658240" behindDoc="0" locked="0" layoutInCell="1" allowOverlap="1">
            <wp:simplePos x="0" y="0"/>
            <wp:positionH relativeFrom="column">
              <wp:posOffset>242570</wp:posOffset>
            </wp:positionH>
            <wp:positionV relativeFrom="paragraph">
              <wp:posOffset>204470</wp:posOffset>
            </wp:positionV>
            <wp:extent cx="4572000" cy="2743835"/>
            <wp:effectExtent l="4445" t="4445" r="14605" b="13970"/>
            <wp:wrapTopAndBottom/>
            <wp:docPr id="106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pPr>
        <w:pStyle w:val="24"/>
        <w:keepNext w:val="0"/>
        <w:keepLines w:val="0"/>
        <w:pageBreakBefore w:val="0"/>
        <w:widowControl w:val="0"/>
        <w:numPr>
          <w:ilvl w:val="0"/>
          <w:numId w:val="3"/>
        </w:numPr>
        <w:kinsoku/>
        <w:wordWrap/>
        <w:overflowPunct/>
        <w:topLinePunct w:val="0"/>
        <w:autoSpaceDE/>
        <w:autoSpaceDN/>
        <w:bidi w:val="0"/>
        <w:adjustRightInd/>
        <w:snapToGrid/>
        <w:spacing w:line="600" w:lineRule="exact"/>
        <w:ind w:left="1056" w:leftChars="305" w:hanging="416" w:hangingChars="130"/>
        <w:textAlignment w:val="auto"/>
        <w:outlineLvl w:val="1"/>
        <w:rPr>
          <w:rStyle w:val="26"/>
          <w:rFonts w:ascii="黑体" w:hAnsi="黑体" w:eastAsia="黑体"/>
          <w:b w:val="0"/>
        </w:rPr>
      </w:pPr>
      <w:bookmarkStart w:id="72" w:name="_Toc15377206"/>
      <w:bookmarkStart w:id="73" w:name="_Toc19834_WPSOffice_Level2"/>
      <w:bookmarkStart w:id="74" w:name="_Toc15396604"/>
      <w:r>
        <w:rPr>
          <w:rFonts w:hint="eastAsia" w:ascii="黑体" w:hAnsi="黑体" w:eastAsia="黑体"/>
          <w:color w:val="000000"/>
          <w:sz w:val="32"/>
          <w:szCs w:val="32"/>
        </w:rPr>
        <w:t>收</w:t>
      </w:r>
      <w:r>
        <w:rPr>
          <w:rStyle w:val="26"/>
          <w:rFonts w:hint="eastAsia" w:ascii="黑体" w:hAnsi="黑体" w:eastAsia="黑体"/>
          <w:b w:val="0"/>
        </w:rPr>
        <w:t>入决算情况说明</w:t>
      </w:r>
      <w:bookmarkEnd w:id="72"/>
      <w:bookmarkEnd w:id="73"/>
      <w:bookmarkEnd w:id="74"/>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9年本年收入合计</w:t>
      </w:r>
      <w:r>
        <w:rPr>
          <w:rFonts w:hint="eastAsia" w:ascii="仿宋" w:hAnsi="仿宋" w:eastAsia="仿宋"/>
          <w:color w:val="000000"/>
          <w:sz w:val="32"/>
          <w:szCs w:val="32"/>
          <w:lang w:val="en-US" w:eastAsia="zh-CN"/>
        </w:rPr>
        <w:t>8929.96</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5598.56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62.69</w:t>
      </w:r>
      <w:r>
        <w:rPr>
          <w:rFonts w:ascii="仿宋" w:hAnsi="仿宋" w:eastAsia="仿宋"/>
          <w:color w:val="000000"/>
          <w:sz w:val="32"/>
          <w:szCs w:val="32"/>
        </w:rPr>
        <w:t>%</w:t>
      </w:r>
      <w:r>
        <w:rPr>
          <w:rFonts w:hint="eastAsia" w:ascii="仿宋" w:hAnsi="仿宋" w:eastAsia="仿宋"/>
          <w:color w:val="000000"/>
          <w:sz w:val="32"/>
          <w:szCs w:val="32"/>
        </w:rPr>
        <w:t>；政府性基金预算财政拨款收入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color w:val="000000" w:themeColor="text1"/>
          <w:sz w:val="32"/>
          <w:szCs w:val="32"/>
          <w14:textFill>
            <w14:solidFill>
              <w14:schemeClr w14:val="tx1"/>
            </w14:solidFill>
          </w14:textFill>
        </w:rPr>
        <w:t>上级补助收入</w:t>
      </w:r>
      <w:r>
        <w:rPr>
          <w:rFonts w:hint="eastAsia" w:ascii="仿宋" w:hAnsi="仿宋" w:eastAsia="仿宋"/>
          <w:color w:val="000000" w:themeColor="text1"/>
          <w:sz w:val="32"/>
          <w:szCs w:val="32"/>
          <w:lang w:val="en-US" w:eastAsia="zh-CN"/>
          <w14:textFill>
            <w14:solidFill>
              <w14:schemeClr w14:val="tx1"/>
            </w14:solidFill>
          </w14:textFill>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；事业收入</w:t>
      </w:r>
      <w:r>
        <w:rPr>
          <w:rFonts w:hint="eastAsia" w:ascii="仿宋" w:hAnsi="仿宋" w:eastAsia="仿宋"/>
          <w:color w:val="000000"/>
          <w:sz w:val="32"/>
          <w:szCs w:val="32"/>
          <w:lang w:val="en-US" w:eastAsia="zh-CN"/>
        </w:rPr>
        <w:t>22.17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0.25</w:t>
      </w:r>
      <w:r>
        <w:rPr>
          <w:rFonts w:ascii="仿宋" w:hAnsi="仿宋" w:eastAsia="仿宋"/>
          <w:color w:val="000000"/>
          <w:sz w:val="32"/>
          <w:szCs w:val="32"/>
        </w:rPr>
        <w:t>%</w:t>
      </w:r>
      <w:r>
        <w:rPr>
          <w:rFonts w:hint="eastAsia" w:ascii="仿宋" w:hAnsi="仿宋" w:eastAsia="仿宋"/>
          <w:color w:val="000000"/>
          <w:sz w:val="32"/>
          <w:szCs w:val="32"/>
        </w:rPr>
        <w:t>；经营收入</w:t>
      </w:r>
      <w:r>
        <w:rPr>
          <w:rFonts w:hint="eastAsia" w:ascii="仿宋" w:hAnsi="仿宋" w:eastAsia="仿宋"/>
          <w:color w:val="000000"/>
          <w:sz w:val="32"/>
          <w:szCs w:val="32"/>
          <w:lang w:val="en-US" w:eastAsia="zh-CN"/>
        </w:rPr>
        <w:t>2961.69</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33.17</w:t>
      </w:r>
      <w:r>
        <w:rPr>
          <w:rFonts w:ascii="仿宋" w:hAnsi="仿宋" w:eastAsia="仿宋"/>
          <w:color w:val="000000"/>
          <w:sz w:val="32"/>
          <w:szCs w:val="32"/>
        </w:rPr>
        <w:t>%</w:t>
      </w:r>
      <w:r>
        <w:rPr>
          <w:rFonts w:hint="eastAsia" w:ascii="仿宋" w:hAnsi="仿宋" w:eastAsia="仿宋"/>
          <w:color w:val="000000"/>
          <w:sz w:val="32"/>
          <w:szCs w:val="32"/>
        </w:rPr>
        <w:t>；附属单位上缴收入</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；其他收入</w:t>
      </w:r>
      <w:r>
        <w:rPr>
          <w:rFonts w:hint="eastAsia" w:ascii="仿宋" w:hAnsi="仿宋" w:eastAsia="仿宋"/>
          <w:color w:val="000000"/>
          <w:sz w:val="32"/>
          <w:szCs w:val="32"/>
          <w:lang w:val="en-US" w:eastAsia="zh-CN"/>
        </w:rPr>
        <w:t>347.54</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3.89</w:t>
      </w:r>
      <w:r>
        <w:rPr>
          <w:rFonts w:ascii="仿宋" w:hAnsi="仿宋" w:eastAsia="仿宋"/>
          <w:color w:val="000000"/>
          <w:sz w:val="32"/>
          <w:szCs w:val="32"/>
        </w:rPr>
        <w:t>%</w:t>
      </w:r>
      <w:r>
        <w:rPr>
          <w:rFonts w:hint="eastAsia" w:ascii="仿宋" w:hAnsi="仿宋"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1"/>
        <w:rPr>
          <w:rFonts w:ascii="仿宋" w:hAnsi="仿宋" w:eastAsia="仿宋"/>
          <w:color w:val="000000"/>
          <w:sz w:val="32"/>
          <w:szCs w:val="32"/>
        </w:rPr>
      </w:pPr>
    </w:p>
    <w:p>
      <w:pPr>
        <w:pageBreakBefore w:val="0"/>
        <w:kinsoku/>
        <w:wordWrap/>
        <w:overflowPunct/>
        <w:topLinePunct w:val="0"/>
        <w:bidi w:val="0"/>
        <w:spacing w:line="590" w:lineRule="exact"/>
        <w:ind w:firstLine="0" w:firstLineChars="0"/>
        <w:rPr>
          <w:rFonts w:ascii="仿宋_GB2312" w:eastAsia="仿宋_GB2312"/>
          <w:color w:val="FF0000"/>
          <w:sz w:val="32"/>
          <w:szCs w:val="32"/>
        </w:rPr>
      </w:pPr>
      <w:r>
        <w:drawing>
          <wp:anchor distT="0" distB="0" distL="114300" distR="114300" simplePos="0" relativeHeight="251659264" behindDoc="0" locked="0" layoutInCell="1" allowOverlap="1">
            <wp:simplePos x="0" y="0"/>
            <wp:positionH relativeFrom="column">
              <wp:posOffset>219075</wp:posOffset>
            </wp:positionH>
            <wp:positionV relativeFrom="paragraph">
              <wp:posOffset>31750</wp:posOffset>
            </wp:positionV>
            <wp:extent cx="4801235" cy="2894965"/>
            <wp:effectExtent l="0" t="0" r="0" b="0"/>
            <wp:wrapTopAndBottom/>
            <wp:docPr id="208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pStyle w:val="24"/>
        <w:keepNext w:val="0"/>
        <w:keepLines w:val="0"/>
        <w:pageBreakBefore w:val="0"/>
        <w:widowControl w:val="0"/>
        <w:numPr>
          <w:ilvl w:val="0"/>
          <w:numId w:val="3"/>
        </w:numPr>
        <w:kinsoku/>
        <w:wordWrap/>
        <w:overflowPunct/>
        <w:topLinePunct w:val="0"/>
        <w:autoSpaceDE/>
        <w:autoSpaceDN/>
        <w:bidi w:val="0"/>
        <w:adjustRightInd/>
        <w:snapToGrid/>
        <w:spacing w:line="600" w:lineRule="exact"/>
        <w:ind w:left="1056" w:leftChars="305" w:hanging="416" w:hangingChars="130"/>
        <w:textAlignment w:val="auto"/>
        <w:outlineLvl w:val="1"/>
        <w:rPr>
          <w:rStyle w:val="26"/>
          <w:rFonts w:ascii="黑体" w:hAnsi="黑体" w:eastAsia="黑体"/>
          <w:b w:val="0"/>
        </w:rPr>
      </w:pPr>
      <w:bookmarkStart w:id="75" w:name="_Toc15396605"/>
      <w:bookmarkStart w:id="76" w:name="_Toc15377207"/>
      <w:bookmarkStart w:id="77" w:name="_Toc4030_WPSOffice_Level2"/>
      <w:r>
        <w:rPr>
          <w:rFonts w:hint="eastAsia" w:ascii="黑体" w:hAnsi="黑体" w:eastAsia="黑体"/>
          <w:color w:val="000000"/>
          <w:sz w:val="32"/>
          <w:szCs w:val="32"/>
        </w:rPr>
        <w:t>支</w:t>
      </w:r>
      <w:r>
        <w:rPr>
          <w:rStyle w:val="26"/>
          <w:rFonts w:hint="eastAsia" w:ascii="黑体" w:hAnsi="黑体" w:eastAsia="黑体"/>
          <w:b w:val="0"/>
        </w:rPr>
        <w:t>出决算情况说明</w:t>
      </w:r>
      <w:bookmarkEnd w:id="75"/>
      <w:bookmarkEnd w:id="76"/>
      <w:bookmarkEnd w:id="77"/>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outlineLvl w:val="1"/>
        <w:rPr>
          <w:rFonts w:ascii="仿宋" w:hAnsi="仿宋" w:eastAsia="仿宋"/>
          <w:color w:val="000000"/>
          <w:sz w:val="32"/>
          <w:szCs w:val="32"/>
        </w:rPr>
      </w:pPr>
      <w:r>
        <w:drawing>
          <wp:anchor distT="0" distB="0" distL="114300" distR="114300" simplePos="0" relativeHeight="251660288" behindDoc="0" locked="0" layoutInCell="1" allowOverlap="1">
            <wp:simplePos x="0" y="0"/>
            <wp:positionH relativeFrom="column">
              <wp:posOffset>347345</wp:posOffset>
            </wp:positionH>
            <wp:positionV relativeFrom="paragraph">
              <wp:posOffset>1684655</wp:posOffset>
            </wp:positionV>
            <wp:extent cx="4411345" cy="3048635"/>
            <wp:effectExtent l="4445" t="4445" r="22860" b="13970"/>
            <wp:wrapTopAndBottom/>
            <wp:docPr id="3100"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Pr>
          <w:rFonts w:ascii="仿宋" w:hAnsi="仿宋" w:eastAsia="仿宋"/>
          <w:color w:val="000000"/>
          <w:sz w:val="32"/>
          <w:szCs w:val="32"/>
        </w:rPr>
        <w:t>201</w:t>
      </w:r>
      <w:r>
        <w:rPr>
          <w:rFonts w:hint="eastAsia" w:ascii="仿宋" w:hAnsi="仿宋" w:eastAsia="仿宋"/>
          <w:color w:val="000000"/>
          <w:sz w:val="32"/>
          <w:szCs w:val="32"/>
        </w:rPr>
        <w:t>9年本年支出合计</w:t>
      </w:r>
      <w:r>
        <w:rPr>
          <w:rFonts w:hint="eastAsia" w:ascii="仿宋" w:hAnsi="仿宋" w:eastAsia="仿宋"/>
          <w:color w:val="000000"/>
          <w:sz w:val="32"/>
          <w:szCs w:val="32"/>
          <w:lang w:val="en-US" w:eastAsia="zh-CN"/>
        </w:rPr>
        <w:t>11518.28</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2885.02</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25.05</w:t>
      </w:r>
      <w:r>
        <w:rPr>
          <w:rFonts w:ascii="仿宋" w:hAnsi="仿宋" w:eastAsia="仿宋"/>
          <w:color w:val="000000"/>
          <w:sz w:val="32"/>
          <w:szCs w:val="32"/>
        </w:rPr>
        <w:t>%</w:t>
      </w:r>
      <w:r>
        <w:rPr>
          <w:rFonts w:hint="eastAsia" w:ascii="仿宋" w:hAnsi="仿宋" w:eastAsia="仿宋"/>
          <w:color w:val="000000"/>
          <w:sz w:val="32"/>
          <w:szCs w:val="32"/>
        </w:rPr>
        <w:t>；项目支出</w:t>
      </w:r>
      <w:r>
        <w:rPr>
          <w:rFonts w:hint="eastAsia" w:ascii="仿宋" w:hAnsi="仿宋" w:eastAsia="仿宋"/>
          <w:color w:val="000000"/>
          <w:sz w:val="32"/>
          <w:szCs w:val="32"/>
          <w:lang w:val="en-US" w:eastAsia="zh-CN"/>
        </w:rPr>
        <w:t>6673.04</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57.93</w:t>
      </w:r>
      <w:r>
        <w:rPr>
          <w:rFonts w:ascii="仿宋" w:hAnsi="仿宋" w:eastAsia="仿宋"/>
          <w:color w:val="000000"/>
          <w:sz w:val="32"/>
          <w:szCs w:val="32"/>
        </w:rPr>
        <w:t>%</w:t>
      </w:r>
      <w:r>
        <w:rPr>
          <w:rFonts w:hint="eastAsia" w:ascii="仿宋" w:hAnsi="仿宋" w:eastAsia="仿宋"/>
          <w:color w:val="000000"/>
          <w:sz w:val="32"/>
          <w:szCs w:val="32"/>
        </w:rPr>
        <w:t>；上缴上级支出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；经营支出</w:t>
      </w:r>
      <w:r>
        <w:rPr>
          <w:rFonts w:hint="eastAsia" w:ascii="仿宋" w:hAnsi="仿宋" w:eastAsia="仿宋"/>
          <w:color w:val="000000"/>
          <w:sz w:val="32"/>
          <w:szCs w:val="32"/>
          <w:lang w:val="en-US" w:eastAsia="zh-CN"/>
        </w:rPr>
        <w:t>1960.22</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17.02</w:t>
      </w:r>
      <w:r>
        <w:rPr>
          <w:rFonts w:ascii="仿宋" w:hAnsi="仿宋" w:eastAsia="仿宋"/>
          <w:color w:val="000000"/>
          <w:sz w:val="32"/>
          <w:szCs w:val="32"/>
        </w:rPr>
        <w:t>%</w:t>
      </w:r>
      <w:r>
        <w:rPr>
          <w:rFonts w:hint="eastAsia" w:ascii="仿宋" w:hAnsi="仿宋" w:eastAsia="仿宋"/>
          <w:color w:val="000000"/>
          <w:sz w:val="32"/>
          <w:szCs w:val="32"/>
        </w:rPr>
        <w:t>；对附属单位补助支出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w:t>
      </w:r>
    </w:p>
    <w:p>
      <w:pPr>
        <w:pageBreakBefore w:val="0"/>
        <w:kinsoku/>
        <w:wordWrap/>
        <w:overflowPunct/>
        <w:topLinePunct w:val="0"/>
        <w:bidi w:val="0"/>
        <w:spacing w:line="590" w:lineRule="exact"/>
        <w:ind w:firstLine="0" w:firstLineChars="0"/>
        <w:rPr>
          <w:rFonts w:ascii="仿宋_GB2312" w:eastAsia="仿宋_GB2312"/>
          <w:color w:val="FF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1259" w:leftChars="295" w:hanging="640" w:hangingChars="200"/>
        <w:textAlignment w:val="auto"/>
        <w:outlineLvl w:val="1"/>
        <w:rPr>
          <w:rStyle w:val="26"/>
          <w:rFonts w:ascii="黑体" w:hAnsi="黑体" w:eastAsia="黑体"/>
          <w:b w:val="0"/>
        </w:rPr>
      </w:pPr>
      <w:bookmarkStart w:id="78" w:name="_Toc15377208"/>
      <w:bookmarkStart w:id="79" w:name="_Toc15396606"/>
      <w:bookmarkStart w:id="80" w:name="_Toc32133_WPSOffice_Level2"/>
      <w:r>
        <w:rPr>
          <w:rFonts w:hint="eastAsia" w:ascii="黑体" w:hAnsi="黑体" w:eastAsia="黑体"/>
          <w:color w:val="000000"/>
          <w:sz w:val="32"/>
          <w:szCs w:val="32"/>
        </w:rPr>
        <w:t>四、财</w:t>
      </w:r>
      <w:r>
        <w:rPr>
          <w:rStyle w:val="26"/>
          <w:rFonts w:hint="eastAsia" w:ascii="黑体" w:hAnsi="黑体" w:eastAsia="黑体"/>
          <w:b w:val="0"/>
        </w:rPr>
        <w:t>政拨款收入支出决算总体情况说明</w:t>
      </w:r>
      <w:bookmarkEnd w:id="78"/>
      <w:bookmarkEnd w:id="79"/>
      <w:bookmarkEnd w:id="8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000000"/>
          <w:sz w:val="32"/>
          <w:szCs w:val="32"/>
          <w:highlight w:val="yellow"/>
        </w:rPr>
      </w:pPr>
      <w:r>
        <w:rPr>
          <w:rFonts w:ascii="仿宋" w:hAnsi="仿宋" w:eastAsia="仿宋"/>
          <w:color w:val="000000"/>
          <w:sz w:val="32"/>
          <w:szCs w:val="32"/>
        </w:rPr>
        <w:t>201</w:t>
      </w:r>
      <w:r>
        <w:rPr>
          <w:rFonts w:hint="eastAsia" w:ascii="仿宋" w:hAnsi="仿宋" w:eastAsia="仿宋"/>
          <w:color w:val="000000"/>
          <w:sz w:val="32"/>
          <w:szCs w:val="32"/>
        </w:rPr>
        <w:t>9年财政拨款收、支总计</w:t>
      </w:r>
      <w:r>
        <w:rPr>
          <w:rFonts w:hint="eastAsia" w:ascii="仿宋" w:hAnsi="仿宋" w:eastAsia="仿宋"/>
          <w:color w:val="000000"/>
          <w:sz w:val="32"/>
          <w:szCs w:val="32"/>
          <w:lang w:eastAsia="zh-CN"/>
        </w:rPr>
        <w:t>各</w:t>
      </w:r>
      <w:r>
        <w:rPr>
          <w:rFonts w:hint="eastAsia" w:ascii="仿宋" w:hAnsi="仿宋" w:eastAsia="仿宋"/>
          <w:color w:val="000000"/>
          <w:sz w:val="32"/>
          <w:szCs w:val="32"/>
          <w:lang w:val="en-US" w:eastAsia="zh-CN"/>
        </w:rPr>
        <w:t>9423.24</w:t>
      </w:r>
      <w:r>
        <w:rPr>
          <w:rFonts w:hint="eastAsia" w:ascii="仿宋" w:hAnsi="仿宋" w:eastAsia="仿宋"/>
          <w:color w:val="000000"/>
          <w:sz w:val="32"/>
          <w:szCs w:val="32"/>
        </w:rPr>
        <w:t>万元。与</w:t>
      </w:r>
      <w:r>
        <w:rPr>
          <w:rFonts w:ascii="仿宋" w:hAnsi="仿宋" w:eastAsia="仿宋"/>
          <w:color w:val="000000"/>
          <w:sz w:val="32"/>
          <w:szCs w:val="32"/>
        </w:rPr>
        <w:t>201</w:t>
      </w:r>
      <w:r>
        <w:rPr>
          <w:rFonts w:hint="eastAsia" w:ascii="仿宋" w:hAnsi="仿宋" w:eastAsia="仿宋"/>
          <w:color w:val="000000"/>
          <w:sz w:val="32"/>
          <w:szCs w:val="32"/>
        </w:rPr>
        <w:t>8年相比，财政拨款收、支总计各减少</w:t>
      </w:r>
      <w:r>
        <w:rPr>
          <w:rFonts w:hint="eastAsia" w:ascii="仿宋" w:hAnsi="仿宋" w:eastAsia="仿宋"/>
          <w:color w:val="000000"/>
          <w:sz w:val="32"/>
          <w:szCs w:val="32"/>
          <w:lang w:val="en-US" w:eastAsia="zh-CN"/>
        </w:rPr>
        <w:t>9636.20</w:t>
      </w:r>
      <w:r>
        <w:rPr>
          <w:rFonts w:hint="eastAsia" w:ascii="仿宋" w:hAnsi="仿宋" w:eastAsia="仿宋"/>
          <w:color w:val="000000"/>
          <w:sz w:val="32"/>
          <w:szCs w:val="32"/>
        </w:rPr>
        <w:t>万元</w:t>
      </w:r>
      <w:r>
        <w:rPr>
          <w:rFonts w:hint="eastAsia" w:ascii="仿宋" w:hAnsi="仿宋" w:eastAsia="仿宋"/>
          <w:color w:val="000000"/>
          <w:sz w:val="32"/>
          <w:szCs w:val="32"/>
          <w:highlight w:val="none"/>
        </w:rPr>
        <w:t>，下降</w:t>
      </w:r>
      <w:r>
        <w:rPr>
          <w:rFonts w:hint="eastAsia" w:ascii="仿宋" w:hAnsi="仿宋" w:eastAsia="仿宋"/>
          <w:color w:val="000000"/>
          <w:sz w:val="32"/>
          <w:szCs w:val="32"/>
          <w:highlight w:val="none"/>
          <w:lang w:val="en-US" w:eastAsia="zh-CN"/>
        </w:rPr>
        <w:t>50.56</w:t>
      </w:r>
      <w:r>
        <w:rPr>
          <w:rFonts w:ascii="仿宋" w:hAnsi="仿宋" w:eastAsia="仿宋"/>
          <w:color w:val="000000"/>
          <w:sz w:val="32"/>
          <w:szCs w:val="32"/>
          <w:highlight w:val="none"/>
        </w:rPr>
        <w:t>%</w:t>
      </w:r>
      <w:r>
        <w:rPr>
          <w:rFonts w:hint="eastAsia" w:ascii="仿宋" w:hAnsi="仿宋" w:eastAsia="仿宋"/>
          <w:color w:val="000000"/>
          <w:sz w:val="32"/>
          <w:szCs w:val="32"/>
          <w:highlight w:val="none"/>
        </w:rPr>
        <w:t>。主要变动原因是</w:t>
      </w:r>
      <w:r>
        <w:rPr>
          <w:rFonts w:hint="eastAsia" w:ascii="仿宋" w:hAnsi="仿宋" w:eastAsia="仿宋"/>
          <w:color w:val="000000"/>
          <w:sz w:val="32"/>
          <w:szCs w:val="32"/>
          <w:highlight w:val="none"/>
          <w:lang w:eastAsia="zh-CN"/>
        </w:rPr>
        <w:t>青衣江续建配套与节水改造项目部分标段在</w:t>
      </w:r>
      <w:r>
        <w:rPr>
          <w:rFonts w:hint="eastAsia" w:ascii="仿宋" w:hAnsi="仿宋" w:eastAsia="仿宋"/>
          <w:color w:val="000000"/>
          <w:sz w:val="32"/>
          <w:szCs w:val="32"/>
          <w:highlight w:val="none"/>
          <w:lang w:val="en-US" w:eastAsia="zh-CN"/>
        </w:rPr>
        <w:t>2018年整体工程完工，导致水利工程建设支出下降幅度较大。</w:t>
      </w:r>
    </w:p>
    <w:p>
      <w:pPr>
        <w:pageBreakBefore w:val="0"/>
        <w:kinsoku/>
        <w:wordWrap/>
        <w:overflowPunct/>
        <w:topLinePunct w:val="0"/>
        <w:bidi w:val="0"/>
        <w:spacing w:line="590" w:lineRule="exact"/>
        <w:ind w:firstLine="0" w:firstLineChars="0"/>
        <w:rPr>
          <w:rFonts w:ascii="仿宋" w:hAnsi="仿宋" w:eastAsia="仿宋"/>
          <w:color w:val="000000"/>
          <w:sz w:val="32"/>
          <w:szCs w:val="32"/>
        </w:rPr>
      </w:pPr>
      <w:r>
        <w:drawing>
          <wp:anchor distT="0" distB="0" distL="114300" distR="114300" simplePos="0" relativeHeight="251661312" behindDoc="0" locked="0" layoutInCell="1" allowOverlap="1">
            <wp:simplePos x="0" y="0"/>
            <wp:positionH relativeFrom="column">
              <wp:posOffset>372745</wp:posOffset>
            </wp:positionH>
            <wp:positionV relativeFrom="paragraph">
              <wp:posOffset>204470</wp:posOffset>
            </wp:positionV>
            <wp:extent cx="4572000" cy="2743200"/>
            <wp:effectExtent l="4445" t="4445" r="14605" b="14605"/>
            <wp:wrapTopAndBottom/>
            <wp:docPr id="411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pageBreakBefore w:val="0"/>
        <w:kinsoku/>
        <w:wordWrap/>
        <w:overflowPunct/>
        <w:topLinePunct w:val="0"/>
        <w:bidi w:val="0"/>
        <w:spacing w:line="590" w:lineRule="exact"/>
        <w:ind w:firstLine="0" w:firstLineChars="0"/>
        <w:rPr>
          <w:rFonts w:ascii="仿宋" w:hAnsi="仿宋" w:eastAsia="仿宋"/>
          <w:b/>
          <w:color w:val="00B05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1259" w:leftChars="295" w:hanging="640" w:hangingChars="200"/>
        <w:textAlignment w:val="auto"/>
        <w:outlineLvl w:val="1"/>
        <w:rPr>
          <w:rStyle w:val="26"/>
          <w:rFonts w:ascii="黑体" w:hAnsi="黑体" w:eastAsia="黑体"/>
          <w:b w:val="0"/>
        </w:rPr>
      </w:pPr>
      <w:bookmarkStart w:id="81" w:name="_Toc15377209"/>
      <w:bookmarkStart w:id="82" w:name="_Toc15396607"/>
      <w:bookmarkStart w:id="83" w:name="_Toc10154_WPSOffice_Level2"/>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81"/>
      <w:bookmarkEnd w:id="82"/>
      <w:bookmarkEnd w:id="83"/>
    </w:p>
    <w:p>
      <w:pPr>
        <w:keepNext w:val="0"/>
        <w:keepLines w:val="0"/>
        <w:pageBreakBefore w:val="0"/>
        <w:widowControl w:val="0"/>
        <w:kinsoku/>
        <w:wordWrap/>
        <w:overflowPunct/>
        <w:topLinePunct w:val="0"/>
        <w:autoSpaceDE/>
        <w:autoSpaceDN/>
        <w:bidi w:val="0"/>
        <w:adjustRightInd/>
        <w:snapToGrid/>
        <w:spacing w:line="600" w:lineRule="exact"/>
        <w:ind w:left="1059" w:leftChars="304" w:hanging="421" w:hangingChars="131"/>
        <w:textAlignment w:val="auto"/>
        <w:outlineLvl w:val="2"/>
        <w:rPr>
          <w:rFonts w:ascii="仿宋" w:hAnsi="仿宋" w:eastAsia="仿宋"/>
          <w:b/>
          <w:color w:val="000000"/>
          <w:sz w:val="32"/>
          <w:szCs w:val="32"/>
        </w:rPr>
      </w:pPr>
      <w:bookmarkStart w:id="84" w:name="_Toc15377210"/>
      <w:r>
        <w:rPr>
          <w:rFonts w:hint="eastAsia" w:ascii="仿宋" w:hAnsi="仿宋" w:eastAsia="仿宋"/>
          <w:b/>
          <w:color w:val="000000"/>
          <w:sz w:val="32"/>
          <w:szCs w:val="32"/>
        </w:rPr>
        <w:t>（一）一般公共预算财政拨款支出决算总体情况</w:t>
      </w:r>
      <w:bookmarkEnd w:id="84"/>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olor w:val="000000"/>
          <w:sz w:val="32"/>
          <w:szCs w:val="32"/>
          <w:highlight w:val="none"/>
          <w:lang w:val="en-US" w:eastAsia="zh-CN"/>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9年一般公共预算财政拨款支出</w:t>
      </w:r>
      <w:r>
        <w:rPr>
          <w:rFonts w:hint="eastAsia" w:ascii="仿宋" w:hAnsi="仿宋" w:eastAsia="仿宋"/>
          <w:color w:val="000000"/>
          <w:sz w:val="32"/>
          <w:szCs w:val="32"/>
          <w:lang w:val="en-US" w:eastAsia="zh-CN"/>
        </w:rPr>
        <w:t>9124.98</w:t>
      </w:r>
      <w:r>
        <w:rPr>
          <w:rFonts w:hint="eastAsia" w:ascii="仿宋" w:hAnsi="仿宋" w:eastAsia="仿宋"/>
          <w:color w:val="000000"/>
          <w:sz w:val="32"/>
          <w:szCs w:val="32"/>
        </w:rPr>
        <w:t>万元，占本年支出合计的</w:t>
      </w:r>
      <w:r>
        <w:rPr>
          <w:rFonts w:hint="eastAsia" w:ascii="仿宋" w:hAnsi="仿宋" w:eastAsia="仿宋"/>
          <w:color w:val="000000"/>
          <w:sz w:val="32"/>
          <w:szCs w:val="32"/>
          <w:lang w:val="en-US" w:eastAsia="zh-CN"/>
        </w:rPr>
        <w:t>79.22</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201</w:t>
      </w:r>
      <w:r>
        <w:rPr>
          <w:rFonts w:hint="eastAsia" w:ascii="仿宋" w:hAnsi="仿宋" w:eastAsia="仿宋"/>
          <w:color w:val="000000"/>
          <w:sz w:val="32"/>
          <w:szCs w:val="32"/>
        </w:rPr>
        <w:t>8年相比，一般公共预算财政拨款减少</w:t>
      </w:r>
      <w:r>
        <w:rPr>
          <w:rFonts w:hint="eastAsia" w:ascii="仿宋" w:hAnsi="仿宋" w:eastAsia="仿宋"/>
          <w:color w:val="000000"/>
          <w:sz w:val="32"/>
          <w:szCs w:val="32"/>
          <w:lang w:val="en-US" w:eastAsia="zh-CN"/>
        </w:rPr>
        <w:t>3869.95</w:t>
      </w:r>
      <w:r>
        <w:rPr>
          <w:rFonts w:hint="eastAsia" w:ascii="仿宋" w:hAnsi="仿宋" w:eastAsia="仿宋"/>
          <w:color w:val="000000"/>
          <w:sz w:val="32"/>
          <w:szCs w:val="32"/>
        </w:rPr>
        <w:t>万元，下降</w:t>
      </w:r>
      <w:r>
        <w:rPr>
          <w:rFonts w:hint="eastAsia" w:ascii="仿宋" w:hAnsi="仿宋" w:eastAsia="仿宋"/>
          <w:color w:val="000000"/>
          <w:sz w:val="32"/>
          <w:szCs w:val="32"/>
          <w:lang w:val="en-US" w:eastAsia="zh-CN"/>
        </w:rPr>
        <w:t>29.78</w:t>
      </w:r>
      <w:r>
        <w:rPr>
          <w:rFonts w:ascii="仿宋" w:hAnsi="仿宋" w:eastAsia="仿宋"/>
          <w:color w:val="000000"/>
          <w:sz w:val="32"/>
          <w:szCs w:val="32"/>
        </w:rPr>
        <w:t>%</w:t>
      </w:r>
      <w:r>
        <w:rPr>
          <w:rFonts w:hint="eastAsia" w:ascii="仿宋" w:hAnsi="仿宋" w:eastAsia="仿宋"/>
          <w:color w:val="000000"/>
          <w:sz w:val="32"/>
          <w:szCs w:val="32"/>
        </w:rPr>
        <w:t>。</w:t>
      </w:r>
      <w:r>
        <w:rPr>
          <w:rFonts w:hint="eastAsia" w:ascii="仿宋" w:hAnsi="仿宋" w:eastAsia="仿宋"/>
          <w:color w:val="000000"/>
          <w:sz w:val="32"/>
          <w:szCs w:val="32"/>
          <w:highlight w:val="none"/>
        </w:rPr>
        <w:t>主要变动原因是</w:t>
      </w:r>
      <w:r>
        <w:rPr>
          <w:rFonts w:hint="eastAsia" w:ascii="仿宋" w:hAnsi="仿宋" w:eastAsia="仿宋"/>
          <w:color w:val="000000"/>
          <w:sz w:val="32"/>
          <w:szCs w:val="32"/>
          <w:highlight w:val="none"/>
          <w:lang w:eastAsia="zh-CN"/>
        </w:rPr>
        <w:t>青衣江续建配套与节水改造项目部分标段在</w:t>
      </w:r>
      <w:r>
        <w:rPr>
          <w:rFonts w:hint="eastAsia" w:ascii="仿宋" w:hAnsi="仿宋" w:eastAsia="仿宋"/>
          <w:color w:val="000000"/>
          <w:sz w:val="32"/>
          <w:szCs w:val="32"/>
          <w:highlight w:val="none"/>
          <w:lang w:val="en-US" w:eastAsia="zh-CN"/>
        </w:rPr>
        <w:t>2018年整体工程完工，导致水利工程建设支出下降幅度较大；</w:t>
      </w:r>
    </w:p>
    <w:p>
      <w:pPr>
        <w:pageBreakBefore w:val="0"/>
        <w:kinsoku/>
        <w:wordWrap/>
        <w:overflowPunct/>
        <w:topLinePunct w:val="0"/>
        <w:bidi w:val="0"/>
        <w:spacing w:line="590" w:lineRule="exact"/>
        <w:ind w:firstLine="0" w:firstLineChars="0"/>
        <w:rPr>
          <w:rFonts w:ascii="仿宋" w:hAnsi="仿宋" w:eastAsia="仿宋"/>
          <w:color w:val="000000" w:themeColor="text1"/>
          <w:sz w:val="32"/>
          <w:szCs w:val="32"/>
          <w14:textFill>
            <w14:solidFill>
              <w14:schemeClr w14:val="tx1"/>
            </w14:solidFill>
          </w14:textFill>
        </w:rPr>
      </w:pPr>
      <w:r>
        <w:drawing>
          <wp:anchor distT="0" distB="0" distL="114300" distR="114300" simplePos="0" relativeHeight="251666432" behindDoc="0" locked="0" layoutInCell="1" allowOverlap="1">
            <wp:simplePos x="0" y="0"/>
            <wp:positionH relativeFrom="column">
              <wp:posOffset>28575</wp:posOffset>
            </wp:positionH>
            <wp:positionV relativeFrom="paragraph">
              <wp:posOffset>257175</wp:posOffset>
            </wp:positionV>
            <wp:extent cx="5000625" cy="2819400"/>
            <wp:effectExtent l="0" t="0" r="9525" b="0"/>
            <wp:wrapTopAndBottom/>
            <wp:docPr id="513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keepNext w:val="0"/>
        <w:keepLines w:val="0"/>
        <w:pageBreakBefore w:val="0"/>
        <w:widowControl w:val="0"/>
        <w:kinsoku/>
        <w:wordWrap/>
        <w:overflowPunct/>
        <w:topLinePunct w:val="0"/>
        <w:autoSpaceDE/>
        <w:autoSpaceDN/>
        <w:bidi w:val="0"/>
        <w:adjustRightInd/>
        <w:snapToGrid/>
        <w:spacing w:line="600" w:lineRule="exact"/>
        <w:ind w:left="1055" w:leftChars="302" w:hanging="421" w:hangingChars="131"/>
        <w:textAlignment w:val="auto"/>
        <w:outlineLvl w:val="2"/>
        <w:rPr>
          <w:rFonts w:ascii="仿宋" w:hAnsi="仿宋" w:eastAsia="仿宋"/>
          <w:b/>
          <w:color w:val="000000"/>
          <w:sz w:val="32"/>
          <w:szCs w:val="32"/>
        </w:rPr>
      </w:pPr>
      <w:bookmarkStart w:id="85" w:name="_Toc15377211"/>
      <w:r>
        <w:rPr>
          <w:rFonts w:hint="eastAsia" w:ascii="仿宋" w:hAnsi="仿宋" w:eastAsia="仿宋"/>
          <w:b/>
          <w:color w:val="000000"/>
          <w:sz w:val="32"/>
          <w:szCs w:val="32"/>
        </w:rPr>
        <w:t>（二）一般公共预算财政拨款支出决算结构情况</w:t>
      </w:r>
      <w:bookmarkEnd w:id="85"/>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ascii="仿宋" w:hAnsi="仿宋" w:eastAsia="仿宋"/>
          <w:color w:val="000000" w:themeColor="text1"/>
          <w:sz w:val="32"/>
          <w:szCs w:val="32"/>
          <w14:textFill>
            <w14:solidFill>
              <w14:schemeClr w14:val="tx1"/>
            </w14:solidFill>
          </w14:textFill>
        </w:rPr>
      </w:pPr>
      <w:r>
        <w:drawing>
          <wp:anchor distT="0" distB="0" distL="114300" distR="114300" simplePos="0" relativeHeight="251663360" behindDoc="0" locked="0" layoutInCell="1" allowOverlap="1">
            <wp:simplePos x="0" y="0"/>
            <wp:positionH relativeFrom="column">
              <wp:posOffset>405130</wp:posOffset>
            </wp:positionH>
            <wp:positionV relativeFrom="paragraph">
              <wp:posOffset>2388870</wp:posOffset>
            </wp:positionV>
            <wp:extent cx="4687570" cy="3209290"/>
            <wp:effectExtent l="4445" t="4445" r="13335" b="5715"/>
            <wp:wrapTopAndBottom/>
            <wp:docPr id="615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ascii="仿宋" w:hAnsi="仿宋" w:eastAsia="仿宋"/>
          <w:color w:val="000000"/>
          <w:sz w:val="32"/>
          <w:szCs w:val="32"/>
        </w:rPr>
        <w:t>2</w:t>
      </w:r>
      <w:r>
        <w:rPr>
          <w:rFonts w:ascii="仿宋" w:hAnsi="仿宋" w:eastAsia="仿宋"/>
          <w:b w:val="0"/>
          <w:bCs w:val="0"/>
          <w:color w:val="000000"/>
          <w:sz w:val="32"/>
          <w:szCs w:val="32"/>
        </w:rPr>
        <w:t>01</w:t>
      </w:r>
      <w:r>
        <w:rPr>
          <w:rFonts w:hint="eastAsia" w:ascii="仿宋" w:hAnsi="仿宋" w:eastAsia="仿宋"/>
          <w:b w:val="0"/>
          <w:bCs w:val="0"/>
          <w:color w:val="000000"/>
          <w:sz w:val="32"/>
          <w:szCs w:val="32"/>
        </w:rPr>
        <w:t>9年一般公共预算财</w:t>
      </w:r>
      <w:r>
        <w:rPr>
          <w:rFonts w:hint="eastAsia" w:ascii="仿宋" w:hAnsi="仿宋" w:eastAsia="仿宋"/>
          <w:b w:val="0"/>
          <w:bCs w:val="0"/>
          <w:color w:val="000000" w:themeColor="text1"/>
          <w:sz w:val="32"/>
          <w:szCs w:val="32"/>
          <w14:textFill>
            <w14:solidFill>
              <w14:schemeClr w14:val="tx1"/>
            </w14:solidFill>
          </w14:textFill>
        </w:rPr>
        <w:t>政拨款支出</w:t>
      </w:r>
      <w:r>
        <w:rPr>
          <w:rFonts w:hint="eastAsia" w:ascii="仿宋" w:hAnsi="仿宋" w:eastAsia="仿宋"/>
          <w:b w:val="0"/>
          <w:bCs w:val="0"/>
          <w:color w:val="000000" w:themeColor="text1"/>
          <w:sz w:val="32"/>
          <w:szCs w:val="32"/>
          <w:lang w:val="en-US" w:eastAsia="zh-CN"/>
          <w14:textFill>
            <w14:solidFill>
              <w14:schemeClr w14:val="tx1"/>
            </w14:solidFill>
          </w14:textFill>
        </w:rPr>
        <w:t>9124.98</w:t>
      </w:r>
      <w:r>
        <w:rPr>
          <w:rFonts w:hint="eastAsia" w:ascii="仿宋" w:hAnsi="仿宋" w:eastAsia="仿宋"/>
          <w:b w:val="0"/>
          <w:bCs w:val="0"/>
          <w:color w:val="000000" w:themeColor="text1"/>
          <w:sz w:val="32"/>
          <w:szCs w:val="32"/>
          <w14:textFill>
            <w14:solidFill>
              <w14:schemeClr w14:val="tx1"/>
            </w14:solidFill>
          </w14:textFill>
        </w:rPr>
        <w:t>万元，主要用于以下方面</w:t>
      </w:r>
      <w:r>
        <w:rPr>
          <w:rFonts w:ascii="仿宋" w:hAnsi="仿宋" w:eastAsia="仿宋"/>
          <w:b w:val="0"/>
          <w:bCs w:val="0"/>
          <w:color w:val="000000" w:themeColor="text1"/>
          <w:sz w:val="32"/>
          <w:szCs w:val="32"/>
          <w14:textFill>
            <w14:solidFill>
              <w14:schemeClr w14:val="tx1"/>
            </w14:solidFill>
          </w14:textFill>
        </w:rPr>
        <w:t>:</w:t>
      </w:r>
      <w:r>
        <w:rPr>
          <w:rFonts w:hint="eastAsia" w:ascii="仿宋" w:hAnsi="仿宋" w:eastAsia="仿宋"/>
          <w:b w:val="0"/>
          <w:bCs w:val="0"/>
          <w:color w:val="000000" w:themeColor="text1"/>
          <w:sz w:val="32"/>
          <w:szCs w:val="32"/>
          <w14:textFill>
            <w14:solidFill>
              <w14:schemeClr w14:val="tx1"/>
            </w14:solidFill>
          </w14:textFill>
        </w:rPr>
        <w:t>一般公共服务（类）支出</w:t>
      </w:r>
      <w:r>
        <w:rPr>
          <w:rFonts w:hint="eastAsia" w:ascii="仿宋" w:hAnsi="仿宋" w:eastAsia="仿宋"/>
          <w:b w:val="0"/>
          <w:bCs w:val="0"/>
          <w:color w:val="000000" w:themeColor="text1"/>
          <w:sz w:val="32"/>
          <w:szCs w:val="32"/>
          <w:lang w:val="en-US" w:eastAsia="zh-CN"/>
          <w14:textFill>
            <w14:solidFill>
              <w14:schemeClr w14:val="tx1"/>
            </w14:solidFill>
          </w14:textFill>
        </w:rPr>
        <w:t>283.30</w:t>
      </w:r>
      <w:r>
        <w:rPr>
          <w:rFonts w:hint="eastAsia" w:ascii="仿宋" w:hAnsi="仿宋" w:eastAsia="仿宋"/>
          <w:b w:val="0"/>
          <w:bCs w:val="0"/>
          <w:color w:val="000000" w:themeColor="text1"/>
          <w:sz w:val="32"/>
          <w:szCs w:val="32"/>
          <w14:textFill>
            <w14:solidFill>
              <w14:schemeClr w14:val="tx1"/>
            </w14:solidFill>
          </w14:textFill>
        </w:rPr>
        <w:t>万元，占</w:t>
      </w:r>
      <w:r>
        <w:rPr>
          <w:rFonts w:hint="eastAsia" w:ascii="仿宋" w:hAnsi="仿宋" w:eastAsia="仿宋"/>
          <w:b w:val="0"/>
          <w:bCs w:val="0"/>
          <w:color w:val="000000" w:themeColor="text1"/>
          <w:sz w:val="32"/>
          <w:szCs w:val="32"/>
          <w:lang w:val="en-US" w:eastAsia="zh-CN"/>
          <w14:textFill>
            <w14:solidFill>
              <w14:schemeClr w14:val="tx1"/>
            </w14:solidFill>
          </w14:textFill>
        </w:rPr>
        <w:t>3.10</w:t>
      </w:r>
      <w:r>
        <w:rPr>
          <w:rFonts w:ascii="仿宋" w:hAnsi="仿宋" w:eastAsia="仿宋"/>
          <w:b w:val="0"/>
          <w:bCs w:val="0"/>
          <w:color w:val="000000" w:themeColor="text1"/>
          <w:sz w:val="32"/>
          <w:szCs w:val="32"/>
          <w14:textFill>
            <w14:solidFill>
              <w14:schemeClr w14:val="tx1"/>
            </w14:solidFill>
          </w14:textFill>
        </w:rPr>
        <w:t>%</w:t>
      </w:r>
      <w:r>
        <w:rPr>
          <w:rFonts w:hint="eastAsia" w:ascii="仿宋" w:hAnsi="仿宋" w:eastAsia="仿宋"/>
          <w:b w:val="0"/>
          <w:bCs w:val="0"/>
          <w:color w:val="000000" w:themeColor="text1"/>
          <w:sz w:val="32"/>
          <w:szCs w:val="32"/>
          <w14:textFill>
            <w14:solidFill>
              <w14:schemeClr w14:val="tx1"/>
            </w14:solidFill>
          </w14:textFill>
        </w:rPr>
        <w:t>；社会保障和就业（类）支出</w:t>
      </w:r>
      <w:r>
        <w:rPr>
          <w:rFonts w:hint="eastAsia" w:ascii="仿宋" w:hAnsi="仿宋" w:eastAsia="仿宋"/>
          <w:b w:val="0"/>
          <w:bCs w:val="0"/>
          <w:color w:val="000000" w:themeColor="text1"/>
          <w:sz w:val="32"/>
          <w:szCs w:val="32"/>
          <w:lang w:val="en-US" w:eastAsia="zh-CN"/>
          <w14:textFill>
            <w14:solidFill>
              <w14:schemeClr w14:val="tx1"/>
            </w14:solidFill>
          </w14:textFill>
        </w:rPr>
        <w:t>408.79</w:t>
      </w:r>
      <w:r>
        <w:rPr>
          <w:rFonts w:hint="eastAsia" w:ascii="仿宋" w:hAnsi="仿宋" w:eastAsia="仿宋"/>
          <w:b w:val="0"/>
          <w:bCs w:val="0"/>
          <w:color w:val="000000" w:themeColor="text1"/>
          <w:sz w:val="32"/>
          <w:szCs w:val="32"/>
          <w14:textFill>
            <w14:solidFill>
              <w14:schemeClr w14:val="tx1"/>
            </w14:solidFill>
          </w14:textFill>
        </w:rPr>
        <w:t>万元，占</w:t>
      </w:r>
      <w:r>
        <w:rPr>
          <w:rFonts w:hint="eastAsia" w:ascii="仿宋" w:hAnsi="仿宋" w:eastAsia="仿宋"/>
          <w:b w:val="0"/>
          <w:bCs w:val="0"/>
          <w:color w:val="000000" w:themeColor="text1"/>
          <w:sz w:val="32"/>
          <w:szCs w:val="32"/>
          <w:lang w:val="en-US" w:eastAsia="zh-CN"/>
          <w14:textFill>
            <w14:solidFill>
              <w14:schemeClr w14:val="tx1"/>
            </w14:solidFill>
          </w14:textFill>
        </w:rPr>
        <w:t>4.48</w:t>
      </w:r>
      <w:r>
        <w:rPr>
          <w:rFonts w:ascii="仿宋" w:hAnsi="仿宋" w:eastAsia="仿宋"/>
          <w:b w:val="0"/>
          <w:bCs w:val="0"/>
          <w:color w:val="000000" w:themeColor="text1"/>
          <w:sz w:val="32"/>
          <w:szCs w:val="32"/>
          <w14:textFill>
            <w14:solidFill>
              <w14:schemeClr w14:val="tx1"/>
            </w14:solidFill>
          </w14:textFill>
        </w:rPr>
        <w:t>%</w:t>
      </w:r>
      <w:r>
        <w:rPr>
          <w:rFonts w:hint="eastAsia" w:ascii="仿宋" w:hAnsi="仿宋" w:eastAsia="仿宋"/>
          <w:b w:val="0"/>
          <w:bCs w:val="0"/>
          <w:color w:val="000000" w:themeColor="text1"/>
          <w:sz w:val="32"/>
          <w:szCs w:val="32"/>
          <w14:textFill>
            <w14:solidFill>
              <w14:schemeClr w14:val="tx1"/>
            </w14:solidFill>
          </w14:textFill>
        </w:rPr>
        <w:t>；卫生健康（类）支出</w:t>
      </w:r>
      <w:r>
        <w:rPr>
          <w:rFonts w:hint="eastAsia" w:ascii="仿宋" w:hAnsi="仿宋" w:eastAsia="仿宋"/>
          <w:b w:val="0"/>
          <w:bCs w:val="0"/>
          <w:color w:val="000000" w:themeColor="text1"/>
          <w:sz w:val="32"/>
          <w:szCs w:val="32"/>
          <w:lang w:val="en-US" w:eastAsia="zh-CN"/>
          <w14:textFill>
            <w14:solidFill>
              <w14:schemeClr w14:val="tx1"/>
            </w14:solidFill>
          </w14:textFill>
        </w:rPr>
        <w:t>35.49</w:t>
      </w:r>
      <w:r>
        <w:rPr>
          <w:rFonts w:hint="eastAsia" w:ascii="仿宋" w:hAnsi="仿宋" w:eastAsia="仿宋"/>
          <w:b w:val="0"/>
          <w:bCs w:val="0"/>
          <w:color w:val="000000" w:themeColor="text1"/>
          <w:sz w:val="32"/>
          <w:szCs w:val="32"/>
          <w14:textFill>
            <w14:solidFill>
              <w14:schemeClr w14:val="tx1"/>
            </w14:solidFill>
          </w14:textFill>
        </w:rPr>
        <w:t>万元，占</w:t>
      </w:r>
      <w:r>
        <w:rPr>
          <w:rFonts w:hint="eastAsia" w:ascii="仿宋" w:hAnsi="仿宋" w:eastAsia="仿宋"/>
          <w:b w:val="0"/>
          <w:bCs w:val="0"/>
          <w:color w:val="000000" w:themeColor="text1"/>
          <w:sz w:val="32"/>
          <w:szCs w:val="32"/>
          <w:lang w:val="en-US" w:eastAsia="zh-CN"/>
          <w14:textFill>
            <w14:solidFill>
              <w14:schemeClr w14:val="tx1"/>
            </w14:solidFill>
          </w14:textFill>
        </w:rPr>
        <w:t>0.39</w:t>
      </w:r>
      <w:r>
        <w:rPr>
          <w:rFonts w:ascii="仿宋" w:hAnsi="仿宋" w:eastAsia="仿宋"/>
          <w:b w:val="0"/>
          <w:bCs w:val="0"/>
          <w:color w:val="000000" w:themeColor="text1"/>
          <w:sz w:val="32"/>
          <w:szCs w:val="32"/>
          <w14:textFill>
            <w14:solidFill>
              <w14:schemeClr w14:val="tx1"/>
            </w14:solidFill>
          </w14:textFill>
        </w:rPr>
        <w:t>%</w:t>
      </w:r>
      <w:r>
        <w:rPr>
          <w:rFonts w:hint="eastAsia" w:ascii="仿宋" w:hAnsi="仿宋" w:eastAsia="仿宋"/>
          <w:b w:val="0"/>
          <w:bCs w:val="0"/>
          <w:color w:val="000000" w:themeColor="text1"/>
          <w:sz w:val="32"/>
          <w:szCs w:val="32"/>
          <w14:textFill>
            <w14:solidFill>
              <w14:schemeClr w14:val="tx1"/>
            </w14:solidFill>
          </w14:textFill>
        </w:rPr>
        <w:t>；</w:t>
      </w:r>
      <w:r>
        <w:rPr>
          <w:rFonts w:hint="eastAsia" w:ascii="仿宋" w:hAnsi="仿宋" w:eastAsia="仿宋"/>
          <w:b w:val="0"/>
          <w:bCs w:val="0"/>
          <w:color w:val="000000" w:themeColor="text1"/>
          <w:sz w:val="32"/>
          <w:szCs w:val="32"/>
          <w:lang w:eastAsia="zh-CN"/>
          <w14:textFill>
            <w14:solidFill>
              <w14:schemeClr w14:val="tx1"/>
            </w14:solidFill>
          </w14:textFill>
        </w:rPr>
        <w:t>农林水（类）支出</w:t>
      </w:r>
      <w:r>
        <w:rPr>
          <w:rFonts w:hint="eastAsia" w:ascii="仿宋" w:hAnsi="仿宋" w:eastAsia="仿宋"/>
          <w:b w:val="0"/>
          <w:bCs w:val="0"/>
          <w:color w:val="000000" w:themeColor="text1"/>
          <w:sz w:val="32"/>
          <w:szCs w:val="32"/>
          <w:lang w:val="en-US" w:eastAsia="zh-CN"/>
          <w14:textFill>
            <w14:solidFill>
              <w14:schemeClr w14:val="tx1"/>
            </w14:solidFill>
          </w14:textFill>
        </w:rPr>
        <w:t>8285.51万元；</w:t>
      </w:r>
      <w:r>
        <w:rPr>
          <w:rFonts w:hint="eastAsia" w:ascii="仿宋" w:hAnsi="仿宋" w:eastAsia="仿宋"/>
          <w:b w:val="0"/>
          <w:bCs w:val="0"/>
          <w:color w:val="000000" w:themeColor="text1"/>
          <w:sz w:val="32"/>
          <w:szCs w:val="32"/>
          <w14:textFill>
            <w14:solidFill>
              <w14:schemeClr w14:val="tx1"/>
            </w14:solidFill>
          </w14:textFill>
        </w:rPr>
        <w:t>住房保障</w:t>
      </w:r>
      <w:r>
        <w:rPr>
          <w:rFonts w:hint="eastAsia" w:ascii="仿宋" w:hAnsi="仿宋" w:eastAsia="仿宋"/>
          <w:b w:val="0"/>
          <w:bCs w:val="0"/>
          <w:color w:val="000000" w:themeColor="text1"/>
          <w:sz w:val="32"/>
          <w:szCs w:val="32"/>
          <w:lang w:eastAsia="zh-CN"/>
          <w14:textFill>
            <w14:solidFill>
              <w14:schemeClr w14:val="tx1"/>
            </w14:solidFill>
          </w14:textFill>
        </w:rPr>
        <w:t>（类）</w:t>
      </w:r>
      <w:r>
        <w:rPr>
          <w:rFonts w:hint="eastAsia" w:ascii="仿宋" w:hAnsi="仿宋" w:eastAsia="仿宋"/>
          <w:b w:val="0"/>
          <w:bCs w:val="0"/>
          <w:color w:val="000000" w:themeColor="text1"/>
          <w:sz w:val="32"/>
          <w:szCs w:val="32"/>
          <w14:textFill>
            <w14:solidFill>
              <w14:schemeClr w14:val="tx1"/>
            </w14:solidFill>
          </w14:textFill>
        </w:rPr>
        <w:t>支出</w:t>
      </w:r>
      <w:r>
        <w:rPr>
          <w:rFonts w:hint="eastAsia" w:ascii="仿宋" w:hAnsi="仿宋" w:eastAsia="仿宋"/>
          <w:b w:val="0"/>
          <w:bCs w:val="0"/>
          <w:color w:val="000000" w:themeColor="text1"/>
          <w:sz w:val="32"/>
          <w:szCs w:val="32"/>
          <w:lang w:val="en-US" w:eastAsia="zh-CN"/>
          <w14:textFill>
            <w14:solidFill>
              <w14:schemeClr w14:val="tx1"/>
            </w14:solidFill>
          </w14:textFill>
        </w:rPr>
        <w:t>111.89</w:t>
      </w:r>
      <w:r>
        <w:rPr>
          <w:rFonts w:hint="eastAsia" w:ascii="仿宋" w:hAnsi="仿宋" w:eastAsia="仿宋"/>
          <w:b w:val="0"/>
          <w:bCs w:val="0"/>
          <w:color w:val="000000" w:themeColor="text1"/>
          <w:sz w:val="32"/>
          <w:szCs w:val="32"/>
          <w14:textFill>
            <w14:solidFill>
              <w14:schemeClr w14:val="tx1"/>
            </w14:solidFill>
          </w14:textFill>
        </w:rPr>
        <w:t>万元，占</w:t>
      </w:r>
      <w:r>
        <w:rPr>
          <w:rFonts w:hint="eastAsia" w:ascii="仿宋" w:hAnsi="仿宋" w:eastAsia="仿宋"/>
          <w:b w:val="0"/>
          <w:bCs w:val="0"/>
          <w:color w:val="000000" w:themeColor="text1"/>
          <w:sz w:val="32"/>
          <w:szCs w:val="32"/>
          <w:lang w:val="en-US" w:eastAsia="zh-CN"/>
          <w14:textFill>
            <w14:solidFill>
              <w14:schemeClr w14:val="tx1"/>
            </w14:solidFill>
          </w14:textFill>
        </w:rPr>
        <w:t>1.23</w:t>
      </w:r>
      <w:r>
        <w:rPr>
          <w:rFonts w:ascii="仿宋" w:hAnsi="仿宋" w:eastAsia="仿宋"/>
          <w:b w:val="0"/>
          <w:bCs w:val="0"/>
          <w:color w:val="000000" w:themeColor="text1"/>
          <w:sz w:val="32"/>
          <w:szCs w:val="32"/>
          <w14:textFill>
            <w14:solidFill>
              <w14:schemeClr w14:val="tx1"/>
            </w14:solidFill>
          </w14:textFill>
        </w:rPr>
        <w:t>%</w:t>
      </w:r>
      <w:r>
        <w:rPr>
          <w:rFonts w:hint="eastAsia" w:ascii="仿宋" w:hAnsi="仿宋" w:eastAsia="仿宋"/>
          <w:b w:val="0"/>
          <w:bCs w:val="0"/>
          <w:color w:val="000000" w:themeColor="text1"/>
          <w:sz w:val="32"/>
          <w:szCs w:val="32"/>
          <w14:textFill>
            <w14:solidFill>
              <w14:schemeClr w14:val="tx1"/>
            </w14:solidFill>
          </w14:textFill>
        </w:rPr>
        <w:t>。</w:t>
      </w:r>
    </w:p>
    <w:p>
      <w:pPr>
        <w:pageBreakBefore w:val="0"/>
        <w:kinsoku/>
        <w:wordWrap/>
        <w:overflowPunct/>
        <w:topLinePunct w:val="0"/>
        <w:bidi w:val="0"/>
        <w:spacing w:line="590" w:lineRule="exact"/>
        <w:ind w:firstLine="0" w:firstLineChars="0"/>
        <w:rPr>
          <w:rFonts w:ascii="仿宋" w:hAnsi="仿宋" w:eastAsia="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1059" w:leftChars="304" w:hanging="421" w:hangingChars="131"/>
        <w:textAlignment w:val="auto"/>
        <w:outlineLvl w:val="2"/>
        <w:rPr>
          <w:rFonts w:ascii="仿宋" w:hAnsi="仿宋" w:eastAsia="仿宋"/>
          <w:b/>
          <w:color w:val="000000"/>
          <w:sz w:val="32"/>
          <w:szCs w:val="32"/>
        </w:rPr>
      </w:pPr>
      <w:bookmarkStart w:id="86" w:name="_Toc15377212"/>
      <w:r>
        <w:rPr>
          <w:rFonts w:hint="eastAsia" w:ascii="仿宋" w:hAnsi="仿宋" w:eastAsia="仿宋"/>
          <w:b/>
          <w:color w:val="000000"/>
          <w:sz w:val="32"/>
          <w:szCs w:val="32"/>
        </w:rPr>
        <w:t>（三）一般公共预算财政拨款支出决算具体情况</w:t>
      </w:r>
      <w:bookmarkEnd w:id="86"/>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outlineLvl w:val="2"/>
        <w:rPr>
          <w:rFonts w:ascii="仿宋" w:hAnsi="仿宋" w:eastAsia="仿宋"/>
          <w:color w:val="FF0000"/>
          <w:sz w:val="32"/>
          <w:szCs w:val="32"/>
        </w:rPr>
      </w:pPr>
      <w:bookmarkStart w:id="87" w:name="_Toc15378460"/>
      <w:bookmarkStart w:id="88" w:name="_Toc15377213"/>
      <w:bookmarkStart w:id="89" w:name="_Toc15377444"/>
      <w:r>
        <w:rPr>
          <w:rFonts w:hint="eastAsia" w:ascii="仿宋" w:hAnsi="仿宋" w:eastAsia="仿宋"/>
          <w:b/>
          <w:color w:val="000000" w:themeColor="text1"/>
          <w:sz w:val="32"/>
          <w:szCs w:val="32"/>
          <w14:textFill>
            <w14:solidFill>
              <w14:schemeClr w14:val="tx1"/>
            </w14:solidFill>
          </w14:textFill>
        </w:rPr>
        <w:t>2019年</w:t>
      </w:r>
      <w:r>
        <w:rPr>
          <w:rFonts w:hint="eastAsia" w:ascii="仿宋" w:hAnsi="仿宋" w:eastAsia="仿宋"/>
          <w:b/>
          <w:color w:val="000000" w:themeColor="text1"/>
          <w:sz w:val="32"/>
          <w:szCs w:val="32"/>
          <w:lang w:eastAsia="zh-CN"/>
          <w14:textFill>
            <w14:solidFill>
              <w14:schemeClr w14:val="tx1"/>
            </w14:solidFill>
          </w14:textFill>
        </w:rPr>
        <w:t>一</w:t>
      </w:r>
      <w:r>
        <w:rPr>
          <w:rFonts w:hint="eastAsia" w:ascii="仿宋" w:hAnsi="仿宋" w:eastAsia="仿宋"/>
          <w:b/>
          <w:color w:val="000000" w:themeColor="text1"/>
          <w:sz w:val="32"/>
          <w:szCs w:val="32"/>
          <w14:textFill>
            <w14:solidFill>
              <w14:schemeClr w14:val="tx1"/>
            </w14:solidFill>
          </w14:textFill>
        </w:rPr>
        <w:t>般公共预算支出决算数为</w:t>
      </w:r>
      <w:r>
        <w:rPr>
          <w:rFonts w:hint="eastAsia" w:ascii="仿宋" w:hAnsi="仿宋" w:eastAsia="仿宋"/>
          <w:b/>
          <w:color w:val="000000" w:themeColor="text1"/>
          <w:sz w:val="32"/>
          <w:szCs w:val="32"/>
          <w:lang w:val="en-US" w:eastAsia="zh-CN"/>
          <w14:textFill>
            <w14:solidFill>
              <w14:schemeClr w14:val="tx1"/>
            </w14:solidFill>
          </w14:textFill>
        </w:rPr>
        <w:t>9124.98</w:t>
      </w:r>
      <w:r>
        <w:rPr>
          <w:rFonts w:hint="eastAsia" w:ascii="仿宋" w:hAnsi="仿宋" w:eastAsia="仿宋"/>
          <w:color w:val="000000" w:themeColor="text1"/>
          <w:sz w:val="32"/>
          <w:szCs w:val="32"/>
          <w14:textFill>
            <w14:solidFill>
              <w14:schemeClr w14:val="tx1"/>
            </w14:solidFill>
          </w14:textFill>
        </w:rPr>
        <w:t>，</w:t>
      </w:r>
      <w:r>
        <w:rPr>
          <w:rStyle w:val="14"/>
          <w:rFonts w:hint="eastAsia" w:ascii="仿宋" w:hAnsi="仿宋" w:eastAsia="仿宋"/>
          <w:bCs/>
          <w:color w:val="000000" w:themeColor="text1"/>
          <w:sz w:val="32"/>
          <w:szCs w:val="32"/>
          <w14:textFill>
            <w14:solidFill>
              <w14:schemeClr w14:val="tx1"/>
            </w14:solidFill>
          </w14:textFill>
        </w:rPr>
        <w:t>完成</w:t>
      </w:r>
      <w:r>
        <w:rPr>
          <w:rStyle w:val="14"/>
          <w:rFonts w:hint="eastAsia" w:ascii="仿宋" w:hAnsi="仿宋" w:eastAsia="仿宋"/>
          <w:bCs/>
          <w:color w:val="000000"/>
          <w:sz w:val="32"/>
          <w:szCs w:val="32"/>
        </w:rPr>
        <w:t>预算</w:t>
      </w:r>
      <w:r>
        <w:rPr>
          <w:rStyle w:val="14"/>
          <w:rFonts w:hint="eastAsia" w:ascii="仿宋" w:hAnsi="仿宋" w:eastAsia="仿宋"/>
          <w:bCs/>
          <w:color w:val="000000"/>
          <w:sz w:val="32"/>
          <w:szCs w:val="32"/>
          <w:lang w:val="en-US" w:eastAsia="zh-CN"/>
        </w:rPr>
        <w:t>96.84</w:t>
      </w:r>
      <w:r>
        <w:rPr>
          <w:rStyle w:val="14"/>
          <w:rFonts w:ascii="仿宋" w:hAnsi="仿宋" w:eastAsia="仿宋"/>
          <w:bCs/>
          <w:color w:val="000000"/>
          <w:sz w:val="32"/>
          <w:szCs w:val="32"/>
        </w:rPr>
        <w:t>%</w:t>
      </w:r>
      <w:r>
        <w:rPr>
          <w:rStyle w:val="14"/>
          <w:rFonts w:hint="eastAsia" w:ascii="仿宋" w:hAnsi="仿宋" w:eastAsia="仿宋"/>
          <w:bCs/>
          <w:color w:val="000000"/>
          <w:sz w:val="32"/>
          <w:szCs w:val="32"/>
        </w:rPr>
        <w:t>。其中：</w:t>
      </w:r>
      <w:bookmarkEnd w:id="87"/>
      <w:bookmarkEnd w:id="88"/>
      <w:bookmarkEnd w:id="89"/>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b/>
          <w:color w:val="000000"/>
          <w:sz w:val="32"/>
          <w:szCs w:val="32"/>
        </w:rPr>
      </w:pPr>
      <w:r>
        <w:rPr>
          <w:rStyle w:val="14"/>
          <w:rFonts w:ascii="仿宋" w:hAnsi="仿宋" w:eastAsia="仿宋"/>
          <w:bCs/>
          <w:color w:val="000000"/>
          <w:sz w:val="32"/>
          <w:szCs w:val="32"/>
        </w:rPr>
        <w:t>1.</w:t>
      </w:r>
      <w:r>
        <w:rPr>
          <w:rStyle w:val="14"/>
          <w:rFonts w:hint="eastAsia" w:ascii="仿宋" w:hAnsi="仿宋" w:eastAsia="仿宋"/>
          <w:bCs/>
          <w:color w:val="000000"/>
          <w:sz w:val="32"/>
          <w:szCs w:val="32"/>
        </w:rPr>
        <w:t>一般公共服务（类）</w:t>
      </w:r>
      <w:r>
        <w:rPr>
          <w:rStyle w:val="14"/>
          <w:rFonts w:hint="eastAsia" w:ascii="仿宋" w:hAnsi="仿宋" w:eastAsia="仿宋"/>
          <w:bCs/>
          <w:color w:val="000000"/>
          <w:sz w:val="32"/>
          <w:szCs w:val="32"/>
          <w:lang w:eastAsia="zh-CN"/>
        </w:rPr>
        <w:t>组织事务</w:t>
      </w:r>
      <w:r>
        <w:rPr>
          <w:rStyle w:val="14"/>
          <w:rFonts w:hint="eastAsia" w:ascii="仿宋" w:hAnsi="仿宋" w:eastAsia="仿宋"/>
          <w:bCs/>
          <w:color w:val="000000"/>
          <w:sz w:val="32"/>
          <w:szCs w:val="32"/>
        </w:rPr>
        <w:t>（款）</w:t>
      </w:r>
      <w:r>
        <w:rPr>
          <w:rStyle w:val="14"/>
          <w:rFonts w:hint="eastAsia" w:ascii="仿宋" w:hAnsi="仿宋" w:eastAsia="仿宋"/>
          <w:bCs/>
          <w:color w:val="000000"/>
          <w:sz w:val="32"/>
          <w:szCs w:val="32"/>
          <w:lang w:eastAsia="zh-CN"/>
        </w:rPr>
        <w:t>一般行政管理实务</w:t>
      </w:r>
      <w:r>
        <w:rPr>
          <w:rStyle w:val="14"/>
          <w:rFonts w:hint="eastAsia" w:ascii="仿宋" w:hAnsi="仿宋" w:eastAsia="仿宋"/>
          <w:bCs/>
          <w:color w:val="000000"/>
          <w:sz w:val="32"/>
          <w:szCs w:val="32"/>
        </w:rPr>
        <w:t>（项）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283.30</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53.32</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，决算数小于预算数的主要原因是</w:t>
      </w:r>
      <w:r>
        <w:rPr>
          <w:rStyle w:val="14"/>
          <w:rFonts w:hint="eastAsia" w:ascii="仿宋" w:hAnsi="仿宋" w:eastAsia="仿宋"/>
          <w:b w:val="0"/>
          <w:bCs/>
          <w:color w:val="000000"/>
          <w:sz w:val="32"/>
          <w:szCs w:val="32"/>
          <w:lang w:eastAsia="zh-CN"/>
        </w:rPr>
        <w:t>项目正在结算评审中</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b/>
          <w:color w:val="000000"/>
          <w:sz w:val="32"/>
          <w:szCs w:val="32"/>
        </w:rPr>
      </w:pPr>
      <w:r>
        <w:rPr>
          <w:rStyle w:val="14"/>
          <w:rFonts w:ascii="仿宋" w:hAnsi="仿宋" w:eastAsia="仿宋"/>
          <w:bCs/>
          <w:color w:val="000000"/>
          <w:sz w:val="32"/>
          <w:szCs w:val="32"/>
        </w:rPr>
        <w:t>2.</w:t>
      </w:r>
      <w:r>
        <w:rPr>
          <w:rStyle w:val="14"/>
          <w:rFonts w:hint="eastAsia" w:ascii="仿宋" w:hAnsi="仿宋" w:eastAsia="仿宋"/>
          <w:bCs/>
          <w:color w:val="000000"/>
          <w:sz w:val="32"/>
          <w:szCs w:val="32"/>
          <w:lang w:eastAsia="zh-CN"/>
        </w:rPr>
        <w:t>社会保障和就业</w:t>
      </w:r>
      <w:r>
        <w:rPr>
          <w:rStyle w:val="14"/>
          <w:rFonts w:hint="eastAsia" w:ascii="仿宋" w:hAnsi="仿宋" w:eastAsia="仿宋"/>
          <w:bCs/>
          <w:color w:val="000000"/>
          <w:sz w:val="32"/>
          <w:szCs w:val="32"/>
        </w:rPr>
        <w:t>（类）</w:t>
      </w:r>
      <w:r>
        <w:rPr>
          <w:rStyle w:val="14"/>
          <w:rFonts w:hint="eastAsia" w:ascii="仿宋" w:hAnsi="仿宋" w:eastAsia="仿宋"/>
          <w:bCs/>
          <w:color w:val="000000"/>
          <w:sz w:val="32"/>
          <w:szCs w:val="32"/>
          <w:lang w:eastAsia="zh-CN"/>
        </w:rPr>
        <w:t>行政事业单位养老</w:t>
      </w:r>
      <w:r>
        <w:rPr>
          <w:rStyle w:val="14"/>
          <w:rFonts w:hint="eastAsia" w:ascii="仿宋" w:hAnsi="仿宋" w:eastAsia="仿宋"/>
          <w:bCs/>
          <w:color w:val="000000"/>
          <w:sz w:val="32"/>
          <w:szCs w:val="32"/>
        </w:rPr>
        <w:t>（款）</w:t>
      </w:r>
      <w:r>
        <w:rPr>
          <w:rStyle w:val="14"/>
          <w:rFonts w:hint="eastAsia" w:ascii="仿宋" w:hAnsi="仿宋" w:eastAsia="仿宋"/>
          <w:bCs/>
          <w:color w:val="000000"/>
          <w:sz w:val="32"/>
          <w:szCs w:val="32"/>
          <w:lang w:eastAsia="zh-CN"/>
        </w:rPr>
        <w:t>归口管理的行政单位离退休</w:t>
      </w:r>
      <w:r>
        <w:rPr>
          <w:rStyle w:val="14"/>
          <w:rFonts w:hint="eastAsia" w:ascii="仿宋" w:hAnsi="仿宋" w:eastAsia="仿宋"/>
          <w:bCs/>
          <w:color w:val="000000"/>
          <w:sz w:val="32"/>
          <w:szCs w:val="32"/>
        </w:rPr>
        <w:t>（项）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43.45</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b/>
          <w:color w:val="000000"/>
          <w:sz w:val="32"/>
          <w:szCs w:val="32"/>
        </w:rPr>
      </w:pPr>
      <w:r>
        <w:rPr>
          <w:rStyle w:val="14"/>
          <w:rFonts w:ascii="仿宋" w:hAnsi="仿宋" w:eastAsia="仿宋"/>
          <w:bCs/>
          <w:color w:val="000000"/>
          <w:sz w:val="32"/>
          <w:szCs w:val="32"/>
        </w:rPr>
        <w:t>3.</w:t>
      </w:r>
      <w:r>
        <w:rPr>
          <w:rStyle w:val="14"/>
          <w:rFonts w:hint="eastAsia" w:ascii="仿宋" w:hAnsi="仿宋" w:eastAsia="仿宋"/>
          <w:bCs/>
          <w:color w:val="000000"/>
          <w:sz w:val="32"/>
          <w:szCs w:val="32"/>
          <w:lang w:eastAsia="zh-CN"/>
        </w:rPr>
        <w:t>社会保障和就业</w:t>
      </w:r>
      <w:r>
        <w:rPr>
          <w:rStyle w:val="14"/>
          <w:rFonts w:hint="eastAsia" w:ascii="仿宋" w:hAnsi="仿宋" w:eastAsia="仿宋"/>
          <w:bCs/>
          <w:color w:val="000000"/>
          <w:sz w:val="32"/>
          <w:szCs w:val="32"/>
        </w:rPr>
        <w:t>（类）</w:t>
      </w:r>
      <w:r>
        <w:rPr>
          <w:rStyle w:val="14"/>
          <w:rFonts w:hint="eastAsia" w:ascii="仿宋" w:hAnsi="仿宋" w:eastAsia="仿宋"/>
          <w:bCs/>
          <w:color w:val="000000"/>
          <w:sz w:val="32"/>
          <w:szCs w:val="32"/>
          <w:lang w:eastAsia="zh-CN"/>
        </w:rPr>
        <w:t>行政事业单位养老</w:t>
      </w:r>
      <w:r>
        <w:rPr>
          <w:rStyle w:val="14"/>
          <w:rFonts w:hint="eastAsia" w:ascii="仿宋" w:hAnsi="仿宋" w:eastAsia="仿宋"/>
          <w:bCs/>
          <w:color w:val="000000"/>
          <w:sz w:val="32"/>
          <w:szCs w:val="32"/>
        </w:rPr>
        <w:t>（款）未归口管理的行政单位离退休（项）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17.59</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b/>
          <w:color w:val="000000"/>
          <w:sz w:val="32"/>
          <w:szCs w:val="32"/>
        </w:rPr>
      </w:pPr>
      <w:r>
        <w:rPr>
          <w:rStyle w:val="14"/>
          <w:rFonts w:ascii="仿宋" w:hAnsi="仿宋" w:eastAsia="仿宋"/>
          <w:bCs/>
          <w:color w:val="000000"/>
          <w:sz w:val="32"/>
          <w:szCs w:val="32"/>
        </w:rPr>
        <w:t>4.</w:t>
      </w:r>
      <w:r>
        <w:rPr>
          <w:rStyle w:val="14"/>
          <w:rFonts w:hint="eastAsia" w:ascii="仿宋" w:hAnsi="仿宋" w:eastAsia="仿宋"/>
          <w:bCs/>
          <w:color w:val="000000"/>
          <w:sz w:val="32"/>
          <w:szCs w:val="32"/>
          <w:lang w:eastAsia="zh-CN"/>
        </w:rPr>
        <w:t>社会保障和就业</w:t>
      </w:r>
      <w:r>
        <w:rPr>
          <w:rStyle w:val="14"/>
          <w:rFonts w:hint="eastAsia" w:ascii="仿宋" w:hAnsi="仿宋" w:eastAsia="仿宋"/>
          <w:bCs/>
          <w:color w:val="000000"/>
          <w:sz w:val="32"/>
          <w:szCs w:val="32"/>
        </w:rPr>
        <w:t>（类）</w:t>
      </w:r>
      <w:r>
        <w:rPr>
          <w:rStyle w:val="14"/>
          <w:rFonts w:hint="eastAsia" w:ascii="仿宋" w:hAnsi="仿宋" w:eastAsia="仿宋"/>
          <w:bCs/>
          <w:color w:val="000000"/>
          <w:sz w:val="32"/>
          <w:szCs w:val="32"/>
          <w:lang w:eastAsia="zh-CN"/>
        </w:rPr>
        <w:t>行政事业单位养老</w:t>
      </w:r>
      <w:r>
        <w:rPr>
          <w:rStyle w:val="14"/>
          <w:rFonts w:hint="eastAsia" w:ascii="仿宋" w:hAnsi="仿宋" w:eastAsia="仿宋"/>
          <w:bCs/>
          <w:color w:val="000000"/>
          <w:sz w:val="32"/>
          <w:szCs w:val="32"/>
        </w:rPr>
        <w:t>（款）机关事业单位基本养老保险缴费支出（项）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113.76</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b/>
          <w:color w:val="000000"/>
          <w:sz w:val="32"/>
          <w:szCs w:val="32"/>
        </w:rPr>
      </w:pPr>
      <w:r>
        <w:rPr>
          <w:rStyle w:val="14"/>
          <w:rFonts w:ascii="仿宋" w:hAnsi="仿宋" w:eastAsia="仿宋"/>
          <w:bCs/>
          <w:color w:val="000000"/>
          <w:sz w:val="32"/>
          <w:szCs w:val="32"/>
        </w:rPr>
        <w:t>5.</w:t>
      </w:r>
      <w:r>
        <w:rPr>
          <w:rStyle w:val="14"/>
          <w:rFonts w:hint="eastAsia" w:ascii="仿宋" w:hAnsi="仿宋" w:eastAsia="仿宋"/>
          <w:bCs/>
          <w:color w:val="000000"/>
          <w:sz w:val="32"/>
          <w:szCs w:val="32"/>
          <w:lang w:eastAsia="zh-CN"/>
        </w:rPr>
        <w:t>社会保障和就业</w:t>
      </w:r>
      <w:r>
        <w:rPr>
          <w:rStyle w:val="14"/>
          <w:rFonts w:hint="eastAsia" w:ascii="仿宋" w:hAnsi="仿宋" w:eastAsia="仿宋"/>
          <w:bCs/>
          <w:color w:val="000000"/>
          <w:sz w:val="32"/>
          <w:szCs w:val="32"/>
        </w:rPr>
        <w:t>（类）</w:t>
      </w:r>
      <w:r>
        <w:rPr>
          <w:rStyle w:val="14"/>
          <w:rFonts w:hint="eastAsia" w:ascii="仿宋" w:hAnsi="仿宋" w:eastAsia="仿宋"/>
          <w:bCs/>
          <w:color w:val="000000"/>
          <w:sz w:val="32"/>
          <w:szCs w:val="32"/>
          <w:lang w:eastAsia="zh-CN"/>
        </w:rPr>
        <w:t>行政事业单位养老</w:t>
      </w:r>
      <w:r>
        <w:rPr>
          <w:rStyle w:val="14"/>
          <w:rFonts w:hint="eastAsia" w:ascii="仿宋" w:hAnsi="仿宋" w:eastAsia="仿宋"/>
          <w:bCs/>
          <w:color w:val="000000"/>
          <w:sz w:val="32"/>
          <w:szCs w:val="32"/>
        </w:rPr>
        <w:t>（款）机关事业单位职业年金缴费支出（项）</w:t>
      </w:r>
      <w:r>
        <w:rPr>
          <w:rStyle w:val="14"/>
          <w:rFonts w:ascii="仿宋" w:hAnsi="仿宋" w:eastAsia="仿宋"/>
          <w:bCs/>
          <w:color w:val="000000"/>
          <w:sz w:val="32"/>
          <w:szCs w:val="32"/>
        </w:rPr>
        <w:t>:</w:t>
      </w:r>
      <w:r>
        <w:rPr>
          <w:rStyle w:val="14"/>
          <w:rFonts w:ascii="仿宋" w:hAnsi="仿宋" w:eastAsia="仿宋"/>
          <w:b w:val="0"/>
          <w:bCs/>
          <w:color w:val="000000"/>
          <w:sz w:val="32"/>
          <w:szCs w:val="32"/>
        </w:rPr>
        <w:t xml:space="preserve"> </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50.55</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ascii="仿宋" w:hAnsi="仿宋" w:eastAsia="仿宋"/>
          <w:bCs/>
          <w:color w:val="000000"/>
          <w:sz w:val="32"/>
          <w:szCs w:val="32"/>
        </w:rPr>
        <w:t>6.</w:t>
      </w:r>
      <w:r>
        <w:rPr>
          <w:rStyle w:val="14"/>
          <w:rFonts w:hint="eastAsia" w:ascii="仿宋" w:hAnsi="仿宋" w:eastAsia="仿宋"/>
          <w:bCs/>
          <w:color w:val="000000"/>
          <w:sz w:val="32"/>
          <w:szCs w:val="32"/>
          <w:lang w:eastAsia="zh-CN"/>
        </w:rPr>
        <w:t>社会保障和就业</w:t>
      </w:r>
      <w:r>
        <w:rPr>
          <w:rStyle w:val="14"/>
          <w:rFonts w:hint="eastAsia" w:ascii="仿宋" w:hAnsi="仿宋" w:eastAsia="仿宋"/>
          <w:bCs/>
          <w:color w:val="000000"/>
          <w:sz w:val="32"/>
          <w:szCs w:val="32"/>
        </w:rPr>
        <w:t>（类）</w:t>
      </w:r>
      <w:r>
        <w:rPr>
          <w:rStyle w:val="14"/>
          <w:rFonts w:hint="eastAsia" w:ascii="仿宋" w:hAnsi="仿宋" w:eastAsia="仿宋"/>
          <w:bCs/>
          <w:color w:val="000000"/>
          <w:sz w:val="32"/>
          <w:szCs w:val="32"/>
          <w:lang w:eastAsia="zh-CN"/>
        </w:rPr>
        <w:t>行政事业单位养老</w:t>
      </w:r>
      <w:r>
        <w:rPr>
          <w:rStyle w:val="14"/>
          <w:rFonts w:hint="eastAsia" w:ascii="仿宋" w:hAnsi="仿宋" w:eastAsia="仿宋"/>
          <w:bCs/>
          <w:color w:val="000000"/>
          <w:sz w:val="32"/>
          <w:szCs w:val="32"/>
        </w:rPr>
        <w:t>（款）其他行政事业单位离退休支出（项）</w:t>
      </w:r>
      <w:r>
        <w:rPr>
          <w:rStyle w:val="14"/>
          <w:rFonts w:ascii="仿宋" w:hAnsi="仿宋" w:eastAsia="仿宋"/>
          <w:bCs/>
          <w:color w:val="000000"/>
          <w:sz w:val="32"/>
          <w:szCs w:val="32"/>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112.72</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Cs/>
          <w:color w:val="000000"/>
          <w:sz w:val="32"/>
          <w:szCs w:val="32"/>
          <w:lang w:val="en-US" w:eastAsia="zh-CN"/>
        </w:rPr>
        <w:t>7</w:t>
      </w:r>
      <w:r>
        <w:rPr>
          <w:rStyle w:val="14"/>
          <w:rFonts w:ascii="仿宋" w:hAnsi="仿宋" w:eastAsia="仿宋"/>
          <w:bCs/>
          <w:color w:val="000000"/>
          <w:sz w:val="32"/>
          <w:szCs w:val="32"/>
        </w:rPr>
        <w:t>.</w:t>
      </w:r>
      <w:r>
        <w:rPr>
          <w:rStyle w:val="14"/>
          <w:rFonts w:hint="eastAsia" w:ascii="仿宋" w:hAnsi="仿宋" w:eastAsia="仿宋"/>
          <w:bCs/>
          <w:color w:val="000000"/>
          <w:sz w:val="32"/>
          <w:szCs w:val="32"/>
          <w:lang w:eastAsia="zh-CN"/>
        </w:rPr>
        <w:t>社会保障和就业</w:t>
      </w:r>
      <w:r>
        <w:rPr>
          <w:rStyle w:val="14"/>
          <w:rFonts w:hint="eastAsia" w:ascii="仿宋" w:hAnsi="仿宋" w:eastAsia="仿宋"/>
          <w:bCs/>
          <w:color w:val="000000"/>
          <w:sz w:val="32"/>
          <w:szCs w:val="32"/>
        </w:rPr>
        <w:t>（类）</w:t>
      </w:r>
      <w:r>
        <w:rPr>
          <w:rStyle w:val="14"/>
          <w:rFonts w:hint="eastAsia" w:ascii="仿宋" w:hAnsi="仿宋" w:eastAsia="仿宋"/>
          <w:bCs/>
          <w:color w:val="000000"/>
          <w:sz w:val="32"/>
          <w:szCs w:val="32"/>
          <w:lang w:eastAsia="zh-CN"/>
        </w:rPr>
        <w:t>抚恤（款）死亡抚恤（项）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64.90</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Cs/>
          <w:color w:val="000000"/>
          <w:sz w:val="32"/>
          <w:szCs w:val="32"/>
          <w:lang w:val="en-US" w:eastAsia="zh-CN"/>
        </w:rPr>
        <w:t>8</w:t>
      </w:r>
      <w:r>
        <w:rPr>
          <w:rStyle w:val="14"/>
          <w:rFonts w:ascii="仿宋" w:hAnsi="仿宋" w:eastAsia="仿宋"/>
          <w:bCs/>
          <w:color w:val="000000"/>
          <w:sz w:val="32"/>
          <w:szCs w:val="32"/>
        </w:rPr>
        <w:t>.</w:t>
      </w:r>
      <w:r>
        <w:rPr>
          <w:rStyle w:val="14"/>
          <w:rFonts w:hint="eastAsia" w:ascii="仿宋" w:hAnsi="仿宋" w:eastAsia="仿宋"/>
          <w:bCs/>
          <w:color w:val="000000"/>
          <w:sz w:val="32"/>
          <w:szCs w:val="32"/>
          <w:lang w:eastAsia="zh-CN"/>
        </w:rPr>
        <w:t>社会保障和就业</w:t>
      </w:r>
      <w:r>
        <w:rPr>
          <w:rStyle w:val="14"/>
          <w:rFonts w:hint="eastAsia" w:ascii="仿宋" w:hAnsi="仿宋" w:eastAsia="仿宋"/>
          <w:bCs/>
          <w:color w:val="000000"/>
          <w:sz w:val="32"/>
          <w:szCs w:val="32"/>
        </w:rPr>
        <w:t>（类）</w:t>
      </w:r>
      <w:r>
        <w:rPr>
          <w:rStyle w:val="14"/>
          <w:rFonts w:hint="eastAsia" w:ascii="仿宋" w:hAnsi="仿宋" w:eastAsia="仿宋"/>
          <w:bCs/>
          <w:color w:val="000000"/>
          <w:sz w:val="32"/>
          <w:szCs w:val="32"/>
          <w:lang w:eastAsia="zh-CN"/>
        </w:rPr>
        <w:t>其他社会保障和就业支出（款）其他社会保障和就业支出（项）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5.82</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9.卫生建康支出（类）行政事业单位医疗（款）  行政单位医疗（项）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16.98</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10.卫生建康支出（类）行政事业单位医疗（款） 事业单位医疗（项）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18.51</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11.农林水支出（类）水利（款）行政运行（项）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566.88</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12.农林水支出（类）水利（款）水利行业业务管理（项）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1867.57</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13.农林水支出（类）水利（款）水利工程建设（项）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3062.96</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14.农林水支出（类）水利（款）水土保持（项）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56.07</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15.农林水支出（类）水利（款）水文测报（项）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54.03</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16.农林水支出（类）水利（款）防汛（项）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35.01</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rPr>
      </w:pPr>
      <w:r>
        <w:rPr>
          <w:rStyle w:val="14"/>
          <w:rFonts w:hint="eastAsia" w:ascii="仿宋" w:hAnsi="仿宋" w:eastAsia="仿宋"/>
          <w:b/>
          <w:bCs w:val="0"/>
          <w:color w:val="000000"/>
          <w:sz w:val="32"/>
          <w:szCs w:val="32"/>
          <w:lang w:val="en-US" w:eastAsia="zh-CN"/>
        </w:rPr>
        <w:t>17.农林水支出（类）水利（款）江河湖库水系综合整治（项）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218.86</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Style w:val="14"/>
          <w:rFonts w:hint="eastAsia" w:ascii="仿宋" w:hAnsi="仿宋" w:eastAsia="仿宋"/>
          <w:b w:val="0"/>
          <w:bCs/>
          <w:color w:val="000000"/>
          <w:sz w:val="32"/>
          <w:szCs w:val="32"/>
          <w:highlight w:val="none"/>
        </w:rPr>
      </w:pPr>
      <w:r>
        <w:rPr>
          <w:rStyle w:val="14"/>
          <w:rFonts w:hint="eastAsia" w:ascii="仿宋" w:hAnsi="仿宋" w:eastAsia="仿宋"/>
          <w:b/>
          <w:bCs w:val="0"/>
          <w:color w:val="000000"/>
          <w:sz w:val="32"/>
          <w:szCs w:val="32"/>
          <w:lang w:val="en-US" w:eastAsia="zh-CN"/>
        </w:rPr>
        <w:t>18.农林水支出（类）水利（款）其他水利支出治（项）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2424.13</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97.98</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Style w:val="14"/>
          <w:rFonts w:hint="eastAsia" w:ascii="仿宋" w:hAnsi="仿宋" w:eastAsia="仿宋"/>
          <w:b w:val="0"/>
          <w:bCs/>
          <w:color w:val="000000"/>
          <w:sz w:val="32"/>
          <w:szCs w:val="32"/>
          <w:highlight w:val="none"/>
        </w:rPr>
        <w:t>决算数小于预算数的主要原因是</w:t>
      </w:r>
      <w:r>
        <w:rPr>
          <w:rStyle w:val="14"/>
          <w:rFonts w:hint="eastAsia" w:ascii="仿宋" w:hAnsi="仿宋" w:eastAsia="仿宋"/>
          <w:b w:val="0"/>
          <w:bCs/>
          <w:color w:val="000000"/>
          <w:sz w:val="32"/>
          <w:szCs w:val="32"/>
          <w:highlight w:val="none"/>
          <w:lang w:eastAsia="zh-CN"/>
        </w:rPr>
        <w:t>项目采购程序耗时较长，导致年度资金支付率较低</w:t>
      </w:r>
      <w:r>
        <w:rPr>
          <w:rStyle w:val="14"/>
          <w:rFonts w:hint="eastAsia" w:ascii="仿宋" w:hAnsi="仿宋" w:eastAsia="仿宋"/>
          <w:b w:val="0"/>
          <w:bCs/>
          <w:color w:val="00000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b/>
          <w:color w:val="000000"/>
          <w:sz w:val="32"/>
          <w:szCs w:val="32"/>
        </w:rPr>
      </w:pPr>
      <w:r>
        <w:rPr>
          <w:rStyle w:val="14"/>
          <w:rFonts w:hint="eastAsia" w:ascii="仿宋" w:hAnsi="仿宋" w:eastAsia="仿宋"/>
          <w:b/>
          <w:bCs w:val="0"/>
          <w:color w:val="000000"/>
          <w:sz w:val="32"/>
          <w:szCs w:val="32"/>
          <w:lang w:val="en-US" w:eastAsia="zh-CN"/>
        </w:rPr>
        <w:t>19.住房保障支出（类）住房改革支出（款）住房公积金（项）</w:t>
      </w:r>
      <w:r>
        <w:rPr>
          <w:rStyle w:val="14"/>
          <w:rFonts w:hint="eastAsia" w:ascii="仿宋" w:hAnsi="仿宋" w:eastAsia="仿宋"/>
          <w:b w:val="0"/>
          <w:bCs w:val="0"/>
          <w:color w:val="000000"/>
          <w:sz w:val="32"/>
          <w:szCs w:val="32"/>
          <w:lang w:eastAsia="zh-CN"/>
        </w:rPr>
        <w:t>：</w:t>
      </w:r>
      <w:r>
        <w:rPr>
          <w:rStyle w:val="14"/>
          <w:rFonts w:hint="eastAsia" w:ascii="仿宋" w:hAnsi="仿宋" w:eastAsia="仿宋"/>
          <w:b w:val="0"/>
          <w:bCs/>
          <w:color w:val="000000"/>
          <w:sz w:val="32"/>
          <w:szCs w:val="32"/>
        </w:rPr>
        <w:t>支出决算为</w:t>
      </w:r>
      <w:r>
        <w:rPr>
          <w:rStyle w:val="14"/>
          <w:rFonts w:hint="eastAsia" w:ascii="仿宋" w:hAnsi="仿宋" w:eastAsia="仿宋"/>
          <w:b w:val="0"/>
          <w:bCs/>
          <w:color w:val="000000"/>
          <w:sz w:val="32"/>
          <w:szCs w:val="32"/>
          <w:lang w:val="en-US" w:eastAsia="zh-CN"/>
        </w:rPr>
        <w:t>111.89</w:t>
      </w:r>
      <w:r>
        <w:rPr>
          <w:rStyle w:val="14"/>
          <w:rFonts w:hint="eastAsia" w:ascii="仿宋" w:hAnsi="仿宋" w:eastAsia="仿宋"/>
          <w:b w:val="0"/>
          <w:bCs/>
          <w:color w:val="000000"/>
          <w:sz w:val="32"/>
          <w:szCs w:val="32"/>
        </w:rPr>
        <w:t>万元，完成预算</w:t>
      </w:r>
      <w:r>
        <w:rPr>
          <w:rStyle w:val="14"/>
          <w:rFonts w:hint="eastAsia" w:ascii="仿宋" w:hAnsi="仿宋" w:eastAsia="仿宋"/>
          <w:b w:val="0"/>
          <w:bCs/>
          <w:color w:val="000000"/>
          <w:sz w:val="32"/>
          <w:szCs w:val="32"/>
          <w:lang w:val="en-US" w:eastAsia="zh-CN"/>
        </w:rPr>
        <w:t>100</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p>
    <w:p>
      <w:pPr>
        <w:keepNext w:val="0"/>
        <w:keepLines w:val="0"/>
        <w:pageBreakBefore w:val="0"/>
        <w:widowControl w:val="0"/>
        <w:tabs>
          <w:tab w:val="right" w:pos="8306"/>
        </w:tabs>
        <w:kinsoku/>
        <w:wordWrap/>
        <w:overflowPunct/>
        <w:topLinePunct w:val="0"/>
        <w:autoSpaceDE/>
        <w:autoSpaceDN/>
        <w:bidi w:val="0"/>
        <w:adjustRightInd/>
        <w:snapToGrid/>
        <w:spacing w:line="600" w:lineRule="exact"/>
        <w:ind w:firstLine="640" w:firstLineChars="200"/>
        <w:textAlignment w:val="auto"/>
        <w:outlineLvl w:val="1"/>
        <w:rPr>
          <w:rStyle w:val="26"/>
        </w:rPr>
      </w:pPr>
      <w:bookmarkStart w:id="90" w:name="_Toc15396608"/>
      <w:bookmarkStart w:id="91" w:name="_Toc15377214"/>
      <w:bookmarkStart w:id="92" w:name="_Toc23361_WPSOffice_Level2"/>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90"/>
      <w:bookmarkEnd w:id="91"/>
      <w:bookmarkEnd w:id="92"/>
      <w:r>
        <w:rPr>
          <w:rStyle w:val="26"/>
          <w:rFonts w:ascii="黑体" w:hAnsi="黑体" w:eastAsia="黑体"/>
          <w:b w:val="0"/>
        </w:rPr>
        <w:tab/>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000000"/>
          <w:sz w:val="32"/>
          <w:szCs w:val="32"/>
        </w:rPr>
      </w:pPr>
      <w:r>
        <w:rPr>
          <w:rFonts w:ascii="仿宋" w:hAnsi="仿宋" w:eastAsia="仿宋"/>
          <w:color w:val="000000"/>
          <w:sz w:val="32"/>
          <w:szCs w:val="32"/>
        </w:rPr>
        <w:t>201</w:t>
      </w:r>
      <w:r>
        <w:rPr>
          <w:rFonts w:hint="eastAsia" w:ascii="仿宋" w:hAnsi="仿宋" w:eastAsia="仿宋"/>
          <w:color w:val="000000"/>
          <w:sz w:val="32"/>
          <w:szCs w:val="32"/>
        </w:rPr>
        <w:t>9年一般公共预算财政拨款基本支出</w:t>
      </w:r>
      <w:r>
        <w:rPr>
          <w:rFonts w:hint="eastAsia" w:ascii="仿宋" w:hAnsi="仿宋" w:eastAsia="仿宋"/>
          <w:color w:val="000000"/>
          <w:sz w:val="32"/>
          <w:szCs w:val="32"/>
          <w:lang w:val="en-US" w:eastAsia="zh-CN"/>
        </w:rPr>
        <w:t>2651.56</w:t>
      </w:r>
      <w:r>
        <w:rPr>
          <w:rFonts w:hint="eastAsia" w:ascii="仿宋" w:hAnsi="仿宋" w:eastAsia="仿宋"/>
          <w:color w:val="000000"/>
          <w:sz w:val="32"/>
          <w:szCs w:val="32"/>
        </w:rPr>
        <w:t>万元，其中：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000000"/>
          <w:sz w:val="32"/>
          <w:szCs w:val="32"/>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2523.03</w:t>
      </w:r>
      <w:r>
        <w:rPr>
          <w:rFonts w:hint="eastAsia" w:ascii="仿宋" w:hAnsi="仿宋" w:eastAsia="仿宋"/>
          <w:color w:val="000000"/>
          <w:sz w:val="32"/>
          <w:szCs w:val="32"/>
        </w:rPr>
        <w:t>万元，主要包括：基本工资、津贴补贴、奖金、伙食补助费、绩效工资、机关事业单位基本养老保险缴费、职业年金缴费、</w:t>
      </w:r>
      <w:r>
        <w:rPr>
          <w:rFonts w:hint="eastAsia" w:ascii="仿宋" w:hAnsi="仿宋" w:eastAsia="仿宋"/>
          <w:color w:val="000000"/>
          <w:sz w:val="32"/>
          <w:szCs w:val="32"/>
          <w:lang w:eastAsia="zh-CN"/>
        </w:rPr>
        <w:t>职工基本医疗保险缴费、</w:t>
      </w:r>
      <w:r>
        <w:rPr>
          <w:rFonts w:hint="eastAsia" w:ascii="仿宋" w:hAnsi="仿宋" w:eastAsia="仿宋"/>
          <w:color w:val="000000"/>
          <w:sz w:val="32"/>
          <w:szCs w:val="32"/>
        </w:rPr>
        <w:t>其他社会保障缴费、</w:t>
      </w:r>
      <w:r>
        <w:rPr>
          <w:rFonts w:hint="eastAsia" w:ascii="仿宋" w:hAnsi="仿宋" w:eastAsia="仿宋"/>
          <w:color w:val="000000"/>
          <w:sz w:val="32"/>
          <w:szCs w:val="32"/>
          <w:lang w:eastAsia="zh-CN"/>
        </w:rPr>
        <w:t>住房公积金、</w:t>
      </w:r>
      <w:r>
        <w:rPr>
          <w:rFonts w:hint="eastAsia" w:ascii="仿宋" w:hAnsi="仿宋" w:eastAsia="仿宋"/>
          <w:color w:val="000000"/>
          <w:sz w:val="32"/>
          <w:szCs w:val="32"/>
        </w:rPr>
        <w:t>其他工资福利支出、离休费、抚恤金、生活补助、奖励金、其他对个人和家庭的补助支出等。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w:t>
      </w:r>
      <w:r>
        <w:rPr>
          <w:rFonts w:hint="eastAsia" w:ascii="仿宋" w:hAnsi="仿宋" w:eastAsia="仿宋"/>
          <w:color w:val="000000"/>
          <w:sz w:val="32"/>
          <w:szCs w:val="32"/>
          <w:lang w:val="en-US" w:eastAsia="zh-CN"/>
        </w:rPr>
        <w:t>128.55</w:t>
      </w:r>
      <w:r>
        <w:rPr>
          <w:rFonts w:hint="eastAsia" w:ascii="仿宋" w:hAnsi="仿宋" w:eastAsia="仿宋"/>
          <w:color w:val="000000"/>
          <w:sz w:val="32"/>
          <w:szCs w:val="32"/>
        </w:rPr>
        <w:t>万元，主要包括：办公费、手续费、水费、电费、邮电费、物业管理费、差旅费、维修（护）费、劳务费、工会经费、福利费、公务用车运行维护费、其他交通费、税金及附加费用、其他商品和服务支出等。</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outlineLvl w:val="1"/>
        <w:rPr>
          <w:rStyle w:val="26"/>
          <w:rFonts w:ascii="黑体" w:hAnsi="黑体" w:eastAsia="黑体"/>
          <w:b w:val="0"/>
        </w:rPr>
      </w:pPr>
      <w:bookmarkStart w:id="93" w:name="_Toc15377215"/>
      <w:bookmarkStart w:id="94" w:name="_Toc15396609"/>
      <w:bookmarkStart w:id="95" w:name="_Toc17686_WPSOffice_Level2"/>
      <w:r>
        <w:rPr>
          <w:rFonts w:hint="eastAsia" w:ascii="黑体" w:eastAsia="黑体"/>
          <w:color w:val="000000"/>
          <w:sz w:val="32"/>
          <w:szCs w:val="32"/>
        </w:rPr>
        <w:t>七、</w:t>
      </w:r>
      <w:r>
        <w:rPr>
          <w:rStyle w:val="26"/>
          <w:rFonts w:hint="eastAsia" w:ascii="黑体" w:hAnsi="黑体" w:eastAsia="黑体"/>
        </w:rPr>
        <w:t>“</w:t>
      </w:r>
      <w:r>
        <w:rPr>
          <w:rStyle w:val="26"/>
          <w:rFonts w:hint="eastAsia" w:ascii="黑体" w:hAnsi="黑体" w:eastAsia="黑体"/>
          <w:b w:val="0"/>
        </w:rPr>
        <w:t>三公”经费财政拨款支出决算情况说明</w:t>
      </w:r>
      <w:bookmarkEnd w:id="93"/>
      <w:bookmarkEnd w:id="94"/>
      <w:bookmarkEnd w:id="95"/>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ascii="仿宋" w:hAnsi="仿宋" w:eastAsia="仿宋"/>
          <w:b/>
          <w:color w:val="000000"/>
          <w:sz w:val="32"/>
          <w:szCs w:val="32"/>
        </w:rPr>
      </w:pPr>
      <w:bookmarkStart w:id="96" w:name="_Toc15377216"/>
      <w:r>
        <w:rPr>
          <w:rFonts w:hint="eastAsia" w:ascii="仿宋" w:hAnsi="仿宋" w:eastAsia="仿宋"/>
          <w:b/>
          <w:color w:val="000000"/>
          <w:sz w:val="32"/>
          <w:szCs w:val="32"/>
        </w:rPr>
        <w:t>（一）“三公”经费财政拨款支出决算总体情况说明</w:t>
      </w:r>
      <w:bookmarkEnd w:id="96"/>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000000"/>
          <w:sz w:val="32"/>
          <w:szCs w:val="32"/>
          <w:highlight w:val="none"/>
        </w:rPr>
      </w:pP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9年“三公”经费财政拨款支出决算为</w:t>
      </w:r>
      <w:r>
        <w:rPr>
          <w:rFonts w:hint="eastAsia" w:ascii="仿宋" w:hAnsi="仿宋" w:eastAsia="仿宋"/>
          <w:color w:val="000000"/>
          <w:sz w:val="32"/>
          <w:szCs w:val="32"/>
          <w:lang w:val="en-US" w:eastAsia="zh-CN"/>
        </w:rPr>
        <w:t>40.53</w:t>
      </w:r>
      <w:r>
        <w:rPr>
          <w:rFonts w:hint="eastAsia" w:ascii="仿宋" w:hAnsi="仿宋" w:eastAsia="仿宋"/>
          <w:color w:val="000000"/>
          <w:sz w:val="32"/>
          <w:szCs w:val="32"/>
        </w:rPr>
        <w:t>万元，完成预算</w:t>
      </w:r>
      <w:r>
        <w:rPr>
          <w:rFonts w:hint="eastAsia" w:ascii="仿宋" w:hAnsi="仿宋" w:eastAsia="仿宋"/>
          <w:color w:val="000000"/>
          <w:sz w:val="32"/>
          <w:szCs w:val="32"/>
          <w:lang w:val="en-US" w:eastAsia="zh-CN"/>
        </w:rPr>
        <w:t>99.27</w:t>
      </w:r>
      <w:r>
        <w:rPr>
          <w:rFonts w:ascii="仿宋" w:hAnsi="仿宋" w:eastAsia="仿宋"/>
          <w:color w:val="000000"/>
          <w:sz w:val="32"/>
          <w:szCs w:val="32"/>
        </w:rPr>
        <w:t>%</w:t>
      </w:r>
      <w:r>
        <w:rPr>
          <w:rFonts w:hint="eastAsia" w:ascii="仿宋" w:hAnsi="仿宋" w:eastAsia="仿宋"/>
          <w:color w:val="000000"/>
          <w:sz w:val="32"/>
          <w:szCs w:val="32"/>
        </w:rPr>
        <w:t>，决算数小于预算数的主要原因是</w:t>
      </w:r>
      <w:r>
        <w:rPr>
          <w:rFonts w:hint="eastAsia" w:ascii="仿宋" w:hAnsi="仿宋" w:eastAsia="仿宋"/>
          <w:color w:val="000000"/>
          <w:sz w:val="32"/>
          <w:szCs w:val="32"/>
          <w:lang w:val="en-US" w:eastAsia="zh-CN"/>
        </w:rPr>
        <w:t>2019年</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部门各单位积极贯彻落实中央八项规定和省委省政府十项规定，严格压缩</w:t>
      </w:r>
      <w:r>
        <w:rPr>
          <w:rFonts w:hint="eastAsia" w:ascii="仿宋" w:hAnsi="仿宋" w:eastAsia="仿宋"/>
          <w:color w:val="000000"/>
          <w:sz w:val="32"/>
          <w:szCs w:val="32"/>
          <w:highlight w:val="none"/>
          <w:lang w:eastAsia="zh-CN"/>
        </w:rPr>
        <w:t>“三公”经费支出</w:t>
      </w:r>
      <w:r>
        <w:rPr>
          <w:rFonts w:hint="eastAsia" w:ascii="仿宋" w:hAnsi="仿宋" w:eastAsia="仿宋"/>
          <w:color w:val="00000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3" w:firstLineChars="200"/>
        <w:textAlignment w:val="auto"/>
        <w:outlineLvl w:val="2"/>
        <w:rPr>
          <w:rFonts w:ascii="仿宋" w:hAnsi="仿宋" w:eastAsia="仿宋"/>
          <w:b/>
          <w:color w:val="000000"/>
          <w:sz w:val="32"/>
          <w:szCs w:val="32"/>
        </w:rPr>
      </w:pPr>
      <w:bookmarkStart w:id="97" w:name="_Toc15377217"/>
      <w:r>
        <w:rPr>
          <w:rFonts w:hint="eastAsia" w:ascii="仿宋" w:hAnsi="仿宋" w:eastAsia="仿宋"/>
          <w:b/>
          <w:color w:val="000000"/>
          <w:sz w:val="32"/>
          <w:szCs w:val="32"/>
        </w:rPr>
        <w:t>（二）“三公”经费财政拨款支出决算具体情况说明</w:t>
      </w:r>
      <w:bookmarkEnd w:id="97"/>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ascii="仿宋" w:hAnsi="仿宋" w:eastAsia="仿宋"/>
          <w:color w:val="000000"/>
          <w:sz w:val="32"/>
          <w:szCs w:val="32"/>
        </w:rPr>
      </w:pPr>
      <w:r>
        <w:drawing>
          <wp:anchor distT="0" distB="0" distL="114300" distR="114300" simplePos="0" relativeHeight="251664384" behindDoc="0" locked="0" layoutInCell="1" allowOverlap="1">
            <wp:simplePos x="0" y="0"/>
            <wp:positionH relativeFrom="column">
              <wp:posOffset>263525</wp:posOffset>
            </wp:positionH>
            <wp:positionV relativeFrom="paragraph">
              <wp:posOffset>-495300</wp:posOffset>
            </wp:positionV>
            <wp:extent cx="4572000" cy="2742565"/>
            <wp:effectExtent l="0" t="0" r="0" b="635"/>
            <wp:wrapTopAndBottom/>
            <wp:docPr id="819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sz w:val="32"/>
        </w:rPr>
        <mc:AlternateContent>
          <mc:Choice Requires="wps">
            <w:drawing>
              <wp:anchor distT="0" distB="0" distL="114300" distR="114300" simplePos="0" relativeHeight="251665408" behindDoc="0" locked="0" layoutInCell="1" allowOverlap="1">
                <wp:simplePos x="0" y="0"/>
                <wp:positionH relativeFrom="column">
                  <wp:posOffset>956945</wp:posOffset>
                </wp:positionH>
                <wp:positionV relativeFrom="paragraph">
                  <wp:posOffset>-407670</wp:posOffset>
                </wp:positionV>
                <wp:extent cx="2675890" cy="285750"/>
                <wp:effectExtent l="0" t="0" r="10160" b="0"/>
                <wp:wrapNone/>
                <wp:docPr id="1" name="文本框 2"/>
                <wp:cNvGraphicFramePr/>
                <a:graphic xmlns:a="http://schemas.openxmlformats.org/drawingml/2006/main">
                  <a:graphicData uri="http://schemas.microsoft.com/office/word/2010/wordprocessingShape">
                    <wps:wsp>
                      <wps:cNvSpPr txBox="1"/>
                      <wps:spPr>
                        <a:xfrm>
                          <a:off x="0" y="0"/>
                          <a:ext cx="2675890" cy="285750"/>
                        </a:xfrm>
                        <a:prstGeom prst="rect">
                          <a:avLst/>
                        </a:prstGeom>
                        <a:solidFill>
                          <a:srgbClr val="FFFFFF"/>
                        </a:solidFill>
                        <a:ln>
                          <a:noFill/>
                        </a:ln>
                      </wps:spPr>
                      <wps:txbx>
                        <w:txbxContent>
                          <w:p>
                            <w:pPr>
                              <w:rPr>
                                <w:rFonts w:hint="eastAsia"/>
                              </w:rPr>
                            </w:pPr>
                            <w:r>
                              <w:rPr>
                                <w:rFonts w:hint="eastAsia"/>
                              </w:rPr>
                              <w:t>图7：“三公”经费财政拨款支出结构</w:t>
                            </w:r>
                          </w:p>
                          <w:p/>
                        </w:txbxContent>
                      </wps:txbx>
                      <wps:bodyPr upright="1"/>
                    </wps:wsp>
                  </a:graphicData>
                </a:graphic>
              </wp:anchor>
            </w:drawing>
          </mc:Choice>
          <mc:Fallback>
            <w:pict>
              <v:shape id="文本框 2" o:spid="_x0000_s1026" o:spt="202" type="#_x0000_t202" style="position:absolute;left:0pt;margin-left:75.35pt;margin-top:-32.1pt;height:22.5pt;width:210.7pt;z-index:251665408;mso-width-relative:page;mso-height-relative:page;" fillcolor="#FFFFFF" filled="t" stroked="f" coordsize="21600,21600" o:gfxdata="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kavDQ2AAAAAsBAAAP&#10;AAAAAAAAAAEAIAAAACIAAABkcnMvZG93bnJldi54bWxQSwECFAAUAAAACACHTuJAJPK+7qYBAAAp&#10;AwAADgAAAAAAAAABACAAAAAnAQAAZHJzL2Uyb0RvYy54bWxQSwUGAAAAAAYABgBZAQAAPwUAAAAA&#10;">
                <v:fill on="t" focussize="0,0"/>
                <v:stroke on="f"/>
                <v:imagedata o:title=""/>
                <o:lock v:ext="edit" aspectratio="f"/>
                <v:textbox>
                  <w:txbxContent>
                    <w:p>
                      <w:pPr>
                        <w:rPr>
                          <w:rFonts w:hint="eastAsia"/>
                        </w:rPr>
                      </w:pPr>
                      <w:r>
                        <w:rPr>
                          <w:rFonts w:hint="eastAsia"/>
                        </w:rPr>
                        <w:t>图7：“三公”经费财政拨款支出结构</w:t>
                      </w:r>
                    </w:p>
                    <w:p/>
                  </w:txbxContent>
                </v:textbox>
              </v:shape>
            </w:pict>
          </mc:Fallback>
        </mc:AlternateContent>
      </w:r>
      <w:r>
        <w:rPr>
          <w:rFonts w:ascii="仿宋" w:hAnsi="仿宋" w:eastAsia="仿宋"/>
          <w:color w:val="000000"/>
          <w:sz w:val="32"/>
          <w:szCs w:val="32"/>
        </w:rPr>
        <w:t>201</w:t>
      </w:r>
      <w:r>
        <w:rPr>
          <w:rFonts w:hint="eastAsia" w:ascii="仿宋" w:hAnsi="仿宋" w:eastAsia="仿宋"/>
          <w:color w:val="000000"/>
          <w:sz w:val="32"/>
          <w:szCs w:val="32"/>
        </w:rPr>
        <w:t>9年“三公”经费财政拨款支出决算中，因公出国（境）费支出决算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w:t>
      </w:r>
      <w:r>
        <w:rPr>
          <w:rFonts w:hint="eastAsia" w:ascii="仿宋" w:hAnsi="仿宋" w:eastAsia="仿宋"/>
          <w:color w:val="000000"/>
          <w:sz w:val="32"/>
          <w:szCs w:val="32"/>
          <w:lang w:val="en-US" w:eastAsia="zh-CN"/>
        </w:rPr>
        <w:t>29.76</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73.43</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eastAsia" w:ascii="仿宋" w:hAnsi="仿宋" w:eastAsia="仿宋"/>
          <w:color w:val="000000"/>
          <w:sz w:val="32"/>
          <w:szCs w:val="32"/>
          <w:lang w:val="en-US" w:eastAsia="zh-CN"/>
        </w:rPr>
        <w:t>10.77</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26.57</w:t>
      </w:r>
      <w:r>
        <w:rPr>
          <w:rFonts w:ascii="仿宋" w:hAnsi="仿宋" w:eastAsia="仿宋"/>
          <w:color w:val="000000"/>
          <w:sz w:val="32"/>
          <w:szCs w:val="32"/>
        </w:rPr>
        <w:t>%</w:t>
      </w:r>
      <w:r>
        <w:rPr>
          <w:rFonts w:hint="eastAsia" w:ascii="仿宋" w:hAnsi="仿宋" w:eastAsia="仿宋"/>
          <w:color w:val="000000"/>
          <w:sz w:val="32"/>
          <w:szCs w:val="32"/>
        </w:rPr>
        <w:t>。具体情况如下：</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eastAsia="仿宋_GB2312"/>
          <w:color w:val="000000"/>
          <w:sz w:val="32"/>
          <w:szCs w:val="32"/>
          <w:lang w:val="en-US" w:eastAsia="zh-CN"/>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ascii="仿宋_GB2312" w:eastAsia="仿宋_GB2312"/>
          <w:color w:val="000000"/>
          <w:sz w:val="32"/>
          <w:szCs w:val="32"/>
        </w:rPr>
        <w:t>全年安排因公出国（境）团组</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次，出国（境）</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人</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较2018年无变化。</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eastAsia="仿宋_GB2312"/>
          <w:b/>
          <w:color w:val="000000"/>
          <w:sz w:val="32"/>
          <w:szCs w:val="32"/>
          <w:lang w:val="en-US" w:eastAsia="zh-CN"/>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29.76</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hint="eastAsia" w:ascii="仿宋" w:hAnsi="仿宋" w:eastAsia="仿宋"/>
          <w:b w:val="0"/>
          <w:bCs/>
          <w:color w:val="000000"/>
          <w:sz w:val="32"/>
          <w:szCs w:val="32"/>
          <w:lang w:val="en-US" w:eastAsia="zh-CN"/>
        </w:rPr>
        <w:t>99.27</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w:t>
      </w:r>
      <w:r>
        <w:rPr>
          <w:rFonts w:hint="eastAsia" w:ascii="仿宋_GB2312" w:eastAsia="仿宋_GB2312"/>
          <w:color w:val="000000"/>
          <w:sz w:val="32"/>
          <w:szCs w:val="32"/>
        </w:rPr>
        <w:t>8年减少</w:t>
      </w:r>
      <w:r>
        <w:rPr>
          <w:rFonts w:hint="eastAsia" w:ascii="仿宋_GB2312" w:eastAsia="仿宋_GB2312"/>
          <w:color w:val="000000"/>
          <w:sz w:val="32"/>
          <w:szCs w:val="32"/>
          <w:lang w:val="en-US" w:eastAsia="zh-CN"/>
        </w:rPr>
        <w:t>41.63</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减少</w:t>
      </w:r>
      <w:r>
        <w:rPr>
          <w:rFonts w:hint="eastAsia" w:ascii="仿宋_GB2312" w:eastAsia="仿宋_GB2312"/>
          <w:color w:val="000000"/>
          <w:sz w:val="32"/>
          <w:szCs w:val="32"/>
          <w:lang w:val="en-US" w:eastAsia="zh-CN"/>
        </w:rPr>
        <w:t>58.31</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val="en-US" w:eastAsia="zh-CN"/>
        </w:rPr>
        <w:t>2018年机关购置了一台公务用车。</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月底，单位共有公务用车13辆，其中：主要领导干部用车0辆、机要通信用车0辆、应急保障用车4辆、 执法执勤用车1辆，其他用车5辆。</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hint="eastAsia" w:ascii="仿宋_GB2312" w:eastAsia="仿宋_GB2312"/>
          <w:color w:val="000000"/>
          <w:sz w:val="32"/>
          <w:szCs w:val="32"/>
          <w:lang w:val="en-US" w:eastAsia="zh-CN"/>
        </w:rPr>
        <w:t>29.76</w:t>
      </w:r>
      <w:r>
        <w:rPr>
          <w:rFonts w:hint="eastAsia" w:ascii="仿宋_GB2312" w:eastAsia="仿宋_GB2312"/>
          <w:color w:val="000000"/>
          <w:sz w:val="32"/>
          <w:szCs w:val="32"/>
        </w:rPr>
        <w:t>万元。主要用于</w:t>
      </w:r>
      <w:r>
        <w:rPr>
          <w:rFonts w:hint="eastAsia" w:ascii="仿宋_GB2312" w:eastAsia="仿宋_GB2312"/>
          <w:color w:val="000000"/>
          <w:sz w:val="32"/>
          <w:szCs w:val="32"/>
          <w:lang w:eastAsia="zh-CN"/>
        </w:rPr>
        <w:t>水利项目监督检查、河长制建设、防汛抗旱等所需的</w:t>
      </w:r>
      <w:r>
        <w:rPr>
          <w:rFonts w:hint="eastAsia" w:ascii="仿宋_GB2312" w:eastAsia="仿宋_GB2312"/>
          <w:color w:val="000000"/>
          <w:sz w:val="32"/>
          <w:szCs w:val="32"/>
        </w:rPr>
        <w:t>公务用车燃料费、维修费、过路过桥费、保险费等支出。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lang w:val="en-US" w:eastAsia="zh-CN"/>
        </w:rPr>
        <w:t>10.77</w:t>
      </w:r>
      <w:r>
        <w:rPr>
          <w:rFonts w:hint="eastAsia" w:ascii="仿宋_GB2312" w:eastAsia="仿宋_GB2312"/>
          <w:color w:val="000000"/>
          <w:sz w:val="32"/>
          <w:szCs w:val="32"/>
        </w:rPr>
        <w:t>万元，</w:t>
      </w:r>
      <w:r>
        <w:rPr>
          <w:rStyle w:val="14"/>
          <w:rFonts w:hint="eastAsia" w:ascii="仿宋" w:hAnsi="仿宋" w:eastAsia="仿宋"/>
          <w:b w:val="0"/>
          <w:bCs/>
          <w:color w:val="000000"/>
          <w:sz w:val="32"/>
          <w:szCs w:val="32"/>
        </w:rPr>
        <w:t>完成预算</w:t>
      </w:r>
      <w:r>
        <w:rPr>
          <w:rStyle w:val="14"/>
          <w:rFonts w:hint="eastAsia" w:ascii="仿宋" w:hAnsi="仿宋" w:eastAsia="仿宋"/>
          <w:b w:val="0"/>
          <w:bCs/>
          <w:color w:val="000000"/>
          <w:sz w:val="32"/>
          <w:szCs w:val="32"/>
          <w:lang w:val="en-US" w:eastAsia="zh-CN"/>
        </w:rPr>
        <w:t>99.26</w:t>
      </w:r>
      <w:r>
        <w:rPr>
          <w:rStyle w:val="14"/>
          <w:rFonts w:ascii="仿宋" w:hAnsi="仿宋" w:eastAsia="仿宋"/>
          <w:b w:val="0"/>
          <w:bCs/>
          <w:color w:val="000000"/>
          <w:sz w:val="32"/>
          <w:szCs w:val="32"/>
        </w:rPr>
        <w:t>%</w:t>
      </w:r>
      <w:r>
        <w:rPr>
          <w:rStyle w:val="14"/>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w:t>
      </w:r>
      <w:r>
        <w:rPr>
          <w:rFonts w:hint="eastAsia" w:ascii="仿宋_GB2312" w:eastAsia="仿宋_GB2312"/>
          <w:color w:val="000000"/>
          <w:sz w:val="32"/>
          <w:szCs w:val="32"/>
        </w:rPr>
        <w:t>8年减少</w:t>
      </w:r>
      <w:r>
        <w:rPr>
          <w:rFonts w:hint="eastAsia" w:ascii="仿宋_GB2312" w:eastAsia="仿宋_GB2312"/>
          <w:color w:val="000000"/>
          <w:sz w:val="32"/>
          <w:szCs w:val="32"/>
          <w:lang w:val="en-US" w:eastAsia="zh-CN"/>
        </w:rPr>
        <w:t>1.18</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9.87</w:t>
      </w:r>
      <w:r>
        <w:rPr>
          <w:rFonts w:ascii="仿宋_GB2312" w:eastAsia="仿宋_GB2312"/>
          <w:color w:val="000000"/>
          <w:sz w:val="32"/>
          <w:szCs w:val="32"/>
        </w:rPr>
        <w:t>%</w:t>
      </w:r>
      <w:r>
        <w:rPr>
          <w:rFonts w:hint="eastAsia" w:ascii="仿宋_GB2312" w:eastAsia="仿宋_GB2312"/>
          <w:color w:val="000000"/>
          <w:sz w:val="32"/>
          <w:szCs w:val="32"/>
        </w:rPr>
        <w:t>。主要原因是</w:t>
      </w:r>
      <w:r>
        <w:rPr>
          <w:rFonts w:hint="eastAsia" w:ascii="仿宋_GB2312" w:eastAsia="仿宋_GB2312"/>
          <w:color w:val="000000"/>
          <w:sz w:val="32"/>
          <w:szCs w:val="32"/>
          <w:lang w:eastAsia="zh-CN"/>
        </w:rPr>
        <w:t>部门各单位积极贯彻落实中央八项规定和省委省政府十项规定，严格控制接待数量和标准，减少接待费支出。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olor w:val="000000"/>
          <w:sz w:val="32"/>
          <w:szCs w:val="32"/>
          <w:lang w:eastAsia="zh-CN"/>
        </w:rPr>
      </w:pPr>
      <w:r>
        <w:rPr>
          <w:rFonts w:hint="eastAsia" w:ascii="仿宋_GB2312" w:eastAsia="仿宋_GB2312"/>
          <w:b/>
          <w:color w:val="000000"/>
          <w:sz w:val="32"/>
          <w:szCs w:val="32"/>
        </w:rPr>
        <w:t>国内公务接待支出</w:t>
      </w:r>
      <w:r>
        <w:rPr>
          <w:rFonts w:hint="eastAsia" w:ascii="仿宋" w:hAnsi="仿宋" w:eastAsia="仿宋"/>
          <w:b w:val="0"/>
          <w:bCs/>
          <w:color w:val="000000"/>
          <w:sz w:val="32"/>
          <w:szCs w:val="32"/>
          <w:highlight w:val="none"/>
          <w:lang w:val="en-US" w:eastAsia="zh-CN"/>
        </w:rPr>
        <w:t>10.77</w:t>
      </w:r>
      <w:r>
        <w:rPr>
          <w:rFonts w:hint="eastAsia" w:ascii="仿宋_GB2312" w:eastAsia="仿宋_GB2312"/>
          <w:color w:val="000000"/>
          <w:sz w:val="32"/>
          <w:szCs w:val="32"/>
          <w:highlight w:val="none"/>
        </w:rPr>
        <w:t>万元，主要用于执行公务、开展业务活动开支的用餐费。国内公务接待</w:t>
      </w:r>
      <w:r>
        <w:rPr>
          <w:rFonts w:hint="eastAsia" w:ascii="仿宋_GB2312" w:eastAsia="仿宋_GB2312"/>
          <w:color w:val="000000"/>
          <w:sz w:val="32"/>
          <w:szCs w:val="32"/>
          <w:highlight w:val="none"/>
          <w:lang w:val="en-US" w:eastAsia="zh-CN"/>
        </w:rPr>
        <w:t>91</w:t>
      </w:r>
      <w:r>
        <w:rPr>
          <w:rFonts w:hint="eastAsia" w:ascii="仿宋_GB2312" w:eastAsia="仿宋_GB2312"/>
          <w:color w:val="000000"/>
          <w:sz w:val="32"/>
          <w:szCs w:val="32"/>
          <w:highlight w:val="none"/>
        </w:rPr>
        <w:t>批次，</w:t>
      </w:r>
      <w:r>
        <w:rPr>
          <w:rFonts w:hint="eastAsia" w:ascii="仿宋_GB2312" w:eastAsia="仿宋_GB2312"/>
          <w:color w:val="000000"/>
          <w:sz w:val="32"/>
          <w:szCs w:val="32"/>
          <w:highlight w:val="none"/>
          <w:lang w:val="en-US" w:eastAsia="zh-CN"/>
        </w:rPr>
        <w:t>1302</w:t>
      </w:r>
      <w:r>
        <w:rPr>
          <w:rFonts w:hint="eastAsia" w:ascii="仿宋_GB2312" w:eastAsia="仿宋_GB2312"/>
          <w:color w:val="000000"/>
          <w:sz w:val="32"/>
          <w:szCs w:val="32"/>
          <w:highlight w:val="none"/>
        </w:rPr>
        <w:t>人次，共计支出</w:t>
      </w:r>
      <w:r>
        <w:rPr>
          <w:rFonts w:hint="eastAsia" w:ascii="仿宋_GB2312" w:eastAsia="仿宋_GB2312"/>
          <w:color w:val="000000"/>
          <w:sz w:val="32"/>
          <w:szCs w:val="32"/>
          <w:highlight w:val="none"/>
          <w:lang w:val="en-US" w:eastAsia="zh-CN"/>
        </w:rPr>
        <w:t>10.77</w:t>
      </w:r>
      <w:r>
        <w:rPr>
          <w:rFonts w:hint="eastAsia" w:ascii="仿宋_GB2312" w:eastAsia="仿宋_GB2312"/>
          <w:color w:val="000000"/>
          <w:sz w:val="32"/>
          <w:szCs w:val="32"/>
          <w:highlight w:val="none"/>
        </w:rPr>
        <w:t>万元，具体内容包括：</w:t>
      </w:r>
      <w:r>
        <w:rPr>
          <w:rFonts w:hint="eastAsia" w:ascii="仿宋_GB2312" w:eastAsia="仿宋_GB2312"/>
          <w:color w:val="000000"/>
          <w:sz w:val="32"/>
          <w:szCs w:val="32"/>
          <w:highlight w:val="none"/>
          <w:lang w:eastAsia="zh-CN"/>
        </w:rPr>
        <w:t>防汛监督检查</w:t>
      </w:r>
      <w:r>
        <w:rPr>
          <w:rFonts w:hint="eastAsia" w:ascii="仿宋_GB2312" w:eastAsia="仿宋_GB2312"/>
          <w:color w:val="000000"/>
          <w:sz w:val="32"/>
          <w:szCs w:val="32"/>
          <w:highlight w:val="none"/>
          <w:lang w:val="en-US" w:eastAsia="zh-CN"/>
        </w:rPr>
        <w:t>1.57</w:t>
      </w:r>
      <w:r>
        <w:rPr>
          <w:rFonts w:hint="eastAsia" w:ascii="仿宋_GB2312" w:eastAsia="仿宋_GB2312"/>
          <w:color w:val="000000"/>
          <w:sz w:val="32"/>
          <w:szCs w:val="32"/>
          <w:highlight w:val="none"/>
          <w:lang w:eastAsia="zh-CN"/>
        </w:rPr>
        <w:t>万元、水土保持项目调研</w:t>
      </w:r>
      <w:r>
        <w:rPr>
          <w:rFonts w:hint="eastAsia" w:ascii="仿宋_GB2312" w:eastAsia="仿宋_GB2312"/>
          <w:color w:val="000000"/>
          <w:sz w:val="32"/>
          <w:szCs w:val="32"/>
          <w:highlight w:val="none"/>
          <w:lang w:val="en-US" w:eastAsia="zh-CN"/>
        </w:rPr>
        <w:t>0.18</w:t>
      </w:r>
      <w:r>
        <w:rPr>
          <w:rFonts w:hint="eastAsia" w:ascii="仿宋_GB2312" w:eastAsia="仿宋_GB2312"/>
          <w:color w:val="000000"/>
          <w:sz w:val="32"/>
          <w:szCs w:val="32"/>
          <w:highlight w:val="none"/>
          <w:lang w:eastAsia="zh-CN"/>
        </w:rPr>
        <w:t>万元、水资源监控能力建设项目</w:t>
      </w:r>
      <w:r>
        <w:rPr>
          <w:rFonts w:hint="eastAsia" w:ascii="仿宋_GB2312" w:eastAsia="仿宋_GB2312"/>
          <w:color w:val="000000"/>
          <w:sz w:val="32"/>
          <w:szCs w:val="32"/>
          <w:highlight w:val="none"/>
          <w:lang w:val="en-US" w:eastAsia="zh-CN"/>
        </w:rPr>
        <w:t>0.65</w:t>
      </w:r>
      <w:r>
        <w:rPr>
          <w:rFonts w:hint="eastAsia" w:ascii="仿宋_GB2312" w:eastAsia="仿宋_GB2312"/>
          <w:color w:val="000000"/>
          <w:sz w:val="32"/>
          <w:szCs w:val="32"/>
          <w:highlight w:val="none"/>
          <w:lang w:eastAsia="zh-CN"/>
        </w:rPr>
        <w:t>万元、水政执法检查</w:t>
      </w:r>
      <w:r>
        <w:rPr>
          <w:rFonts w:hint="eastAsia" w:ascii="仿宋_GB2312" w:eastAsia="仿宋_GB2312"/>
          <w:color w:val="000000"/>
          <w:sz w:val="32"/>
          <w:szCs w:val="32"/>
          <w:highlight w:val="none"/>
          <w:lang w:val="en-US" w:eastAsia="zh-CN"/>
        </w:rPr>
        <w:t>0.32万元</w:t>
      </w:r>
      <w:r>
        <w:rPr>
          <w:rFonts w:hint="eastAsia" w:ascii="仿宋_GB2312" w:eastAsia="仿宋_GB2312"/>
          <w:color w:val="000000"/>
          <w:sz w:val="32"/>
          <w:szCs w:val="32"/>
          <w:highlight w:val="none"/>
          <w:lang w:eastAsia="zh-CN"/>
        </w:rPr>
        <w:t>、河长制建设</w:t>
      </w:r>
      <w:r>
        <w:rPr>
          <w:rFonts w:hint="eastAsia" w:ascii="仿宋_GB2312" w:eastAsia="仿宋_GB2312"/>
          <w:color w:val="000000"/>
          <w:sz w:val="32"/>
          <w:szCs w:val="32"/>
          <w:highlight w:val="none"/>
          <w:lang w:val="en-US" w:eastAsia="zh-CN"/>
        </w:rPr>
        <w:t>0.22</w:t>
      </w:r>
      <w:r>
        <w:rPr>
          <w:rFonts w:hint="eastAsia" w:ascii="仿宋_GB2312" w:eastAsia="仿宋_GB2312"/>
          <w:color w:val="000000"/>
          <w:sz w:val="32"/>
          <w:szCs w:val="32"/>
          <w:highlight w:val="none"/>
          <w:lang w:eastAsia="zh-CN"/>
        </w:rPr>
        <w:t>万元、三江水系综合治理</w:t>
      </w:r>
      <w:r>
        <w:rPr>
          <w:rFonts w:hint="eastAsia" w:ascii="仿宋_GB2312" w:eastAsia="仿宋_GB2312"/>
          <w:color w:val="000000"/>
          <w:sz w:val="32"/>
          <w:szCs w:val="32"/>
          <w:highlight w:val="none"/>
          <w:lang w:val="en-US" w:eastAsia="zh-CN"/>
        </w:rPr>
        <w:t>0.65</w:t>
      </w:r>
      <w:r>
        <w:rPr>
          <w:rFonts w:hint="eastAsia" w:ascii="仿宋_GB2312" w:eastAsia="仿宋_GB2312"/>
          <w:color w:val="000000"/>
          <w:sz w:val="32"/>
          <w:szCs w:val="32"/>
          <w:highlight w:val="none"/>
          <w:lang w:eastAsia="zh-CN"/>
        </w:rPr>
        <w:t>万元、饮水安全建设</w:t>
      </w:r>
      <w:r>
        <w:rPr>
          <w:rFonts w:hint="eastAsia" w:ascii="仿宋_GB2312" w:eastAsia="仿宋_GB2312"/>
          <w:color w:val="000000"/>
          <w:sz w:val="32"/>
          <w:szCs w:val="32"/>
          <w:highlight w:val="none"/>
          <w:lang w:val="en-US" w:eastAsia="zh-CN"/>
        </w:rPr>
        <w:t>0.29万元、</w:t>
      </w:r>
      <w:r>
        <w:rPr>
          <w:rFonts w:hint="eastAsia" w:ascii="仿宋_GB2312" w:eastAsia="仿宋_GB2312"/>
          <w:color w:val="000000"/>
          <w:sz w:val="32"/>
          <w:szCs w:val="32"/>
          <w:highlight w:val="none"/>
          <w:lang w:eastAsia="zh-CN"/>
        </w:rPr>
        <w:t>河流水系项目踏勘调研</w:t>
      </w:r>
      <w:r>
        <w:rPr>
          <w:rFonts w:hint="eastAsia" w:ascii="仿宋_GB2312" w:eastAsia="仿宋_GB2312"/>
          <w:color w:val="000000"/>
          <w:sz w:val="32"/>
          <w:szCs w:val="32"/>
          <w:highlight w:val="none"/>
          <w:lang w:val="en-US" w:eastAsia="zh-CN"/>
        </w:rPr>
        <w:t>0.37</w:t>
      </w:r>
      <w:r>
        <w:rPr>
          <w:rFonts w:hint="eastAsia" w:ascii="仿宋_GB2312" w:eastAsia="仿宋_GB2312"/>
          <w:color w:val="000000"/>
          <w:sz w:val="32"/>
          <w:szCs w:val="32"/>
          <w:highlight w:val="none"/>
          <w:lang w:eastAsia="zh-CN"/>
        </w:rPr>
        <w:t>万元、对口帮扶及乡村振兴调研</w:t>
      </w:r>
      <w:r>
        <w:rPr>
          <w:rFonts w:hint="eastAsia" w:ascii="仿宋_GB2312" w:eastAsia="仿宋_GB2312"/>
          <w:color w:val="000000"/>
          <w:sz w:val="32"/>
          <w:szCs w:val="32"/>
          <w:highlight w:val="none"/>
          <w:lang w:val="en-US" w:eastAsia="zh-CN"/>
        </w:rPr>
        <w:t>0.33</w:t>
      </w:r>
      <w:r>
        <w:rPr>
          <w:rFonts w:hint="eastAsia" w:ascii="仿宋_GB2312" w:eastAsia="仿宋_GB2312"/>
          <w:color w:val="000000"/>
          <w:sz w:val="32"/>
          <w:szCs w:val="32"/>
          <w:highlight w:val="none"/>
          <w:lang w:eastAsia="zh-CN"/>
        </w:rPr>
        <w:t>万元、高中水库管理处接待费</w:t>
      </w:r>
      <w:r>
        <w:rPr>
          <w:rFonts w:hint="eastAsia" w:ascii="仿宋_GB2312" w:eastAsia="仿宋_GB2312"/>
          <w:color w:val="000000"/>
          <w:sz w:val="32"/>
          <w:szCs w:val="32"/>
          <w:highlight w:val="none"/>
          <w:lang w:val="en-US" w:eastAsia="zh-CN"/>
        </w:rPr>
        <w:t>0.22万元、沫江堰管理处接待费0.52万元；其他国内公务接待支出4.8万元</w:t>
      </w:r>
      <w:r>
        <w:rPr>
          <w:rFonts w:hint="eastAsia" w:ascii="仿宋_GB2312" w:eastAsia="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olor w:val="000000"/>
          <w:sz w:val="32"/>
          <w:szCs w:val="32"/>
          <w:lang w:eastAsia="zh-CN"/>
        </w:rPr>
      </w:pPr>
      <w:r>
        <w:rPr>
          <w:rFonts w:hint="eastAsia" w:ascii="仿宋" w:hAnsi="仿宋" w:eastAsia="仿宋"/>
          <w:b/>
          <w:color w:val="000000"/>
          <w:sz w:val="32"/>
          <w:szCs w:val="32"/>
        </w:rPr>
        <w:t>外事接待支出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themeColor="text1"/>
          <w:sz w:val="32"/>
          <w:szCs w:val="32"/>
          <w14:textFill>
            <w14:solidFill>
              <w14:schemeClr w14:val="tx1"/>
            </w14:solidFill>
          </w14:textFill>
        </w:rPr>
        <w:t>，外事接待</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批次，</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人</w:t>
      </w:r>
      <w:r>
        <w:rPr>
          <w:rFonts w:hint="eastAsia" w:ascii="仿宋_GB2312" w:eastAsia="仿宋_GB2312"/>
          <w:color w:val="000000" w:themeColor="text1"/>
          <w:sz w:val="32"/>
          <w:szCs w:val="32"/>
          <w:lang w:eastAsia="zh-CN"/>
          <w14:textFill>
            <w14:solidFill>
              <w14:schemeClr w14:val="tx1"/>
            </w14:solidFill>
          </w14:textFill>
        </w:rPr>
        <w:t>。</w:t>
      </w:r>
    </w:p>
    <w:p>
      <w:pPr>
        <w:pageBreakBefore w:val="0"/>
        <w:kinsoku/>
        <w:wordWrap/>
        <w:overflowPunct/>
        <w:topLinePunct w:val="0"/>
        <w:bidi w:val="0"/>
        <w:spacing w:line="590" w:lineRule="exact"/>
        <w:ind w:left="0" w:leftChars="0" w:firstLine="640" w:firstLineChars="200"/>
        <w:outlineLvl w:val="1"/>
        <w:rPr>
          <w:rStyle w:val="26"/>
          <w:rFonts w:ascii="黑体" w:hAnsi="黑体" w:eastAsia="黑体"/>
        </w:rPr>
      </w:pPr>
      <w:bookmarkStart w:id="98" w:name="_Toc15377218"/>
      <w:bookmarkStart w:id="99" w:name="_Toc27063_WPSOffice_Level2"/>
      <w:bookmarkStart w:id="100" w:name="_Toc15396610"/>
      <w:r>
        <w:rPr>
          <w:rFonts w:hint="eastAsia" w:ascii="黑体" w:eastAsia="黑体"/>
          <w:color w:val="000000"/>
          <w:sz w:val="32"/>
          <w:szCs w:val="32"/>
        </w:rPr>
        <w:t>八、</w:t>
      </w:r>
      <w:r>
        <w:rPr>
          <w:rStyle w:val="26"/>
          <w:rFonts w:hint="eastAsia" w:ascii="黑体" w:hAnsi="黑体" w:eastAsia="黑体"/>
          <w:b w:val="0"/>
        </w:rPr>
        <w:t>政府性基金预算支出决算情况说明</w:t>
      </w:r>
      <w:bookmarkEnd w:id="98"/>
      <w:bookmarkEnd w:id="99"/>
      <w:bookmarkEnd w:id="10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9年政府性基金预算拨款支出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pageBreakBefore w:val="0"/>
        <w:numPr>
          <w:ilvl w:val="0"/>
          <w:numId w:val="4"/>
        </w:numPr>
        <w:kinsoku/>
        <w:wordWrap/>
        <w:overflowPunct/>
        <w:topLinePunct w:val="0"/>
        <w:bidi w:val="0"/>
        <w:spacing w:line="590" w:lineRule="exact"/>
        <w:ind w:left="0" w:leftChars="0" w:firstLine="640" w:firstLineChars="200"/>
        <w:outlineLvl w:val="1"/>
        <w:rPr>
          <w:rStyle w:val="26"/>
          <w:rFonts w:ascii="黑体" w:hAnsi="黑体" w:eastAsia="黑体"/>
          <w:b w:val="0"/>
        </w:rPr>
      </w:pPr>
      <w:bookmarkStart w:id="101" w:name="_Toc15377219"/>
      <w:bookmarkStart w:id="102" w:name="_Toc15396611"/>
      <w:bookmarkStart w:id="103" w:name="_Toc17833_WPSOffice_Level2"/>
      <w:r>
        <w:rPr>
          <w:rStyle w:val="26"/>
          <w:rFonts w:hint="eastAsia" w:ascii="黑体" w:hAnsi="黑体" w:eastAsia="黑体"/>
          <w:b w:val="0"/>
        </w:rPr>
        <w:t>国有资本经营预算支出决算情况说明</w:t>
      </w:r>
      <w:bookmarkEnd w:id="101"/>
      <w:bookmarkEnd w:id="102"/>
      <w:bookmarkEnd w:id="103"/>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pageBreakBefore w:val="0"/>
        <w:kinsoku/>
        <w:wordWrap/>
        <w:overflowPunct/>
        <w:topLinePunct w:val="0"/>
        <w:bidi w:val="0"/>
        <w:spacing w:line="590" w:lineRule="exact"/>
        <w:ind w:left="0" w:leftChars="0" w:firstLine="640" w:firstLineChars="200"/>
        <w:outlineLvl w:val="1"/>
        <w:rPr>
          <w:rStyle w:val="26"/>
          <w:rFonts w:ascii="黑体" w:hAnsi="黑体" w:eastAsia="黑体"/>
        </w:rPr>
      </w:pPr>
      <w:bookmarkStart w:id="104" w:name="_Toc15377221"/>
      <w:bookmarkStart w:id="105" w:name="_Toc17346_WPSOffice_Level2"/>
      <w:bookmarkStart w:id="106" w:name="_Toc15396612"/>
      <w:r>
        <w:rPr>
          <w:rFonts w:hint="eastAsia" w:ascii="黑体" w:hAnsi="黑体" w:eastAsia="黑体"/>
          <w:color w:val="000000"/>
          <w:sz w:val="32"/>
          <w:szCs w:val="32"/>
        </w:rPr>
        <w:t>十</w:t>
      </w:r>
      <w:r>
        <w:rPr>
          <w:rStyle w:val="26"/>
          <w:rFonts w:hint="eastAsia" w:ascii="黑体" w:hAnsi="黑体" w:eastAsia="黑体"/>
        </w:rPr>
        <w:t>、</w:t>
      </w:r>
      <w:r>
        <w:rPr>
          <w:rStyle w:val="26"/>
          <w:rFonts w:hint="eastAsia" w:ascii="黑体" w:hAnsi="黑体" w:eastAsia="黑体"/>
          <w:b w:val="0"/>
        </w:rPr>
        <w:t>其他重要事项的情况说明</w:t>
      </w:r>
      <w:bookmarkEnd w:id="104"/>
      <w:bookmarkEnd w:id="105"/>
      <w:bookmarkEnd w:id="106"/>
    </w:p>
    <w:p>
      <w:pPr>
        <w:pageBreakBefore w:val="0"/>
        <w:kinsoku/>
        <w:wordWrap/>
        <w:overflowPunct/>
        <w:topLinePunct w:val="0"/>
        <w:bidi w:val="0"/>
        <w:spacing w:line="590" w:lineRule="exact"/>
        <w:ind w:left="0" w:leftChars="0" w:firstLine="643" w:firstLineChars="200"/>
        <w:outlineLvl w:val="2"/>
        <w:rPr>
          <w:rFonts w:ascii="仿宋" w:hAnsi="仿宋" w:eastAsia="仿宋"/>
          <w:color w:val="000000"/>
          <w:sz w:val="32"/>
          <w:szCs w:val="32"/>
        </w:rPr>
      </w:pPr>
      <w:bookmarkStart w:id="107" w:name="_Toc15377222"/>
      <w:r>
        <w:rPr>
          <w:rFonts w:hint="eastAsia" w:ascii="仿宋" w:hAnsi="仿宋" w:eastAsia="仿宋"/>
          <w:b/>
          <w:color w:val="000000"/>
          <w:sz w:val="32"/>
          <w:szCs w:val="32"/>
        </w:rPr>
        <w:t>（一）机关运行经费支出情况</w:t>
      </w:r>
      <w:bookmarkEnd w:id="107"/>
    </w:p>
    <w:p>
      <w:pPr>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eastAsia="仿宋_GB2312"/>
          <w:color w:val="000000" w:themeColor="text1"/>
          <w:sz w:val="32"/>
          <w:szCs w:val="32"/>
          <w:lang w:val="en-US" w:eastAsia="zh-CN"/>
          <w14:textFill>
            <w14:solidFill>
              <w14:schemeClr w14:val="tx1"/>
            </w14:solidFill>
          </w14:textFill>
        </w:rPr>
      </w:pPr>
      <w:r>
        <w:rPr>
          <w:rFonts w:ascii="仿宋_GB2312" w:eastAsia="仿宋_GB2312"/>
          <w:color w:val="000000"/>
          <w:sz w:val="32"/>
          <w:szCs w:val="32"/>
        </w:rPr>
        <w:t>201</w:t>
      </w:r>
      <w:r>
        <w:rPr>
          <w:rFonts w:hint="eastAsia" w:ascii="仿宋_GB2312" w:eastAsia="仿宋_GB2312"/>
          <w:color w:val="000000"/>
          <w:sz w:val="32"/>
          <w:szCs w:val="32"/>
        </w:rPr>
        <w:t>9年，</w:t>
      </w:r>
      <w:r>
        <w:rPr>
          <w:rFonts w:hint="eastAsia" w:ascii="仿宋_GB2312" w:eastAsia="仿宋_GB2312"/>
          <w:color w:val="000000"/>
          <w:sz w:val="32"/>
          <w:szCs w:val="32"/>
          <w:lang w:eastAsia="zh-CN"/>
        </w:rPr>
        <w:t>乐山市水务局</w:t>
      </w:r>
      <w:r>
        <w:rPr>
          <w:rFonts w:hint="eastAsia" w:ascii="仿宋_GB2312" w:eastAsia="仿宋_GB2312"/>
          <w:color w:val="000000"/>
          <w:sz w:val="32"/>
          <w:szCs w:val="32"/>
        </w:rPr>
        <w:t>机关运行经费支出</w:t>
      </w:r>
      <w:r>
        <w:rPr>
          <w:rFonts w:hint="eastAsia" w:ascii="仿宋_GB2312" w:eastAsia="仿宋_GB2312"/>
          <w:color w:val="000000"/>
          <w:sz w:val="32"/>
          <w:szCs w:val="32"/>
          <w:lang w:val="en-US" w:eastAsia="zh-CN"/>
        </w:rPr>
        <w:t>113.09</w:t>
      </w:r>
      <w:r>
        <w:rPr>
          <w:rFonts w:hint="eastAsia" w:ascii="仿宋_GB2312" w:eastAsia="仿宋_GB2312"/>
          <w:color w:val="000000"/>
          <w:sz w:val="32"/>
          <w:szCs w:val="32"/>
        </w:rPr>
        <w:t>万元，比</w:t>
      </w:r>
      <w:r>
        <w:rPr>
          <w:rFonts w:ascii="仿宋_GB2312" w:eastAsia="仿宋_GB2312"/>
          <w:color w:val="000000"/>
          <w:sz w:val="32"/>
          <w:szCs w:val="32"/>
        </w:rPr>
        <w:t>201</w:t>
      </w:r>
      <w:r>
        <w:rPr>
          <w:rFonts w:hint="eastAsia" w:ascii="仿宋_GB2312" w:eastAsia="仿宋_GB2312"/>
          <w:color w:val="000000"/>
          <w:sz w:val="32"/>
          <w:szCs w:val="32"/>
        </w:rPr>
        <w:t>8年减少</w:t>
      </w:r>
      <w:r>
        <w:rPr>
          <w:rFonts w:hint="eastAsia" w:ascii="仿宋_GB2312" w:eastAsia="仿宋_GB2312"/>
          <w:color w:val="000000"/>
          <w:sz w:val="32"/>
          <w:szCs w:val="32"/>
          <w:lang w:val="en-US" w:eastAsia="zh-CN"/>
        </w:rPr>
        <w:t>45.89</w:t>
      </w:r>
      <w:r>
        <w:rPr>
          <w:rFonts w:hint="eastAsia" w:ascii="仿宋_GB2312" w:eastAsia="仿宋_GB2312"/>
          <w:color w:val="000000"/>
          <w:sz w:val="32"/>
          <w:szCs w:val="32"/>
        </w:rPr>
        <w:t>万元，下降</w:t>
      </w:r>
      <w:r>
        <w:rPr>
          <w:rFonts w:hint="eastAsia" w:ascii="仿宋_GB2312" w:eastAsia="仿宋_GB2312"/>
          <w:color w:val="000000"/>
          <w:sz w:val="32"/>
          <w:szCs w:val="32"/>
          <w:lang w:val="en-US" w:eastAsia="zh-CN"/>
        </w:rPr>
        <w:t>28.87</w:t>
      </w:r>
      <w:r>
        <w:rPr>
          <w:rFonts w:ascii="仿宋_GB2312" w:eastAsia="仿宋_GB2312"/>
          <w:color w:val="000000"/>
          <w:sz w:val="32"/>
          <w:szCs w:val="32"/>
        </w:rPr>
        <w:t>%</w:t>
      </w:r>
      <w:r>
        <w:rPr>
          <w:rFonts w:hint="eastAsia" w:ascii="仿宋_GB2312" w:eastAsia="仿宋_GB2312"/>
          <w:color w:val="000000"/>
          <w:sz w:val="32"/>
          <w:szCs w:val="32"/>
        </w:rPr>
        <w:t>。</w:t>
      </w:r>
      <w:r>
        <w:rPr>
          <w:rFonts w:hint="eastAsia" w:ascii="仿宋_GB2312" w:eastAsia="仿宋_GB2312"/>
          <w:color w:val="000000" w:themeColor="text1"/>
          <w:sz w:val="32"/>
          <w:szCs w:val="32"/>
          <w14:textFill>
            <w14:solidFill>
              <w14:schemeClr w14:val="tx1"/>
            </w14:solidFill>
          </w14:textFill>
        </w:rPr>
        <w:t>主要原因是</w:t>
      </w:r>
      <w:r>
        <w:rPr>
          <w:rFonts w:hint="eastAsia" w:ascii="仿宋_GB2312" w:eastAsia="仿宋_GB2312"/>
          <w:color w:val="000000" w:themeColor="text1"/>
          <w:sz w:val="32"/>
          <w:szCs w:val="32"/>
          <w:lang w:val="en-US" w:eastAsia="zh-CN"/>
          <w14:textFill>
            <w14:solidFill>
              <w14:schemeClr w14:val="tx1"/>
            </w14:solidFill>
          </w14:textFill>
        </w:rPr>
        <w:t>2018年机关购置了一台公务车。</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3" w:firstLineChars="200"/>
        <w:jc w:val="left"/>
        <w:textAlignment w:val="auto"/>
        <w:outlineLvl w:val="2"/>
        <w:rPr>
          <w:rFonts w:ascii="仿宋" w:hAnsi="仿宋" w:eastAsia="仿宋"/>
          <w:b/>
          <w:color w:val="000000"/>
          <w:sz w:val="32"/>
          <w:szCs w:val="32"/>
        </w:rPr>
      </w:pPr>
      <w:bookmarkStart w:id="108" w:name="_Toc15377223"/>
      <w:r>
        <w:rPr>
          <w:rFonts w:hint="eastAsia" w:ascii="仿宋" w:hAnsi="仿宋" w:eastAsia="仿宋"/>
          <w:b/>
          <w:color w:val="000000"/>
          <w:sz w:val="32"/>
          <w:szCs w:val="32"/>
        </w:rPr>
        <w:t>（二）政府采购支出情况</w:t>
      </w:r>
      <w:bookmarkEnd w:id="108"/>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201</w:t>
      </w:r>
      <w:r>
        <w:rPr>
          <w:rFonts w:hint="eastAsia" w:ascii="仿宋_GB2312" w:eastAsia="仿宋_GB2312"/>
          <w:color w:val="000000"/>
          <w:sz w:val="32"/>
          <w:szCs w:val="32"/>
        </w:rPr>
        <w:t>9年，</w:t>
      </w:r>
      <w:r>
        <w:rPr>
          <w:rFonts w:hint="eastAsia" w:ascii="仿宋_GB2312" w:eastAsia="仿宋_GB2312"/>
          <w:color w:val="000000"/>
          <w:sz w:val="32"/>
          <w:szCs w:val="32"/>
          <w:lang w:eastAsia="zh-CN"/>
        </w:rPr>
        <w:t>乐山市水务局</w:t>
      </w:r>
      <w:r>
        <w:rPr>
          <w:rFonts w:hint="eastAsia" w:ascii="仿宋_GB2312" w:eastAsia="仿宋_GB2312"/>
          <w:color w:val="000000"/>
          <w:sz w:val="32"/>
          <w:szCs w:val="32"/>
        </w:rPr>
        <w:t>政府采购支出总额</w:t>
      </w:r>
      <w:r>
        <w:rPr>
          <w:rFonts w:hint="eastAsia" w:ascii="仿宋_GB2312" w:eastAsia="仿宋_GB2312"/>
          <w:color w:val="000000"/>
          <w:sz w:val="32"/>
          <w:szCs w:val="32"/>
          <w:lang w:val="en-US" w:eastAsia="zh-CN"/>
        </w:rPr>
        <w:t>552.53</w:t>
      </w:r>
      <w:r>
        <w:rPr>
          <w:rFonts w:hint="eastAsia" w:ascii="仿宋_GB2312" w:eastAsia="仿宋_GB2312"/>
          <w:color w:val="000000"/>
          <w:sz w:val="32"/>
          <w:szCs w:val="32"/>
        </w:rPr>
        <w:t>万元，其中：政府采购货物支出</w:t>
      </w:r>
      <w:r>
        <w:rPr>
          <w:rFonts w:hint="eastAsia" w:ascii="仿宋_GB2312" w:eastAsia="仿宋_GB2312"/>
          <w:color w:val="000000"/>
          <w:sz w:val="32"/>
          <w:szCs w:val="32"/>
          <w:lang w:val="en-US" w:eastAsia="zh-CN"/>
        </w:rPr>
        <w:t>10.90</w:t>
      </w:r>
      <w:r>
        <w:rPr>
          <w:rFonts w:hint="eastAsia" w:ascii="仿宋_GB2312" w:eastAsia="仿宋_GB2312"/>
          <w:color w:val="000000"/>
          <w:sz w:val="32"/>
          <w:szCs w:val="32"/>
        </w:rPr>
        <w:t>万元、政府采购工程支出</w:t>
      </w:r>
      <w:r>
        <w:rPr>
          <w:rFonts w:hint="eastAsia" w:ascii="仿宋_GB2312" w:eastAsia="仿宋_GB2312"/>
          <w:color w:val="000000"/>
          <w:sz w:val="32"/>
          <w:szCs w:val="32"/>
          <w:lang w:val="en-US" w:eastAsia="zh-CN"/>
        </w:rPr>
        <w:t>530.70</w:t>
      </w:r>
      <w:r>
        <w:rPr>
          <w:rFonts w:hint="eastAsia" w:ascii="仿宋_GB2312" w:eastAsia="仿宋_GB2312"/>
          <w:color w:val="000000"/>
          <w:sz w:val="32"/>
          <w:szCs w:val="32"/>
        </w:rPr>
        <w:t>万元、政府采购服务支出</w:t>
      </w:r>
      <w:r>
        <w:rPr>
          <w:rFonts w:hint="eastAsia" w:ascii="仿宋_GB2312" w:eastAsia="仿宋_GB2312"/>
          <w:color w:val="000000"/>
          <w:sz w:val="32"/>
          <w:szCs w:val="32"/>
          <w:lang w:val="en-US" w:eastAsia="zh-CN"/>
        </w:rPr>
        <w:t>10.93</w:t>
      </w:r>
      <w:r>
        <w:rPr>
          <w:rFonts w:hint="eastAsia" w:ascii="仿宋_GB2312" w:eastAsia="仿宋_GB2312"/>
          <w:color w:val="000000"/>
          <w:sz w:val="32"/>
          <w:szCs w:val="32"/>
        </w:rPr>
        <w:t>万元。主</w:t>
      </w:r>
      <w:r>
        <w:rPr>
          <w:rFonts w:hint="eastAsia" w:ascii="仿宋_GB2312" w:eastAsia="仿宋_GB2312"/>
          <w:color w:val="000000"/>
          <w:sz w:val="32"/>
          <w:szCs w:val="32"/>
          <w:highlight w:val="none"/>
        </w:rPr>
        <w:t>要用于</w:t>
      </w:r>
      <w:r>
        <w:rPr>
          <w:rFonts w:hint="eastAsia" w:ascii="仿宋_GB2312" w:eastAsia="仿宋_GB2312"/>
          <w:color w:val="000000"/>
          <w:sz w:val="32"/>
          <w:szCs w:val="32"/>
          <w:highlight w:val="none"/>
          <w:lang w:eastAsia="zh-CN"/>
        </w:rPr>
        <w:t>河（湖）长制信息平台建设、三江水系统综合治理、防汛物资采购、防汛应急抢险等</w:t>
      </w:r>
      <w:r>
        <w:rPr>
          <w:rFonts w:hint="eastAsia" w:ascii="仿宋_GB2312" w:eastAsia="仿宋_GB2312"/>
          <w:color w:val="000000"/>
          <w:sz w:val="32"/>
          <w:szCs w:val="32"/>
          <w:highlight w:val="none"/>
        </w:rPr>
        <w:t>。</w:t>
      </w:r>
      <w:r>
        <w:rPr>
          <w:rFonts w:hint="eastAsia" w:ascii="仿宋_GB2312" w:eastAsia="仿宋_GB2312"/>
          <w:color w:val="000000"/>
          <w:sz w:val="32"/>
          <w:szCs w:val="32"/>
        </w:rPr>
        <w:t>授予中小企业合同金额</w:t>
      </w:r>
      <w:r>
        <w:rPr>
          <w:rFonts w:hint="eastAsia" w:ascii="仿宋_GB2312" w:eastAsia="仿宋_GB2312"/>
          <w:color w:val="000000"/>
          <w:sz w:val="32"/>
          <w:szCs w:val="32"/>
          <w:lang w:val="en-US" w:eastAsia="zh-CN"/>
        </w:rPr>
        <w:t>540.38</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97.80</w:t>
      </w:r>
      <w:r>
        <w:rPr>
          <w:rFonts w:ascii="仿宋_GB2312" w:eastAsia="仿宋_GB2312"/>
          <w:color w:val="000000"/>
          <w:sz w:val="32"/>
          <w:szCs w:val="32"/>
        </w:rPr>
        <w:t>%</w:t>
      </w:r>
      <w:r>
        <w:rPr>
          <w:rFonts w:hint="eastAsia" w:ascii="仿宋_GB2312" w:eastAsia="仿宋_GB2312"/>
          <w:color w:val="000000"/>
          <w:sz w:val="32"/>
          <w:szCs w:val="32"/>
        </w:rPr>
        <w:t>，其中：授予小微企业合同金额</w:t>
      </w:r>
      <w:r>
        <w:rPr>
          <w:rFonts w:hint="eastAsia" w:ascii="仿宋_GB2312" w:eastAsia="仿宋_GB2312"/>
          <w:color w:val="000000"/>
          <w:sz w:val="32"/>
          <w:szCs w:val="32"/>
          <w:lang w:val="en-US" w:eastAsia="zh-CN"/>
        </w:rPr>
        <w:t>6.29</w:t>
      </w:r>
      <w:r>
        <w:rPr>
          <w:rFonts w:hint="eastAsia" w:ascii="仿宋_GB2312" w:eastAsia="仿宋_GB2312"/>
          <w:color w:val="000000"/>
          <w:sz w:val="32"/>
          <w:szCs w:val="32"/>
        </w:rPr>
        <w:t>万元，占政府采购支出总额的</w:t>
      </w:r>
      <w:r>
        <w:rPr>
          <w:rFonts w:hint="eastAsia" w:ascii="仿宋_GB2312" w:eastAsia="仿宋_GB2312"/>
          <w:color w:val="000000"/>
          <w:sz w:val="32"/>
          <w:szCs w:val="32"/>
          <w:lang w:val="en-US" w:eastAsia="zh-CN"/>
        </w:rPr>
        <w:t>1.34</w:t>
      </w:r>
      <w:r>
        <w:rPr>
          <w:rFonts w:ascii="仿宋_GB2312" w:eastAsia="仿宋_GB2312"/>
          <w:color w:val="000000"/>
          <w:sz w:val="32"/>
          <w:szCs w:val="32"/>
        </w:rPr>
        <w:t>%</w:t>
      </w:r>
      <w:r>
        <w:rPr>
          <w:rFonts w:hint="eastAsia" w:ascii="仿宋_GB2312" w:eastAsia="仿宋_GB2312"/>
          <w:color w:val="000000"/>
          <w:sz w:val="32"/>
          <w:szCs w:val="32"/>
        </w:rPr>
        <w:t>。</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3" w:firstLineChars="200"/>
        <w:jc w:val="left"/>
        <w:textAlignment w:val="auto"/>
        <w:outlineLvl w:val="2"/>
        <w:rPr>
          <w:rFonts w:ascii="仿宋" w:hAnsi="仿宋" w:eastAsia="仿宋"/>
          <w:b/>
          <w:color w:val="000000"/>
          <w:sz w:val="32"/>
          <w:szCs w:val="32"/>
        </w:rPr>
      </w:pPr>
      <w:bookmarkStart w:id="109" w:name="_Toc15377224"/>
      <w:r>
        <w:rPr>
          <w:rFonts w:hint="eastAsia" w:ascii="仿宋" w:hAnsi="仿宋" w:eastAsia="仿宋"/>
          <w:b/>
          <w:color w:val="000000"/>
          <w:sz w:val="32"/>
          <w:szCs w:val="32"/>
        </w:rPr>
        <w:t>（三）国有资产占有使用情况</w:t>
      </w:r>
      <w:bookmarkEnd w:id="109"/>
    </w:p>
    <w:p>
      <w:pPr>
        <w:spacing w:line="600" w:lineRule="exact"/>
        <w:ind w:firstLine="640" w:firstLineChars="200"/>
        <w:rPr>
          <w:rFonts w:hint="eastAsia" w:ascii="仿宋" w:hAnsi="仿宋" w:eastAsia="仿宋_GB2312"/>
          <w:b/>
          <w:color w:val="FF0000"/>
          <w:sz w:val="32"/>
          <w:szCs w:val="32"/>
          <w:lang w:eastAsia="zh-CN"/>
        </w:rPr>
      </w:pPr>
      <w:r>
        <w:rPr>
          <w:rFonts w:hint="eastAsia" w:ascii="仿宋_GB2312" w:eastAsia="仿宋_GB2312"/>
          <w:color w:val="000000"/>
          <w:sz w:val="32"/>
          <w:szCs w:val="32"/>
        </w:rPr>
        <w:t>截至</w:t>
      </w:r>
      <w:r>
        <w:rPr>
          <w:rFonts w:ascii="仿宋_GB2312" w:eastAsia="仿宋_GB2312"/>
          <w:color w:val="000000"/>
          <w:sz w:val="32"/>
          <w:szCs w:val="32"/>
        </w:rPr>
        <w:t>201</w:t>
      </w:r>
      <w:r>
        <w:rPr>
          <w:rFonts w:hint="eastAsia" w:ascii="仿宋_GB2312" w:eastAsia="仿宋_GB2312"/>
          <w:color w:val="000000"/>
          <w:sz w:val="32"/>
          <w:szCs w:val="32"/>
        </w:rPr>
        <w:t>9年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w:t>
      </w:r>
      <w:r>
        <w:rPr>
          <w:rFonts w:hint="eastAsia" w:ascii="仿宋_GB2312" w:eastAsia="仿宋_GB2312"/>
          <w:color w:val="000000"/>
          <w:sz w:val="32"/>
          <w:szCs w:val="32"/>
          <w:lang w:eastAsia="zh-CN"/>
        </w:rPr>
        <w:t>乐山市水务局部门</w:t>
      </w:r>
      <w:r>
        <w:rPr>
          <w:rFonts w:hint="eastAsia" w:ascii="仿宋_GB2312" w:eastAsia="仿宋_GB2312"/>
          <w:color w:val="000000"/>
          <w:sz w:val="32"/>
          <w:szCs w:val="32"/>
        </w:rPr>
        <w:t>共有车辆</w:t>
      </w:r>
      <w:r>
        <w:rPr>
          <w:rFonts w:hint="eastAsia" w:ascii="仿宋_GB2312" w:eastAsia="仿宋_GB2312"/>
          <w:color w:val="000000"/>
          <w:sz w:val="32"/>
          <w:szCs w:val="32"/>
          <w:lang w:val="en-US" w:eastAsia="zh-CN"/>
        </w:rPr>
        <w:t>13</w:t>
      </w:r>
      <w:r>
        <w:rPr>
          <w:rFonts w:hint="eastAsia" w:ascii="仿宋_GB2312" w:eastAsia="仿宋_GB2312"/>
          <w:color w:val="000000"/>
          <w:sz w:val="32"/>
          <w:szCs w:val="32"/>
        </w:rPr>
        <w:t>辆，主要领导干部用车0辆、机要通信用车0辆、应急保障用车4辆、 执法执勤用车1辆，其他用车5辆。</w:t>
      </w:r>
      <w:r>
        <w:rPr>
          <w:rFonts w:ascii="仿宋_GB2312" w:eastAsia="仿宋_GB2312"/>
          <w:color w:val="000000" w:themeColor="text1"/>
          <w:sz w:val="32"/>
          <w:szCs w:val="32"/>
          <w14:textFill>
            <w14:solidFill>
              <w14:schemeClr w14:val="tx1"/>
            </w14:solidFill>
          </w14:textFill>
        </w:rPr>
        <w:t>50</w:t>
      </w:r>
      <w:r>
        <w:rPr>
          <w:rFonts w:hint="eastAsia" w:ascii="仿宋_GB2312" w:eastAsia="仿宋_GB2312"/>
          <w:color w:val="000000" w:themeColor="text1"/>
          <w:sz w:val="32"/>
          <w:szCs w:val="32"/>
          <w14:textFill>
            <w14:solidFill>
              <w14:schemeClr w14:val="tx1"/>
            </w14:solidFill>
          </w14:textFill>
        </w:rPr>
        <w:t>万元以上通用设备</w:t>
      </w:r>
      <w:r>
        <w:rPr>
          <w:rFonts w:hint="eastAsia" w:ascii="仿宋_GB2312" w:eastAsia="仿宋_GB2312"/>
          <w:color w:val="000000" w:themeColor="text1"/>
          <w:sz w:val="32"/>
          <w:szCs w:val="32"/>
          <w:lang w:val="en-US" w:eastAsia="zh-CN"/>
          <w14:textFill>
            <w14:solidFill>
              <w14:schemeClr w14:val="tx1"/>
            </w14:solidFill>
          </w14:textFill>
        </w:rPr>
        <w:t>0</w:t>
      </w:r>
      <w:r>
        <w:rPr>
          <w:rFonts w:hint="eastAsia" w:ascii="仿宋_GB2312" w:eastAsia="仿宋_GB2312"/>
          <w:color w:val="000000" w:themeColor="text1"/>
          <w:sz w:val="32"/>
          <w:szCs w:val="32"/>
          <w14:textFill>
            <w14:solidFill>
              <w14:schemeClr w14:val="tx1"/>
            </w14:solidFill>
          </w14:textFill>
        </w:rPr>
        <w:t>台（套），单价</w:t>
      </w:r>
      <w:r>
        <w:rPr>
          <w:rFonts w:ascii="仿宋_GB2312" w:eastAsia="仿宋_GB2312"/>
          <w:color w:val="000000" w:themeColor="text1"/>
          <w:sz w:val="32"/>
          <w:szCs w:val="32"/>
          <w14:textFill>
            <w14:solidFill>
              <w14:schemeClr w14:val="tx1"/>
            </w14:solidFill>
          </w14:textFill>
        </w:rPr>
        <w:t>100</w:t>
      </w:r>
      <w:r>
        <w:rPr>
          <w:rFonts w:hint="eastAsia" w:ascii="仿宋_GB2312" w:eastAsia="仿宋_GB2312"/>
          <w:color w:val="000000"/>
          <w:sz w:val="32"/>
          <w:szCs w:val="32"/>
        </w:rPr>
        <w:t>万元以上专用设备</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台（套）。</w:t>
      </w:r>
    </w:p>
    <w:p>
      <w:pPr>
        <w:keepNext w:val="0"/>
        <w:keepLines w:val="0"/>
        <w:pageBreakBefore w:val="0"/>
        <w:widowControl w:val="0"/>
        <w:kinsoku/>
        <w:wordWrap/>
        <w:overflowPunct/>
        <w:topLinePunct w:val="0"/>
        <w:autoSpaceDE w:val="0"/>
        <w:autoSpaceDN w:val="0"/>
        <w:bidi w:val="0"/>
        <w:adjustRightInd w:val="0"/>
        <w:snapToGrid/>
        <w:spacing w:line="600" w:lineRule="exact"/>
        <w:ind w:firstLine="643" w:firstLineChars="200"/>
        <w:jc w:val="left"/>
        <w:textAlignment w:val="auto"/>
        <w:outlineLvl w:val="2"/>
        <w:rPr>
          <w:rFonts w:ascii="仿宋" w:hAnsi="仿宋" w:eastAsia="仿宋"/>
          <w:b/>
          <w:color w:val="000000"/>
          <w:sz w:val="32"/>
          <w:szCs w:val="32"/>
        </w:rPr>
      </w:pPr>
      <w:r>
        <w:rPr>
          <w:rFonts w:hint="eastAsia" w:ascii="仿宋" w:hAnsi="仿宋" w:eastAsia="仿宋"/>
          <w:b/>
          <w:color w:val="000000"/>
          <w:sz w:val="32"/>
          <w:szCs w:val="32"/>
        </w:rPr>
        <w:t>（四）预算绩效管理情况。</w:t>
      </w:r>
    </w:p>
    <w:p>
      <w:pPr>
        <w:spacing w:line="580" w:lineRule="exact"/>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按照</w:t>
      </w:r>
      <w:r>
        <w:rPr>
          <w:rFonts w:hint="eastAsia" w:ascii="仿宋_GB2312" w:hAnsi="仿宋_GB2312" w:eastAsia="仿宋_GB2312" w:cs="仿宋_GB2312"/>
          <w:sz w:val="32"/>
          <w:szCs w:val="32"/>
          <w:highlight w:val="none"/>
        </w:rPr>
        <w:t>预算绩效管理要求，</w:t>
      </w:r>
      <w:r>
        <w:rPr>
          <w:rFonts w:hint="eastAsia" w:ascii="仿宋_GB2312" w:hAnsi="仿宋_GB2312" w:eastAsia="仿宋_GB2312" w:cs="仿宋_GB2312"/>
          <w:sz w:val="32"/>
          <w:szCs w:val="32"/>
          <w:highlight w:val="none"/>
          <w:lang w:eastAsia="zh-CN"/>
        </w:rPr>
        <w:t>本部门在年初预算编制阶段，组织对竹公溪防洪应急相关方案编制开展了预算事前绩效评估，对</w:t>
      </w:r>
      <w:r>
        <w:rPr>
          <w:rFonts w:hint="eastAsia" w:ascii="仿宋_GB2312" w:hAnsi="仿宋_GB2312" w:eastAsia="仿宋_GB2312" w:cs="仿宋_GB2312"/>
          <w:sz w:val="32"/>
          <w:szCs w:val="32"/>
          <w:highlight w:val="none"/>
        </w:rPr>
        <w:t>部门</w:t>
      </w:r>
      <w:r>
        <w:rPr>
          <w:rFonts w:hint="eastAsia" w:ascii="仿宋_GB2312" w:hAnsi="仿宋_GB2312" w:eastAsia="仿宋_GB2312" w:cs="仿宋_GB2312"/>
          <w:sz w:val="32"/>
          <w:szCs w:val="32"/>
          <w:highlight w:val="none"/>
          <w:lang w:eastAsia="zh-CN"/>
        </w:rPr>
        <w:t>整体和</w:t>
      </w:r>
      <w:r>
        <w:rPr>
          <w:rFonts w:hint="eastAsia" w:ascii="仿宋_GB2312" w:hAnsi="仿宋_GB2312" w:eastAsia="仿宋_GB2312" w:cs="仿宋_GB2312"/>
          <w:sz w:val="32"/>
          <w:szCs w:val="32"/>
          <w:highlight w:val="none"/>
          <w:lang w:val="en-US" w:eastAsia="zh-CN"/>
        </w:rPr>
        <w:t>32个运转类</w:t>
      </w:r>
      <w:r>
        <w:rPr>
          <w:rFonts w:hint="eastAsia" w:ascii="仿宋_GB2312" w:hAnsi="仿宋_GB2312" w:eastAsia="仿宋_GB2312" w:cs="仿宋_GB2312"/>
          <w:sz w:val="32"/>
          <w:szCs w:val="32"/>
          <w:highlight w:val="none"/>
          <w:lang w:eastAsia="zh-CN"/>
        </w:rPr>
        <w:t>项目设置了绩效目标，</w:t>
      </w:r>
      <w:r>
        <w:rPr>
          <w:rFonts w:hint="eastAsia" w:ascii="仿宋_GB2312" w:hAnsi="仿宋_GB2312" w:eastAsia="仿宋_GB2312" w:cs="仿宋_GB2312"/>
          <w:sz w:val="32"/>
          <w:szCs w:val="32"/>
        </w:rPr>
        <w:t>预算执行过程中，选取</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个项目开展了绩效目标完成情况自评。</w:t>
      </w:r>
    </w:p>
    <w:p>
      <w:pPr>
        <w:spacing w:line="579" w:lineRule="exact"/>
        <w:ind w:firstLine="640" w:firstLineChars="200"/>
        <w:rPr>
          <w:rFonts w:ascii="仿宋_GB2312" w:hAnsi="仿宋_GB2312" w:eastAsia="仿宋_GB2312" w:cs="仿宋_GB2312"/>
          <w:sz w:val="32"/>
          <w:szCs w:val="32"/>
          <w:highlight w:val="yellow"/>
        </w:rPr>
      </w:pPr>
      <w:r>
        <w:rPr>
          <w:rFonts w:hint="eastAsia" w:ascii="仿宋_GB2312" w:hAnsi="仿宋_GB2312" w:eastAsia="仿宋_GB2312" w:cs="仿宋_GB2312"/>
          <w:sz w:val="32"/>
          <w:szCs w:val="32"/>
          <w:lang w:eastAsia="zh-CN"/>
        </w:rPr>
        <w:t>本部门按要求</w:t>
      </w:r>
      <w:r>
        <w:rPr>
          <w:rFonts w:hint="eastAsia" w:ascii="仿宋_GB2312" w:hAnsi="仿宋_GB2312" w:eastAsia="仿宋_GB2312" w:cs="仿宋_GB2312"/>
          <w:sz w:val="32"/>
          <w:szCs w:val="32"/>
        </w:rPr>
        <w:t>2019年部门整体支出开展绩效自评，从评价情况</w:t>
      </w:r>
      <w:r>
        <w:rPr>
          <w:rFonts w:hint="eastAsia" w:ascii="仿宋_GB2312" w:hAnsi="仿宋_GB2312" w:eastAsia="仿宋_GB2312" w:cs="仿宋_GB2312"/>
          <w:sz w:val="32"/>
          <w:szCs w:val="32"/>
          <w:highlight w:val="none"/>
        </w:rPr>
        <w:t>来看部门预(决)算编制合理，项目支出提前细化，项目建设进程加快，预算执行情况总体良好，同时按照省、市厉行节约的要求严格控制“三公”经费支出，</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三公</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经费支出压减比例达到预期目标，绩效目标完成率较高，部门绩效管理水平进一步提升</w:t>
      </w:r>
      <w:r>
        <w:rPr>
          <w:rFonts w:hint="eastAsia" w:ascii="仿宋_GB2312" w:hAnsi="仿宋_GB2312" w:eastAsia="仿宋_GB2312" w:cs="仿宋_GB2312"/>
          <w:sz w:val="32"/>
          <w:szCs w:val="32"/>
        </w:rPr>
        <w:t>。本部门还自行组织了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个项目支出绩效评价，从评价情况来看</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highlight w:val="none"/>
        </w:rPr>
        <w:t>绩效目标明确、合理，资金分配、使用规范，对保障灌区生产用水及灌区人民生活安全具有重大意义，发挥了资金效益，使用效果好，群众满意度较高。</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 w:hAnsi="仿宋" w:eastAsia="仿宋" w:cs="仿宋"/>
          <w:sz w:val="32"/>
          <w:szCs w:val="32"/>
        </w:rPr>
        <w:t>1</w:t>
      </w:r>
      <w:r>
        <w:rPr>
          <w:rFonts w:hint="eastAsia" w:ascii="楷体_GB2312" w:hAnsi="楷体_GB2312" w:eastAsia="楷体_GB2312" w:cs="楷体_GB2312"/>
          <w:sz w:val="32"/>
          <w:szCs w:val="32"/>
        </w:rPr>
        <w:t>.项目绩效目标完成情况。</w:t>
      </w:r>
      <w:r>
        <w:rPr>
          <w:rFonts w:hint="eastAsia" w:ascii="楷体_GB2312" w:hAnsi="楷体_GB2312" w:eastAsia="楷体_GB2312" w:cs="楷体_GB2312"/>
          <w:sz w:val="32"/>
          <w:szCs w:val="32"/>
        </w:rPr>
        <w:br w:type="textWrapping"/>
      </w:r>
      <w:r>
        <w:rPr>
          <w:rFonts w:hint="eastAsia" w:ascii="仿宋_GB2312" w:hAnsi="仿宋_GB2312" w:eastAsia="仿宋_GB2312" w:cs="仿宋_GB2312"/>
          <w:sz w:val="32"/>
          <w:szCs w:val="32"/>
        </w:rPr>
        <w:t xml:space="preserve">    本部门在2019年度部门决算中反映“</w:t>
      </w:r>
      <w:r>
        <w:rPr>
          <w:rFonts w:hint="eastAsia" w:ascii="仿宋_GB2312" w:hAnsi="仿宋_GB2312" w:eastAsia="仿宋_GB2312" w:cs="仿宋_GB2312"/>
          <w:sz w:val="32"/>
          <w:szCs w:val="32"/>
          <w:lang w:eastAsia="zh-CN"/>
        </w:rPr>
        <w:t>城市水利规划</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《青衣江综合治理总体方案》编制</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个项目绩效目标实际完成情况。</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城市水利规划</w:t>
      </w:r>
      <w:r>
        <w:rPr>
          <w:rFonts w:hint="eastAsia" w:ascii="仿宋_GB2312" w:hAnsi="仿宋_GB2312" w:eastAsia="仿宋_GB2312" w:cs="仿宋_GB2312"/>
          <w:sz w:val="32"/>
          <w:szCs w:val="32"/>
        </w:rPr>
        <w:t>项目绩效目标完成情况综述。</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rPr>
        <w:t>项目全年预算数</w:t>
      </w:r>
      <w:r>
        <w:rPr>
          <w:rFonts w:hint="eastAsia" w:ascii="仿宋_GB2312" w:hAnsi="仿宋_GB2312" w:eastAsia="仿宋_GB2312" w:cs="仿宋_GB2312"/>
          <w:sz w:val="32"/>
          <w:szCs w:val="32"/>
          <w:lang w:val="en-US" w:eastAsia="zh-CN"/>
        </w:rPr>
        <w:t>200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200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w:t>
      </w:r>
      <w:r>
        <w:rPr>
          <w:rFonts w:hint="eastAsia" w:ascii="仿宋_GB2312" w:hAnsi="仿宋_GB2312" w:eastAsia="仿宋_GB2312" w:cs="仿宋_GB2312"/>
          <w:sz w:val="32"/>
          <w:szCs w:val="32"/>
          <w:lang w:eastAsia="zh-CN"/>
        </w:rPr>
        <w:t>推进</w:t>
      </w:r>
      <w:r>
        <w:rPr>
          <w:rFonts w:hint="eastAsia" w:ascii="仿宋_GB2312" w:hAnsi="仿宋_GB2312" w:eastAsia="仿宋_GB2312" w:cs="仿宋_GB2312"/>
          <w:sz w:val="32"/>
          <w:szCs w:val="32"/>
        </w:rPr>
        <w:t>了市中区、沙湾区、五通桥区、峨眉山市、夹江县在内的城市水利发展规划，为规划期内中心城区水资源开发利用保护、水环境治理</w:t>
      </w:r>
      <w:r>
        <w:rPr>
          <w:rFonts w:hint="eastAsia" w:ascii="仿宋_GB2312" w:hAnsi="仿宋_GB2312" w:eastAsia="仿宋_GB2312" w:cs="仿宋_GB2312"/>
          <w:sz w:val="32"/>
          <w:szCs w:val="32"/>
          <w:highlight w:val="none"/>
        </w:rPr>
        <w:t>、水安全保障提供技术支持和行动指南</w:t>
      </w:r>
      <w:r>
        <w:rPr>
          <w:rFonts w:hint="eastAsia" w:ascii="仿宋_GB2312" w:hAnsi="仿宋_GB2312" w:eastAsia="仿宋_GB2312" w:cs="仿宋_GB2312"/>
          <w:sz w:val="32"/>
          <w:szCs w:val="32"/>
          <w:highlight w:val="none"/>
          <w:lang w:eastAsia="zh-CN"/>
        </w:rPr>
        <w:t>。</w:t>
      </w:r>
    </w:p>
    <w:tbl>
      <w:tblPr>
        <w:tblStyle w:val="12"/>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lang w:eastAsia="zh-CN"/>
              </w:rPr>
              <w:t>城市水利规划</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乐山市水务局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200</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90" w:lineRule="exact"/>
              <w:ind w:firstLine="0" w:firstLineChars="0"/>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200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200</w:t>
            </w:r>
          </w:p>
        </w:tc>
      </w:tr>
      <w:tr>
        <w:tblPrEx>
          <w:tblCellMar>
            <w:top w:w="0" w:type="dxa"/>
            <w:left w:w="0" w:type="dxa"/>
            <w:bottom w:w="0" w:type="dxa"/>
            <w:right w:w="0" w:type="dxa"/>
          </w:tblCellMar>
        </w:tblPrEx>
        <w:trPr>
          <w:trHeight w:val="1275"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90" w:lineRule="exact"/>
              <w:ind w:firstLine="0" w:firstLineChars="0"/>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90" w:lineRule="exact"/>
              <w:ind w:firstLine="0" w:firstLineChars="0"/>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2785"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90" w:lineRule="exact"/>
              <w:ind w:firstLine="0" w:firstLineChars="0"/>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编制完成含市中区、沙湾区、五通桥区、峨眉山市、夹江县在内的城市水利发展规划报告送审稿</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rPr>
              <w:t>编制完成含市中区、沙湾区、五通桥区、峨眉山市、夹江县在内的城市水利发展规划报告送审稿</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cs="宋体"/>
                <w:color w:val="000000"/>
                <w:kern w:val="0"/>
                <w:sz w:val="24"/>
              </w:rPr>
            </w:pPr>
            <w:r>
              <w:rPr>
                <w:rFonts w:hint="eastAsia" w:ascii="宋体" w:hAnsi="宋体" w:cs="宋体"/>
                <w:color w:val="000000"/>
                <w:kern w:val="0"/>
                <w:sz w:val="24"/>
              </w:rPr>
              <w:t>项目完成指标</w:t>
            </w:r>
          </w:p>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kern w:val="0"/>
                <w:sz w:val="24"/>
              </w:rPr>
            </w:pP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规划范围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市中区、沙湾区、五通桥区、峨眉山市、夹江县</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市中区、沙湾区、五通桥区、峨眉山市、夹江县</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城市水利规划总面积</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2707km2</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lang w:val="en-US" w:eastAsia="zh-CN"/>
              </w:rPr>
              <w:t>2707km2</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技术审查与批复</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通过专家审查批复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初稿已完成，正在审查中</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both"/>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预算执行率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cs="宋体"/>
                <w:color w:val="000000"/>
                <w:kern w:val="0"/>
                <w:sz w:val="24"/>
              </w:rPr>
            </w:pPr>
            <w:r>
              <w:rPr>
                <w:rFonts w:hint="eastAsia" w:ascii="宋体" w:hAnsi="宋体" w:cs="宋体"/>
                <w:color w:val="000000"/>
                <w:kern w:val="0"/>
                <w:sz w:val="24"/>
              </w:rPr>
              <w:t>项目完成指标</w:t>
            </w:r>
          </w:p>
          <w:p>
            <w:pPr>
              <w:pageBreakBefore w:val="0"/>
              <w:widowControl/>
              <w:kinsoku/>
              <w:wordWrap/>
              <w:overflowPunct/>
              <w:topLinePunct w:val="0"/>
              <w:bidi w:val="0"/>
              <w:spacing w:line="590" w:lineRule="exact"/>
              <w:ind w:firstLine="0" w:firstLineChars="0"/>
              <w:jc w:val="both"/>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lang w:eastAsia="zh-CN"/>
              </w:rPr>
              <w:t>规划编制初稿完成率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编制费用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200万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200万</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cs="宋体"/>
                <w:color w:val="000000"/>
                <w:kern w:val="0"/>
                <w:sz w:val="24"/>
              </w:rPr>
            </w:pPr>
            <w:r>
              <w:rPr>
                <w:rFonts w:hint="eastAsia" w:ascii="宋体" w:hAnsi="宋体" w:cs="宋体"/>
                <w:color w:val="000000"/>
                <w:kern w:val="0"/>
                <w:sz w:val="24"/>
              </w:rPr>
              <w:t>效益指标</w:t>
            </w:r>
          </w:p>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kern w:val="0"/>
                <w:sz w:val="24"/>
              </w:rPr>
            </w:pP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规划效益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科学决策，减少重复投资</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科学决策，减少重复投资</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both"/>
              <w:textAlignment w:val="center"/>
              <w:rPr>
                <w:rFonts w:hint="eastAsia" w:ascii="宋体" w:hAnsi="宋体" w:eastAsia="宋体" w:cs="宋体"/>
                <w:color w:val="000000"/>
                <w:sz w:val="24"/>
                <w:lang w:eastAsia="zh-CN"/>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防洪效益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提升防洪能力，减少洪灾损失</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提升防洪能力，减少洪灾损失</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城市环境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改善城市人居环境，丰富居民休闲娱乐生活</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改善城市人居环境，丰富居民休闲娱乐生活</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90%</w:t>
            </w:r>
          </w:p>
        </w:tc>
      </w:tr>
    </w:tbl>
    <w:p>
      <w:pPr>
        <w:keepNext w:val="0"/>
        <w:keepLines w:val="0"/>
        <w:pageBreakBefore w:val="0"/>
        <w:widowControl w:val="0"/>
        <w:kinsoku/>
        <w:wordWrap/>
        <w:overflowPunct/>
        <w:topLinePunct w:val="0"/>
        <w:bidi w:val="0"/>
        <w:snapToGrid/>
        <w:spacing w:line="600" w:lineRule="exact"/>
        <w:textAlignment w:val="auto"/>
        <w:rPr>
          <w:rFonts w:hint="eastAsia" w:ascii="仿宋_GB2312" w:hAnsi="仿宋_GB2312" w:eastAsia="仿宋_GB2312" w:cs="仿宋_GB2312"/>
          <w:sz w:val="32"/>
          <w:szCs w:val="32"/>
          <w:highlight w:val="none"/>
          <w:lang w:eastAsia="zh-CN"/>
        </w:rPr>
      </w:pP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（2）《青衣江综合治理总体方案》编制项目绩效目标完成情况综述。项目全年预算数</w:t>
      </w:r>
      <w:r>
        <w:rPr>
          <w:rFonts w:hint="eastAsia" w:ascii="仿宋_GB2312" w:hAnsi="仿宋_GB2312" w:eastAsia="仿宋_GB2312" w:cs="仿宋_GB2312"/>
          <w:sz w:val="32"/>
          <w:szCs w:val="32"/>
          <w:lang w:val="en-US" w:eastAsia="zh-CN"/>
        </w:rPr>
        <w:t>82.80</w:t>
      </w:r>
      <w:r>
        <w:rPr>
          <w:rFonts w:hint="eastAsia" w:ascii="仿宋_GB2312" w:hAnsi="仿宋_GB2312" w:eastAsia="仿宋_GB2312" w:cs="仿宋_GB2312"/>
          <w:sz w:val="32"/>
          <w:szCs w:val="32"/>
        </w:rPr>
        <w:t>万元，执行数为</w:t>
      </w:r>
      <w:r>
        <w:rPr>
          <w:rFonts w:hint="eastAsia" w:ascii="仿宋_GB2312" w:hAnsi="仿宋_GB2312" w:eastAsia="仿宋_GB2312" w:cs="仿宋_GB2312"/>
          <w:sz w:val="32"/>
          <w:szCs w:val="32"/>
          <w:lang w:val="en-US" w:eastAsia="zh-CN"/>
        </w:rPr>
        <w:t>82.80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%。通过项目实施，促进了</w:t>
      </w:r>
      <w:r>
        <w:rPr>
          <w:rFonts w:hint="eastAsia" w:ascii="仿宋_GB2312" w:hAnsi="仿宋_GB2312" w:eastAsia="仿宋_GB2312" w:cs="仿宋_GB2312"/>
          <w:sz w:val="32"/>
          <w:szCs w:val="32"/>
          <w:lang w:eastAsia="zh-CN"/>
        </w:rPr>
        <w:t>旅游兴市</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为开展青衣江（徐浩大桥-毛滩电站段）河段综合治理提供了技术支持和行动指南。</w:t>
      </w:r>
    </w:p>
    <w:p>
      <w:pPr>
        <w:pageBreakBefore w:val="0"/>
        <w:kinsoku/>
        <w:wordWrap/>
        <w:overflowPunct/>
        <w:topLinePunct w:val="0"/>
        <w:bidi w:val="0"/>
        <w:spacing w:line="590" w:lineRule="exact"/>
        <w:ind w:firstLine="0" w:firstLineChars="0"/>
        <w:rPr>
          <w:rFonts w:ascii="仿宋_GB2312" w:hAnsi="仿宋_GB2312" w:eastAsia="仿宋_GB2312" w:cs="仿宋_GB2312"/>
          <w:sz w:val="32"/>
          <w:szCs w:val="32"/>
        </w:rPr>
      </w:pPr>
    </w:p>
    <w:p>
      <w:pPr>
        <w:pageBreakBefore w:val="0"/>
        <w:kinsoku/>
        <w:wordWrap/>
        <w:overflowPunct/>
        <w:topLinePunct w:val="0"/>
        <w:bidi w:val="0"/>
        <w:spacing w:line="590" w:lineRule="exact"/>
        <w:rPr>
          <w:rFonts w:ascii="仿宋_GB2312" w:hAnsi="仿宋_GB2312" w:eastAsia="仿宋_GB2312" w:cs="仿宋_GB2312"/>
          <w:sz w:val="32"/>
          <w:szCs w:val="32"/>
        </w:rPr>
      </w:pPr>
    </w:p>
    <w:p>
      <w:pPr>
        <w:pageBreakBefore w:val="0"/>
        <w:kinsoku/>
        <w:wordWrap/>
        <w:overflowPunct/>
        <w:topLinePunct w:val="0"/>
        <w:bidi w:val="0"/>
        <w:spacing w:line="590" w:lineRule="exact"/>
        <w:rPr>
          <w:rFonts w:ascii="仿宋_GB2312" w:hAnsi="仿宋_GB2312" w:eastAsia="仿宋_GB2312" w:cs="仿宋_GB2312"/>
          <w:sz w:val="32"/>
          <w:szCs w:val="32"/>
        </w:rPr>
      </w:pPr>
    </w:p>
    <w:tbl>
      <w:tblPr>
        <w:tblStyle w:val="12"/>
        <w:tblpPr w:leftFromText="180" w:rightFromText="180" w:vertAnchor="text" w:horzAnchor="page" w:tblpXSpec="center" w:tblpY="423"/>
        <w:tblOverlap w:val="never"/>
        <w:tblW w:w="9960" w:type="dxa"/>
        <w:jc w:val="center"/>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jc w:val="center"/>
        </w:trPr>
        <w:tc>
          <w:tcPr>
            <w:tcW w:w="9960" w:type="dxa"/>
            <w:gridSpan w:val="6"/>
            <w:tcBorders>
              <w:top w:val="nil"/>
              <w:left w:val="nil"/>
              <w:bottom w:val="nil"/>
              <w:right w:val="nil"/>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36"/>
                <w:szCs w:val="36"/>
              </w:rPr>
            </w:pPr>
            <w:r>
              <w:rPr>
                <w:rFonts w:hint="eastAsia" w:ascii="宋体" w:hAnsi="宋体" w:cs="宋体"/>
                <w:b/>
                <w:bCs/>
                <w:color w:val="000000"/>
                <w:kern w:val="0"/>
                <w:sz w:val="36"/>
                <w:szCs w:val="36"/>
              </w:rPr>
              <w:t>项目绩效目标完成情况表</w:t>
            </w:r>
            <w:r>
              <w:rPr>
                <w:rFonts w:hint="eastAsia" w:ascii="宋体" w:hAnsi="宋体" w:cs="宋体"/>
                <w:b/>
                <w:bCs/>
                <w:color w:val="000000"/>
                <w:kern w:val="0"/>
                <w:sz w:val="36"/>
                <w:szCs w:val="36"/>
              </w:rPr>
              <w:br w:type="textWrapping"/>
            </w:r>
            <w:r>
              <w:rPr>
                <w:rFonts w:hint="eastAsia" w:ascii="宋体" w:hAnsi="宋体" w:cs="宋体"/>
                <w:color w:val="000000"/>
                <w:kern w:val="0"/>
                <w:sz w:val="36"/>
                <w:szCs w:val="36"/>
              </w:rPr>
              <w:t>(2019 年度)</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lang w:eastAsia="zh-CN"/>
              </w:rPr>
              <w:t>青衣江（乐山段）综合治理总体方案编制经费</w:t>
            </w:r>
          </w:p>
        </w:tc>
      </w:tr>
      <w:tr>
        <w:tblPrEx>
          <w:tblCellMar>
            <w:top w:w="0" w:type="dxa"/>
            <w:left w:w="0" w:type="dxa"/>
            <w:bottom w:w="0" w:type="dxa"/>
            <w:right w:w="0" w:type="dxa"/>
          </w:tblCellMar>
        </w:tblPrEx>
        <w:trPr>
          <w:trHeight w:val="276" w:hRule="atLeast"/>
          <w:jc w:val="center"/>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乐山市水务局</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预算执行情况(万元)</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预算数: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82.8</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执行数: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82.8</w:t>
            </w:r>
          </w:p>
        </w:tc>
      </w:tr>
      <w:tr>
        <w:tblPrEx>
          <w:tblCellMar>
            <w:top w:w="0" w:type="dxa"/>
            <w:left w:w="0" w:type="dxa"/>
            <w:bottom w:w="0" w:type="dxa"/>
            <w:right w:w="0" w:type="dxa"/>
          </w:tblCellMar>
        </w:tblPrEx>
        <w:trPr>
          <w:trHeight w:val="276"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90" w:lineRule="exact"/>
              <w:ind w:firstLine="0" w:firstLineChars="0"/>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82.8</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其中-财政拨款:</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82.8</w:t>
            </w:r>
          </w:p>
        </w:tc>
      </w:tr>
      <w:tr>
        <w:tblPrEx>
          <w:tblCellMar>
            <w:top w:w="0" w:type="dxa"/>
            <w:left w:w="0" w:type="dxa"/>
            <w:bottom w:w="0" w:type="dxa"/>
            <w:right w:w="0" w:type="dxa"/>
          </w:tblCellMar>
        </w:tblPrEx>
        <w:trPr>
          <w:trHeight w:val="1511"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90" w:lineRule="exact"/>
              <w:ind w:firstLine="0" w:firstLineChars="0"/>
              <w:jc w:val="center"/>
              <w:rPr>
                <w:rFonts w:ascii="宋体" w:hAns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其它资金:</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90" w:lineRule="exact"/>
              <w:ind w:firstLine="0" w:firstLineChars="0"/>
              <w:jc w:val="center"/>
              <w:rPr>
                <w:rFonts w:hint="eastAsia" w:ascii="宋体" w:hAnsi="宋体" w:eastAsia="宋体" w:cs="宋体"/>
                <w:color w:val="000000"/>
                <w:sz w:val="24"/>
                <w:lang w:val="en-US" w:eastAsia="zh-CN"/>
              </w:rPr>
            </w:pPr>
            <w:r>
              <w:rPr>
                <w:rFonts w:hint="eastAsia" w:ascii="宋体" w:hAnsi="宋体" w:cs="宋体"/>
                <w:color w:val="000000"/>
                <w:sz w:val="24"/>
                <w:lang w:val="en-US" w:eastAsia="zh-CN"/>
              </w:rPr>
              <w:t>0</w:t>
            </w:r>
          </w:p>
        </w:tc>
      </w:tr>
      <w:tr>
        <w:tblPrEx>
          <w:tblCellMar>
            <w:top w:w="0" w:type="dxa"/>
            <w:left w:w="0" w:type="dxa"/>
            <w:bottom w:w="0" w:type="dxa"/>
            <w:right w:w="0" w:type="dxa"/>
          </w:tblCellMar>
        </w:tblPrEx>
        <w:trPr>
          <w:trHeight w:val="276" w:hRule="atLeast"/>
          <w:jc w:val="center"/>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jc w:val="center"/>
        </w:trPr>
        <w:tc>
          <w:tcPr>
            <w:tcW w:w="39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kinsoku/>
              <w:wordWrap/>
              <w:overflowPunct/>
              <w:topLinePunct w:val="0"/>
              <w:bidi w:val="0"/>
              <w:spacing w:line="590" w:lineRule="exact"/>
              <w:ind w:firstLine="0" w:firstLineChars="0"/>
              <w:jc w:val="center"/>
              <w:rPr>
                <w:rFonts w:ascii="宋体" w:hAns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编制完成《青衣江（乐山段）综合治理总体方案》，为为贯彻落实市委七届五次会议“加快建设世界重要旅游目的地”“加快建设全省区域中心城市”决策部署，围绕乐山大佛—峨眉山—东风堰三大世界遗产之间的青衣江生态走廊，加快苏稽新区建设，促进旅游兴市，开展青衣江（徐浩大桥-毛滩电站段）河段综合治理提供技术支持和行动指南</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rPr>
              <w:t>编制完成《青衣江（乐山段）综合治理总体方案》，为为贯彻落实市委七届五次会议“加快建设世界重要旅游目的地”“加快建设全省区域中心城市”决策部署，围绕乐山大佛—峨眉山—东风堰三大世界遗产之间的青衣江生态走廊，加快苏稽新区建设，促进旅游兴市，开展青衣江（徐浩大桥-毛滩电站段）河段综合治理提供技术支持和行动指南</w:t>
            </w:r>
          </w:p>
        </w:tc>
      </w:tr>
      <w:tr>
        <w:tblPrEx>
          <w:tblCellMar>
            <w:top w:w="0" w:type="dxa"/>
            <w:left w:w="0" w:type="dxa"/>
            <w:bottom w:w="0" w:type="dxa"/>
            <w:right w:w="0" w:type="dxa"/>
          </w:tblCellMar>
        </w:tblPrEx>
        <w:trPr>
          <w:trHeight w:val="1042" w:hRule="atLeast"/>
          <w:jc w:val="center"/>
        </w:trPr>
        <w:tc>
          <w:tcPr>
            <w:tcW w:w="390"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预期指标值(包含数字及文字描述)</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实际完成指标值(包含数字及文字描述)</w:t>
            </w:r>
          </w:p>
        </w:tc>
      </w:tr>
      <w:tr>
        <w:tblPrEx>
          <w:tblCellMar>
            <w:top w:w="0" w:type="dxa"/>
            <w:left w:w="0" w:type="dxa"/>
            <w:bottom w:w="0" w:type="dxa"/>
            <w:right w:w="0" w:type="dxa"/>
          </w:tblCellMar>
        </w:tblPrEx>
        <w:trPr>
          <w:trHeight w:val="953"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cs="宋体"/>
                <w:color w:val="000000"/>
                <w:kern w:val="0"/>
                <w:sz w:val="24"/>
              </w:rPr>
            </w:pPr>
            <w:r>
              <w:rPr>
                <w:rFonts w:hint="eastAsia" w:ascii="宋体" w:hAnsi="宋体" w:cs="宋体"/>
                <w:color w:val="000000"/>
                <w:kern w:val="0"/>
                <w:sz w:val="24"/>
              </w:rPr>
              <w:t>项目完成指标</w:t>
            </w:r>
          </w:p>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kern w:val="0"/>
                <w:sz w:val="24"/>
              </w:rPr>
            </w:pP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规划治理青衣江河道长度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22.8公里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22.8公里</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涉及区县数量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2个（市中区、夹江县）</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rPr>
              <w:t>2个（市中区、夹江县）</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技术审查</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通过</w:t>
            </w:r>
            <w:r>
              <w:rPr>
                <w:rFonts w:hint="eastAsia" w:ascii="宋体" w:hAnsi="宋体" w:cs="宋体"/>
                <w:color w:val="000000"/>
                <w:sz w:val="24"/>
                <w:lang w:eastAsia="zh-CN"/>
              </w:rPr>
              <w:t>水利厅</w:t>
            </w:r>
            <w:r>
              <w:rPr>
                <w:rFonts w:hint="eastAsia" w:ascii="宋体" w:hAnsi="宋体" w:cs="宋体"/>
                <w:color w:val="000000"/>
                <w:sz w:val="24"/>
              </w:rPr>
              <w:t>专家审查批复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cs="宋体"/>
                <w:color w:val="000000"/>
                <w:sz w:val="24"/>
                <w:lang w:eastAsia="zh-CN"/>
              </w:rPr>
            </w:pPr>
            <w:r>
              <w:rPr>
                <w:rFonts w:hint="eastAsia" w:ascii="宋体" w:hAnsi="宋体" w:cs="宋体"/>
                <w:color w:val="000000"/>
                <w:sz w:val="24"/>
                <w:lang w:eastAsia="zh-CN"/>
              </w:rPr>
              <w:t>已通过专家审查</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both"/>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预算执行率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cs="宋体"/>
                <w:color w:val="000000"/>
                <w:kern w:val="0"/>
                <w:sz w:val="24"/>
              </w:rPr>
            </w:pPr>
            <w:r>
              <w:rPr>
                <w:rFonts w:hint="eastAsia" w:ascii="宋体" w:hAnsi="宋体" w:cs="宋体"/>
                <w:color w:val="000000"/>
                <w:kern w:val="0"/>
                <w:sz w:val="24"/>
              </w:rPr>
              <w:t>项目完成指标</w:t>
            </w:r>
          </w:p>
          <w:p>
            <w:pPr>
              <w:pageBreakBefore w:val="0"/>
              <w:widowControl/>
              <w:kinsoku/>
              <w:wordWrap/>
              <w:overflowPunct/>
              <w:topLinePunct w:val="0"/>
              <w:bidi w:val="0"/>
              <w:spacing w:line="590" w:lineRule="exact"/>
              <w:ind w:firstLine="0" w:firstLineChars="0"/>
              <w:jc w:val="both"/>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lang w:eastAsia="zh-CN"/>
              </w:rPr>
              <w:t>规划编制初稿完成率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100%</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编制费用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82.8万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82.8万</w:t>
            </w:r>
          </w:p>
        </w:tc>
      </w:tr>
      <w:tr>
        <w:tblPrEx>
          <w:tblCellMar>
            <w:top w:w="0" w:type="dxa"/>
            <w:left w:w="0" w:type="dxa"/>
            <w:bottom w:w="0" w:type="dxa"/>
            <w:right w:w="0" w:type="dxa"/>
          </w:tblCellMar>
        </w:tblPrEx>
        <w:trPr>
          <w:trHeight w:val="1042"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cs="宋体"/>
                <w:color w:val="000000"/>
                <w:kern w:val="0"/>
                <w:sz w:val="24"/>
              </w:rPr>
            </w:pPr>
            <w:r>
              <w:rPr>
                <w:rFonts w:hint="eastAsia" w:ascii="宋体" w:hAnsi="宋体" w:cs="宋体"/>
                <w:color w:val="000000"/>
                <w:kern w:val="0"/>
                <w:sz w:val="24"/>
              </w:rPr>
              <w:t>效益指标</w:t>
            </w:r>
          </w:p>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kern w:val="0"/>
                <w:sz w:val="24"/>
              </w:rPr>
            </w:pPr>
          </w:p>
        </w:tc>
        <w:tc>
          <w:tcPr>
            <w:tcW w:w="1025"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经济效益指标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规划效益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科学决策，减少重复投资</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科学决策，减少重复投资</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025"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both"/>
              <w:textAlignment w:val="center"/>
              <w:rPr>
                <w:rFonts w:hint="eastAsia" w:ascii="宋体" w:hAnsi="宋体" w:eastAsia="宋体" w:cs="宋体"/>
                <w:color w:val="000000"/>
                <w:sz w:val="24"/>
                <w:lang w:eastAsia="zh-CN"/>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防洪效益</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提升防洪能力，减少洪灾损失</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提升防洪能力，减少洪灾损失</w:t>
            </w:r>
          </w:p>
        </w:tc>
      </w:tr>
      <w:tr>
        <w:tblPrEx>
          <w:tblCellMar>
            <w:top w:w="0" w:type="dxa"/>
            <w:left w:w="0" w:type="dxa"/>
            <w:bottom w:w="0" w:type="dxa"/>
            <w:right w:w="0" w:type="dxa"/>
          </w:tblCellMar>
        </w:tblPrEx>
        <w:trPr>
          <w:trHeight w:val="1297" w:hRule="atLeast"/>
          <w:jc w:val="center"/>
        </w:trPr>
        <w:tc>
          <w:tcPr>
            <w:tcW w:w="390" w:type="dxa"/>
            <w:vMerge w:val="continue"/>
            <w:tcBorders>
              <w:left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城市景观</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打造城市景观，提升城市人居环境，丰富居民休闲娱乐生活</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sz w:val="24"/>
              </w:rPr>
              <w:t>打造城市景观，提升城市人居环境，丰富居民休闲娱乐生活</w:t>
            </w:r>
          </w:p>
        </w:tc>
      </w:tr>
      <w:tr>
        <w:tblPrEx>
          <w:tblCellMar>
            <w:top w:w="0" w:type="dxa"/>
            <w:left w:w="0" w:type="dxa"/>
            <w:bottom w:w="0" w:type="dxa"/>
            <w:right w:w="0" w:type="dxa"/>
          </w:tblCellMar>
        </w:tblPrEx>
        <w:trPr>
          <w:trHeight w:val="1050" w:hRule="atLeast"/>
          <w:jc w:val="center"/>
        </w:trPr>
        <w:tc>
          <w:tcPr>
            <w:tcW w:w="390"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ascii="宋体" w:hAns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eastAsia" w:ascii="宋体" w:hAnsi="宋体" w:eastAsia="宋体" w:cs="宋体"/>
                <w:color w:val="000000"/>
                <w:sz w:val="24"/>
                <w:lang w:eastAsia="zh-CN"/>
              </w:rPr>
            </w:pPr>
            <w:r>
              <w:rPr>
                <w:rFonts w:hint="eastAsia" w:ascii="宋体" w:hAnsi="宋体" w:cs="宋体"/>
                <w:color w:val="000000"/>
                <w:sz w:val="24"/>
                <w:lang w:eastAsia="zh-CN"/>
              </w:rPr>
              <w:t>服务对象满意度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pageBreakBefore w:val="0"/>
              <w:widowControl/>
              <w:kinsoku/>
              <w:wordWrap/>
              <w:overflowPunct/>
              <w:topLinePunct w:val="0"/>
              <w:bidi w:val="0"/>
              <w:spacing w:line="590" w:lineRule="exact"/>
              <w:ind w:firstLine="0" w:firstLineChars="0"/>
              <w:jc w:val="center"/>
              <w:textAlignment w:val="center"/>
              <w:rPr>
                <w:rFonts w:hint="default" w:ascii="宋体" w:hAnsi="宋体" w:eastAsia="宋体" w:cs="宋体"/>
                <w:color w:val="000000"/>
                <w:sz w:val="24"/>
                <w:lang w:val="en-US" w:eastAsia="zh-CN"/>
              </w:rPr>
            </w:pPr>
            <w:r>
              <w:rPr>
                <w:rFonts w:hint="eastAsia" w:ascii="宋体" w:hAnsi="宋体" w:cs="宋体"/>
                <w:color w:val="000000"/>
                <w:sz w:val="24"/>
                <w:lang w:val="en-US" w:eastAsia="zh-CN"/>
              </w:rPr>
              <w:t>90%</w:t>
            </w:r>
          </w:p>
        </w:tc>
      </w:tr>
    </w:tbl>
    <w:p>
      <w:pPr>
        <w:pageBreakBefore w:val="0"/>
        <w:kinsoku/>
        <w:wordWrap/>
        <w:overflowPunct/>
        <w:topLinePunct w:val="0"/>
        <w:bidi w:val="0"/>
        <w:spacing w:line="590" w:lineRule="exact"/>
        <w:rPr>
          <w:rFonts w:ascii="仿宋_GB2312" w:hAnsi="仿宋_GB2312" w:eastAsia="仿宋_GB2312" w:cs="仿宋_GB2312"/>
          <w:sz w:val="32"/>
          <w:szCs w:val="32"/>
        </w:rPr>
      </w:pPr>
    </w:p>
    <w:p>
      <w:pPr>
        <w:pageBreakBefore w:val="0"/>
        <w:kinsoku/>
        <w:wordWrap/>
        <w:overflowPunct/>
        <w:topLinePunct w:val="0"/>
        <w:bidi w:val="0"/>
        <w:spacing w:line="590" w:lineRule="exact"/>
        <w:ind w:left="630" w:firstLine="0" w:firstLineChars="0"/>
        <w:rPr>
          <w:rFonts w:ascii="仿宋_GB2312" w:hAnsi="仿宋_GB2312" w:eastAsia="仿宋_GB2312" w:cs="仿宋_GB2312"/>
          <w:sz w:val="32"/>
          <w:szCs w:val="32"/>
        </w:rPr>
      </w:pPr>
      <w:r>
        <w:rPr>
          <w:rFonts w:hint="eastAsia" w:ascii="仿宋" w:hAnsi="仿宋" w:eastAsia="仿宋" w:cs="仿宋"/>
          <w:sz w:val="32"/>
          <w:szCs w:val="32"/>
        </w:rPr>
        <w:t>2</w:t>
      </w:r>
      <w:r>
        <w:rPr>
          <w:rFonts w:hint="eastAsia" w:ascii="楷体_GB2312" w:hAnsi="楷体_GB2312" w:eastAsia="楷体_GB2312" w:cs="楷体_GB2312"/>
          <w:sz w:val="32"/>
          <w:szCs w:val="32"/>
        </w:rPr>
        <w:t>.部门绩效评价结果。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本部门按要求对2019年部门整体支出绩效评价情况开展自评，《</w:t>
      </w:r>
      <w:r>
        <w:rPr>
          <w:rFonts w:hint="eastAsia" w:ascii="仿宋_GB2312" w:hAnsi="仿宋_GB2312" w:eastAsia="仿宋_GB2312" w:cs="仿宋_GB2312"/>
          <w:sz w:val="32"/>
          <w:szCs w:val="32"/>
          <w:lang w:eastAsia="zh-CN"/>
        </w:rPr>
        <w:t>乐山市水务局</w:t>
      </w:r>
      <w:r>
        <w:rPr>
          <w:rFonts w:hint="eastAsia" w:ascii="仿宋_GB2312" w:hAnsi="仿宋_GB2312" w:eastAsia="仿宋_GB2312" w:cs="仿宋_GB2312"/>
          <w:sz w:val="32"/>
          <w:szCs w:val="32"/>
        </w:rPr>
        <w:t>2019年部门整体支出绩效评价报告》见附件（附件1）。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w:t>
      </w:r>
      <w:r>
        <w:rPr>
          <w:rFonts w:hint="eastAsia" w:ascii="仿宋_GB2312" w:hAnsi="仿宋_GB2312" w:eastAsia="仿宋_GB2312" w:cs="仿宋_GB2312"/>
          <w:sz w:val="32"/>
          <w:szCs w:val="32"/>
          <w:lang w:eastAsia="zh-CN"/>
        </w:rPr>
        <w:t>高中水库除险加固</w:t>
      </w:r>
      <w:r>
        <w:rPr>
          <w:rFonts w:hint="eastAsia" w:ascii="仿宋_GB2312" w:hAnsi="仿宋_GB2312" w:eastAsia="仿宋_GB2312" w:cs="仿宋_GB2312"/>
          <w:sz w:val="32"/>
          <w:szCs w:val="32"/>
        </w:rPr>
        <w:t>项目开展了绩效评价，《</w:t>
      </w:r>
      <w:r>
        <w:rPr>
          <w:rFonts w:hint="eastAsia" w:ascii="仿宋_GB2312" w:hAnsi="仿宋_GB2312" w:eastAsia="仿宋_GB2312" w:cs="仿宋_GB2312"/>
          <w:sz w:val="32"/>
          <w:szCs w:val="32"/>
          <w:lang w:eastAsia="zh-CN"/>
        </w:rPr>
        <w:t>高中水库除险加固</w:t>
      </w:r>
      <w:r>
        <w:rPr>
          <w:rFonts w:hint="eastAsia" w:ascii="仿宋_GB2312" w:hAnsi="仿宋_GB2312" w:eastAsia="仿宋_GB2312" w:cs="仿宋_GB2312"/>
          <w:sz w:val="32"/>
          <w:szCs w:val="32"/>
        </w:rPr>
        <w:t>项目2019年绩效评价报告》见附件（附件2）。</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pStyle w:val="2"/>
        <w:numPr>
          <w:ilvl w:val="0"/>
          <w:numId w:val="5"/>
        </w:numPr>
        <w:bidi w:val="0"/>
        <w:jc w:val="center"/>
        <w:rPr>
          <w:rStyle w:val="25"/>
          <w:rFonts w:ascii="黑体" w:hAnsi="黑体" w:eastAsia="黑体"/>
          <w:b w:val="0"/>
          <w:bCs/>
        </w:rPr>
      </w:pPr>
      <w:bookmarkStart w:id="110" w:name="_Toc15396613"/>
      <w:bookmarkStart w:id="111" w:name="_Toc28350_WPSOffice_Level1"/>
      <w:bookmarkStart w:id="112" w:name="_Toc15377225"/>
      <w:r>
        <w:rPr>
          <w:rFonts w:hint="eastAsia" w:ascii="黑体" w:hAnsi="黑体" w:eastAsia="黑体"/>
          <w:color w:val="000000"/>
          <w:sz w:val="44"/>
          <w:szCs w:val="44"/>
        </w:rPr>
        <w:t>名</w:t>
      </w:r>
      <w:r>
        <w:rPr>
          <w:rStyle w:val="25"/>
          <w:rFonts w:hint="eastAsia" w:ascii="黑体" w:hAnsi="黑体" w:eastAsia="黑体"/>
          <w:b w:val="0"/>
          <w:bCs/>
        </w:rPr>
        <w:t>词解释</w:t>
      </w:r>
      <w:bookmarkEnd w:id="110"/>
      <w:bookmarkEnd w:id="111"/>
      <w:bookmarkEnd w:id="112"/>
    </w:p>
    <w:p>
      <w:pPr>
        <w:pageBreakBefore w:val="0"/>
        <w:kinsoku/>
        <w:wordWrap/>
        <w:overflowPunct/>
        <w:topLinePunct w:val="0"/>
        <w:bidi w:val="0"/>
        <w:spacing w:line="590" w:lineRule="exact"/>
        <w:ind w:firstLine="0" w:firstLineChars="0"/>
        <w:jc w:val="left"/>
        <w:rPr>
          <w:rFonts w:ascii="宋体"/>
          <w:b/>
          <w:color w:val="000000"/>
          <w:sz w:val="44"/>
          <w:szCs w:val="44"/>
        </w:rPr>
      </w:pP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特别说明：乐山市水利电力勘察设计研究院是我局下属的自收自支的事业单位。</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w:t>
      </w:r>
      <w:r>
        <w:rPr>
          <w:rFonts w:hint="eastAsia" w:ascii="仿宋_GB2312" w:eastAsia="仿宋_GB2312"/>
          <w:sz w:val="32"/>
          <w:szCs w:val="32"/>
          <w:lang w:eastAsia="zh-CN"/>
        </w:rPr>
        <w:t>财政专户中安排的支出</w:t>
      </w:r>
      <w:r>
        <w:rPr>
          <w:rFonts w:hint="eastAsia" w:ascii="仿宋_GB2312" w:eastAsia="仿宋_GB2312"/>
          <w:sz w:val="32"/>
          <w:szCs w:val="32"/>
        </w:rPr>
        <w:t>。</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w:t>
      </w:r>
      <w:r>
        <w:rPr>
          <w:rFonts w:hint="eastAsia" w:ascii="仿宋_GB2312" w:eastAsia="仿宋_GB2312"/>
          <w:sz w:val="32"/>
          <w:szCs w:val="32"/>
          <w:lang w:eastAsia="zh-CN"/>
        </w:rPr>
        <w:t>勘察设计收入</w:t>
      </w:r>
      <w:r>
        <w:rPr>
          <w:rFonts w:hint="eastAsia" w:ascii="仿宋_GB2312" w:eastAsia="仿宋_GB2312"/>
          <w:sz w:val="32"/>
          <w:szCs w:val="32"/>
        </w:rPr>
        <w:t>。</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w:t>
      </w:r>
      <w:r>
        <w:rPr>
          <w:rFonts w:hint="eastAsia" w:ascii="仿宋_GB2312" w:eastAsia="仿宋_GB2312"/>
          <w:sz w:val="32"/>
          <w:szCs w:val="32"/>
          <w:lang w:eastAsia="zh-CN"/>
        </w:rPr>
        <w:t>区县财政划拨给下属单位的停征农业水费补助</w:t>
      </w:r>
      <w:r>
        <w:rPr>
          <w:rFonts w:hint="eastAsia" w:ascii="仿宋_GB2312" w:eastAsia="仿宋_GB2312"/>
          <w:sz w:val="32"/>
          <w:szCs w:val="32"/>
        </w:rPr>
        <w:t>。</w:t>
      </w:r>
      <w:r>
        <w:rPr>
          <w:rFonts w:ascii="仿宋_GB2312" w:eastAsia="仿宋_GB2312"/>
          <w:sz w:val="32"/>
          <w:szCs w:val="32"/>
        </w:rPr>
        <w:t xml:space="preserve"> </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w:t>
      </w:r>
      <w:r>
        <w:rPr>
          <w:rFonts w:hint="eastAsia" w:ascii="仿宋_GB2312" w:eastAsia="仿宋_GB2312"/>
          <w:color w:val="000000"/>
          <w:sz w:val="32"/>
          <w:szCs w:val="32"/>
          <w:lang w:eastAsia="zh-CN"/>
        </w:rPr>
        <w:t>组织事务</w:t>
      </w:r>
      <w:r>
        <w:rPr>
          <w:rFonts w:hint="eastAsia" w:ascii="仿宋_GB2312" w:eastAsia="仿宋_GB2312"/>
          <w:color w:val="000000"/>
          <w:sz w:val="32"/>
          <w:szCs w:val="32"/>
        </w:rPr>
        <w:t>（款）</w:t>
      </w:r>
      <w:r>
        <w:rPr>
          <w:rFonts w:hint="eastAsia" w:ascii="仿宋_GB2312" w:eastAsia="仿宋_GB2312"/>
          <w:color w:val="000000"/>
          <w:sz w:val="32"/>
          <w:szCs w:val="32"/>
          <w:lang w:eastAsia="zh-CN"/>
        </w:rPr>
        <w:t>一般行政管理实务</w:t>
      </w:r>
      <w:r>
        <w:rPr>
          <w:rFonts w:hint="eastAsia" w:ascii="仿宋_GB2312" w:eastAsia="仿宋_GB2312"/>
          <w:color w:val="000000"/>
          <w:sz w:val="32"/>
          <w:szCs w:val="32"/>
        </w:rPr>
        <w:t>（项）：指</w:t>
      </w:r>
      <w:r>
        <w:rPr>
          <w:rFonts w:hint="eastAsia" w:ascii="仿宋_GB2312" w:eastAsia="仿宋_GB2312"/>
          <w:color w:val="000000"/>
          <w:sz w:val="32"/>
          <w:szCs w:val="32"/>
          <w:lang w:eastAsia="zh-CN"/>
        </w:rPr>
        <w:t>行政单位（包括实行公务员管理的事业单位）未单独设置项级科目的其他项目支出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lang w:eastAsia="zh-CN"/>
        </w:rPr>
        <w:t>社会保障和就业</w:t>
      </w:r>
      <w:r>
        <w:rPr>
          <w:rFonts w:hint="eastAsia" w:ascii="仿宋_GB2312" w:eastAsia="仿宋_GB2312"/>
          <w:color w:val="000000"/>
          <w:sz w:val="32"/>
          <w:szCs w:val="32"/>
        </w:rPr>
        <w:t>（类）</w:t>
      </w:r>
      <w:r>
        <w:rPr>
          <w:rFonts w:hint="eastAsia" w:ascii="仿宋_GB2312" w:eastAsia="仿宋_GB2312"/>
          <w:color w:val="000000"/>
          <w:sz w:val="32"/>
          <w:szCs w:val="32"/>
          <w:lang w:eastAsia="zh-CN"/>
        </w:rPr>
        <w:t>行政事业单位养老</w:t>
      </w:r>
      <w:r>
        <w:rPr>
          <w:rFonts w:hint="eastAsia" w:ascii="仿宋_GB2312" w:eastAsia="仿宋_GB2312"/>
          <w:color w:val="000000"/>
          <w:sz w:val="32"/>
          <w:szCs w:val="32"/>
        </w:rPr>
        <w:t>（款）</w:t>
      </w:r>
      <w:r>
        <w:rPr>
          <w:rFonts w:hint="eastAsia" w:ascii="仿宋_GB2312" w:eastAsia="仿宋_GB2312"/>
          <w:color w:val="000000"/>
          <w:sz w:val="32"/>
          <w:szCs w:val="32"/>
          <w:lang w:eastAsia="zh-CN"/>
        </w:rPr>
        <w:t>归口管理的行政单位离退休</w:t>
      </w:r>
      <w:r>
        <w:rPr>
          <w:rFonts w:hint="eastAsia" w:ascii="仿宋_GB2312" w:eastAsia="仿宋_GB2312"/>
          <w:color w:val="000000"/>
          <w:sz w:val="32"/>
          <w:szCs w:val="32"/>
        </w:rPr>
        <w:t>（项）：指</w:t>
      </w:r>
      <w:r>
        <w:rPr>
          <w:rFonts w:hint="eastAsia" w:ascii="仿宋_GB2312" w:eastAsia="仿宋_GB2312"/>
          <w:color w:val="000000"/>
          <w:sz w:val="32"/>
          <w:szCs w:val="32"/>
          <w:lang w:eastAsia="zh-CN"/>
        </w:rPr>
        <w:t>行政单位（包括实行公务员管理的事业单位）开支的离退休经费</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lang w:eastAsia="zh-CN"/>
        </w:rPr>
        <w:t>社会保障和就业</w:t>
      </w:r>
      <w:r>
        <w:rPr>
          <w:rFonts w:hint="eastAsia" w:ascii="仿宋_GB2312" w:eastAsia="仿宋_GB2312"/>
          <w:color w:val="000000"/>
          <w:sz w:val="32"/>
          <w:szCs w:val="32"/>
        </w:rPr>
        <w:t>（类）</w:t>
      </w:r>
      <w:r>
        <w:rPr>
          <w:rFonts w:hint="eastAsia" w:ascii="仿宋_GB2312" w:eastAsia="仿宋_GB2312"/>
          <w:color w:val="000000"/>
          <w:sz w:val="32"/>
          <w:szCs w:val="32"/>
          <w:lang w:eastAsia="zh-CN"/>
        </w:rPr>
        <w:t>行政事业单位养老</w:t>
      </w:r>
      <w:r>
        <w:rPr>
          <w:rFonts w:hint="eastAsia" w:ascii="仿宋_GB2312" w:eastAsia="仿宋_GB2312"/>
          <w:color w:val="000000"/>
          <w:sz w:val="32"/>
          <w:szCs w:val="32"/>
        </w:rPr>
        <w:t>（款）未归口管理的行政单位离退休（项）：指</w:t>
      </w:r>
      <w:r>
        <w:rPr>
          <w:rFonts w:hint="eastAsia" w:ascii="仿宋_GB2312" w:eastAsia="仿宋_GB2312"/>
          <w:color w:val="000000"/>
          <w:sz w:val="32"/>
          <w:szCs w:val="32"/>
          <w:lang w:eastAsia="zh-CN"/>
        </w:rPr>
        <w:t>反应未实行归口管理的行政单位（包括实行公务员管理的事业单位）开支的离退休支出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lang w:eastAsia="zh-CN"/>
        </w:rPr>
        <w:t>社会保障和就业</w:t>
      </w:r>
      <w:r>
        <w:rPr>
          <w:rFonts w:hint="eastAsia" w:ascii="仿宋_GB2312" w:eastAsia="仿宋_GB2312"/>
          <w:color w:val="000000"/>
          <w:sz w:val="32"/>
          <w:szCs w:val="32"/>
        </w:rPr>
        <w:t>（类）</w:t>
      </w:r>
      <w:r>
        <w:rPr>
          <w:rFonts w:hint="eastAsia" w:ascii="仿宋_GB2312" w:eastAsia="仿宋_GB2312"/>
          <w:color w:val="000000"/>
          <w:sz w:val="32"/>
          <w:szCs w:val="32"/>
          <w:lang w:eastAsia="zh-CN"/>
        </w:rPr>
        <w:t>行政事业单位养老</w:t>
      </w:r>
      <w:r>
        <w:rPr>
          <w:rFonts w:hint="eastAsia" w:ascii="仿宋_GB2312" w:eastAsia="仿宋_GB2312"/>
          <w:color w:val="000000"/>
          <w:sz w:val="32"/>
          <w:szCs w:val="32"/>
        </w:rPr>
        <w:t>（款）机关事业单位基本养老保险缴费支出（项）：指</w:t>
      </w:r>
      <w:r>
        <w:rPr>
          <w:rFonts w:hint="eastAsia" w:ascii="仿宋_GB2312" w:eastAsia="仿宋_GB2312"/>
          <w:color w:val="000000"/>
          <w:sz w:val="32"/>
          <w:szCs w:val="32"/>
          <w:lang w:eastAsia="zh-CN"/>
        </w:rPr>
        <w:t>用于机关事业单位实施养老保险制度由单位缴纳的基本养老保险费支出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lang w:eastAsia="zh-CN"/>
        </w:rPr>
        <w:t>社会保障和就业</w:t>
      </w:r>
      <w:r>
        <w:rPr>
          <w:rFonts w:hint="eastAsia" w:ascii="仿宋_GB2312" w:eastAsia="仿宋_GB2312"/>
          <w:color w:val="000000"/>
          <w:sz w:val="32"/>
          <w:szCs w:val="32"/>
        </w:rPr>
        <w:t>（类）</w:t>
      </w:r>
      <w:r>
        <w:rPr>
          <w:rFonts w:hint="eastAsia" w:ascii="仿宋_GB2312" w:eastAsia="仿宋_GB2312"/>
          <w:color w:val="000000"/>
          <w:sz w:val="32"/>
          <w:szCs w:val="32"/>
          <w:lang w:eastAsia="zh-CN"/>
        </w:rPr>
        <w:t>行政事业单位养老</w:t>
      </w:r>
      <w:r>
        <w:rPr>
          <w:rFonts w:hint="eastAsia" w:ascii="仿宋_GB2312" w:eastAsia="仿宋_GB2312"/>
          <w:color w:val="000000"/>
          <w:sz w:val="32"/>
          <w:szCs w:val="32"/>
        </w:rPr>
        <w:t>（款）机关事业单位职业年金缴费支出（项）：指</w:t>
      </w:r>
      <w:r>
        <w:rPr>
          <w:rFonts w:hint="eastAsia" w:ascii="仿宋_GB2312" w:eastAsia="仿宋_GB2312"/>
          <w:color w:val="000000"/>
          <w:sz w:val="32"/>
          <w:szCs w:val="32"/>
          <w:lang w:eastAsia="zh-CN"/>
        </w:rPr>
        <w:t>机关事业单位实施养老保险制度由单位实际缴纳的职业年金支出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lang w:eastAsia="zh-CN"/>
        </w:rPr>
        <w:t>社会保障和就业</w:t>
      </w:r>
      <w:r>
        <w:rPr>
          <w:rFonts w:hint="eastAsia" w:ascii="仿宋_GB2312" w:eastAsia="仿宋_GB2312"/>
          <w:color w:val="000000"/>
          <w:sz w:val="32"/>
          <w:szCs w:val="32"/>
        </w:rPr>
        <w:t>（类）</w:t>
      </w:r>
      <w:r>
        <w:rPr>
          <w:rFonts w:hint="eastAsia" w:ascii="仿宋_GB2312" w:eastAsia="仿宋_GB2312"/>
          <w:color w:val="000000"/>
          <w:sz w:val="32"/>
          <w:szCs w:val="32"/>
          <w:lang w:eastAsia="zh-CN"/>
        </w:rPr>
        <w:t>行政事业单位养老</w:t>
      </w:r>
      <w:r>
        <w:rPr>
          <w:rFonts w:hint="eastAsia" w:ascii="仿宋_GB2312" w:eastAsia="仿宋_GB2312"/>
          <w:color w:val="000000"/>
          <w:sz w:val="32"/>
          <w:szCs w:val="32"/>
        </w:rPr>
        <w:t>（款）其他行政事业单位离退休支出（项）：指</w:t>
      </w:r>
      <w:r>
        <w:rPr>
          <w:rFonts w:hint="eastAsia" w:ascii="仿宋_GB2312" w:eastAsia="仿宋_GB2312"/>
          <w:color w:val="000000"/>
          <w:sz w:val="32"/>
          <w:szCs w:val="32"/>
          <w:lang w:eastAsia="zh-CN"/>
        </w:rPr>
        <w:t>其他用于社会保障和就业方面的支出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lang w:eastAsia="zh-CN"/>
        </w:rPr>
        <w:t>社会保障和就业</w:t>
      </w:r>
      <w:r>
        <w:rPr>
          <w:rFonts w:hint="eastAsia" w:ascii="仿宋_GB2312" w:eastAsia="仿宋_GB2312"/>
          <w:color w:val="000000"/>
          <w:sz w:val="32"/>
          <w:szCs w:val="32"/>
        </w:rPr>
        <w:t>（类）</w:t>
      </w:r>
      <w:r>
        <w:rPr>
          <w:rFonts w:hint="eastAsia" w:ascii="仿宋_GB2312" w:eastAsia="仿宋_GB2312"/>
          <w:color w:val="000000"/>
          <w:sz w:val="32"/>
          <w:szCs w:val="32"/>
          <w:lang w:eastAsia="zh-CN"/>
        </w:rPr>
        <w:t>抚恤（款）死亡抚恤（项）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按规定用于烈士和牺牲、病故人员家属的一次性和定期抚恤金以及丧葬补助费</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lang w:eastAsia="zh-CN"/>
        </w:rPr>
        <w:t>社会保障和就业</w:t>
      </w:r>
      <w:r>
        <w:rPr>
          <w:rFonts w:hint="eastAsia" w:ascii="仿宋_GB2312" w:eastAsia="仿宋_GB2312"/>
          <w:color w:val="000000"/>
          <w:sz w:val="32"/>
          <w:szCs w:val="32"/>
        </w:rPr>
        <w:t>（类）</w:t>
      </w:r>
      <w:r>
        <w:rPr>
          <w:rFonts w:hint="eastAsia" w:ascii="仿宋_GB2312" w:eastAsia="仿宋_GB2312"/>
          <w:color w:val="000000"/>
          <w:sz w:val="32"/>
          <w:szCs w:val="32"/>
          <w:lang w:eastAsia="zh-CN"/>
        </w:rPr>
        <w:t>其他社会保障和就业支出（款）其他社会保障和就业支出（项）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其他用于社会保障和就业方面的支出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lang w:val="en-US" w:eastAsia="zh-CN"/>
        </w:rPr>
        <w:t>卫生建康支出（类）行政事业单位医疗（款）  行政单位医疗（项）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行政单位（包括实行公务员管理的事业单位）基本医疗经费，未参加医疗保险的行政单位的公费医疗经费，按国家规定享受离休人员、红军老战士待遇人员的医疗经费</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lang w:val="en-US" w:eastAsia="zh-CN"/>
        </w:rPr>
        <w:t>卫生建康支出（类）行政事业单位医疗（款） 事业单位医疗（项）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事业单位基本医疗保险缴费经费，未参加医疗保险的事业单位的公费医疗经费，按国家规定享受离休人员待遇的医疗经费</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lang w:val="en-US" w:eastAsia="zh-CN"/>
        </w:rPr>
        <w:t>农林水支出（类）水利（款）行政运行（项）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行政单位（包括实行公务员管理的事业单位）的基本支出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eastAsia="仿宋_GB2312"/>
          <w:color w:val="000000"/>
          <w:sz w:val="32"/>
          <w:szCs w:val="32"/>
          <w:lang w:eastAsia="zh-CN"/>
        </w:rPr>
      </w:pPr>
      <w:r>
        <w:rPr>
          <w:rFonts w:ascii="仿宋_GB2312" w:eastAsia="仿宋_GB2312"/>
          <w:color w:val="000000"/>
          <w:sz w:val="32"/>
          <w:szCs w:val="32"/>
        </w:rPr>
        <w:t>20.</w:t>
      </w:r>
      <w:r>
        <w:rPr>
          <w:rFonts w:hint="eastAsia" w:ascii="仿宋_GB2312" w:eastAsia="仿宋_GB2312"/>
          <w:color w:val="000000"/>
          <w:sz w:val="32"/>
          <w:szCs w:val="32"/>
          <w:lang w:val="en-US" w:eastAsia="zh-CN"/>
        </w:rPr>
        <w:t>农林水支出（类）水利（款）水利行业业务管理（项）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用于水利行业业务管理方面的支出</w:t>
      </w:r>
      <w:r>
        <w:rPr>
          <w:rFonts w:hint="eastAsia" w:ascii="仿宋_GB2312" w:eastAsia="仿宋_GB2312"/>
          <w:color w:val="000000"/>
          <w:sz w:val="32"/>
          <w:szCs w:val="32"/>
        </w:rPr>
        <w:t>。</w:t>
      </w:r>
      <w:r>
        <w:rPr>
          <w:rFonts w:hint="eastAsia" w:ascii="仿宋_GB2312" w:eastAsia="仿宋_GB2312"/>
          <w:color w:val="000000"/>
          <w:sz w:val="32"/>
          <w:szCs w:val="32"/>
          <w:lang w:eastAsia="zh-CN"/>
        </w:rPr>
        <w:t>有关业务包括制定政策、法规及行业标准、规程规范、进行水利宣传、审计监督检查、精神文明建设以及农田水利管理、水利重大活动、水利工程质量监督、水利资金监督管理、水利国有资产监管、行政许可及监督管理等。</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lang w:val="en-US" w:eastAsia="zh-CN"/>
        </w:rPr>
        <w:t>农林水支出（类）水利（款）水利工程建设（项）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水利系统用于江、河、湖、滩等水利工程建设支出，包括提防、河道、水库、水利枢纽、涵闸、罐区、供水、蓄滞洪区等水利工程及其附属设备、设施的建设、更新改造、大中型病险水库防险、大型罐区改造、农村电气化建设等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lang w:val="en-US" w:eastAsia="zh-CN"/>
        </w:rPr>
        <w:t>农林水支出（类）水利（款）水土保持（项）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水利系统纳入预算管理的水土保持事业单位的支出，包括规划制定和实施，治理、生态修复、预防监测、调查协调、综合治理、开发技术的示范、监督执法等支出以及水土保持生态工程措施和各项管理保护活动的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lang w:val="en-US" w:eastAsia="zh-CN"/>
        </w:rPr>
        <w:t>农林水支出（类）水利（款）水文测报（项）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水利系统纳入预算管理的水文事业单位的支出。有关事项包括江、河、湖、库、滨海、区的水文测报，水文测验、水文情报预报、河道（淤积）监测，水量调度监测，水文业务管理，水文水资源公报编报、水文资料整编及水文设施运行维护等。</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lang w:val="en-US" w:eastAsia="zh-CN"/>
        </w:rPr>
        <w:t>农林水支出（类）水利（款）防汛（项）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止等</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lang w:val="en-US" w:eastAsia="zh-CN"/>
        </w:rPr>
        <w:t>农林水支出（类）水利（款）江河湖库水系综合整治（项）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江河湖库水系统综合整治方面的支出，包括中小河流治理、江河湖库水系连通、小型水库除险补助等</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eastAsia="仿宋_GB2312"/>
          <w:color w:val="000000"/>
          <w:sz w:val="32"/>
          <w:szCs w:val="32"/>
        </w:rPr>
      </w:pPr>
      <w:r>
        <w:rPr>
          <w:rFonts w:ascii="仿宋_GB2312" w:eastAsia="仿宋_GB2312"/>
          <w:color w:val="000000"/>
          <w:sz w:val="32"/>
          <w:szCs w:val="32"/>
        </w:rPr>
        <w:t>26.</w:t>
      </w:r>
      <w:r>
        <w:rPr>
          <w:rFonts w:hint="eastAsia" w:ascii="仿宋_GB2312" w:eastAsia="仿宋_GB2312"/>
          <w:color w:val="000000"/>
          <w:sz w:val="32"/>
          <w:szCs w:val="32"/>
          <w:lang w:val="en-US" w:eastAsia="zh-CN"/>
        </w:rPr>
        <w:t>农林水支出（类）水利（款）其他水利支出治（项）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其他用于水利方面的支出</w:t>
      </w:r>
      <w:r>
        <w:rPr>
          <w:rFonts w:hint="eastAsia" w:ascii="仿宋_GB2312" w:eastAsia="仿宋_GB2312"/>
          <w:color w:val="000000"/>
          <w:sz w:val="32"/>
          <w:szCs w:val="32"/>
        </w:rPr>
        <w:t>。</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仿宋_GB2312" w:eastAsia="仿宋_GB2312"/>
          <w:color w:val="000000"/>
          <w:sz w:val="32"/>
          <w:szCs w:val="32"/>
          <w:lang w:val="en-US" w:eastAsia="zh-CN"/>
        </w:rPr>
      </w:pPr>
      <w:r>
        <w:rPr>
          <w:rFonts w:hint="eastAsia" w:ascii="仿宋_GB2312" w:eastAsia="仿宋_GB2312"/>
          <w:color w:val="000000"/>
          <w:sz w:val="32"/>
          <w:szCs w:val="32"/>
          <w:lang w:val="en-US" w:eastAsia="zh-CN"/>
        </w:rPr>
        <w:t>27.住房保障支出（类）住房改革支出（款）住房公积金（项）：指行政事业单位按人力资源和社会保障部、财政部规定的基本工资和津贴补贴以及规定比例为职工缴纳的住房公积金。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lang w:val="en-US" w:eastAsia="zh-CN"/>
        </w:rPr>
        <w:t>8</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lang w:val="en-US" w:eastAsia="zh-CN"/>
        </w:rPr>
        <w:t>9</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lang w:val="en-US" w:eastAsia="zh-CN"/>
        </w:rPr>
        <w:t>1</w:t>
      </w:r>
      <w:r>
        <w:rPr>
          <w:rFonts w:ascii="仿宋_GB2312" w:eastAsia="仿宋_GB2312"/>
          <w:sz w:val="32"/>
          <w:szCs w:val="32"/>
        </w:rPr>
        <w:t>.</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keepNext w:val="0"/>
        <w:keepLines w:val="0"/>
        <w:pageBreakBefore w:val="0"/>
        <w:widowControl w:val="0"/>
        <w:kinsoku/>
        <w:wordWrap/>
        <w:overflowPunct/>
        <w:topLinePunct w:val="0"/>
        <w:bidi w:val="0"/>
        <w:snapToGrid/>
        <w:spacing w:line="600" w:lineRule="exact"/>
        <w:ind w:firstLine="640" w:firstLineChars="200"/>
        <w:textAlignment w:val="auto"/>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lang w:val="en-US" w:eastAsia="zh-CN"/>
        </w:rPr>
        <w:t>2</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3"/>
        <w:pageBreakBefore w:val="0"/>
        <w:kinsoku/>
        <w:wordWrap/>
        <w:overflowPunct/>
        <w:topLinePunct w:val="0"/>
        <w:bidi w:val="0"/>
        <w:spacing w:line="590" w:lineRule="exact"/>
        <w:ind w:firstLine="0" w:firstLineChars="0"/>
        <w:rPr>
          <w:rFonts w:ascii="仿宋_GB2312" w:eastAsia="仿宋_GB2312" w:cs="黑体"/>
          <w:sz w:val="32"/>
          <w:szCs w:val="32"/>
        </w:rPr>
      </w:pPr>
    </w:p>
    <w:p>
      <w:pPr>
        <w:pageBreakBefore w:val="0"/>
        <w:kinsoku/>
        <w:wordWrap/>
        <w:overflowPunct/>
        <w:topLinePunct w:val="0"/>
        <w:bidi w:val="0"/>
        <w:spacing w:line="590" w:lineRule="exact"/>
        <w:ind w:firstLine="0" w:firstLineChars="0"/>
        <w:rPr>
          <w:rFonts w:ascii="仿宋" w:hAnsi="仿宋" w:eastAsia="仿宋"/>
          <w:b/>
          <w:color w:val="000000"/>
          <w:sz w:val="32"/>
          <w:szCs w:val="32"/>
        </w:rPr>
      </w:pPr>
    </w:p>
    <w:p>
      <w:pPr>
        <w:pageBreakBefore w:val="0"/>
        <w:kinsoku/>
        <w:wordWrap/>
        <w:overflowPunct/>
        <w:topLinePunct w:val="0"/>
        <w:bidi w:val="0"/>
        <w:spacing w:line="590" w:lineRule="exact"/>
        <w:ind w:firstLine="0" w:firstLineChars="0"/>
        <w:jc w:val="center"/>
        <w:outlineLvl w:val="0"/>
        <w:rPr>
          <w:rStyle w:val="25"/>
          <w:rFonts w:ascii="黑体" w:hAnsi="黑体" w:eastAsia="黑体"/>
          <w:b w:val="0"/>
        </w:rPr>
      </w:pPr>
      <w:bookmarkStart w:id="113" w:name="_Toc15377226"/>
      <w:r>
        <w:rPr>
          <w:rFonts w:ascii="宋体"/>
          <w:b/>
          <w:color w:val="000000"/>
          <w:sz w:val="44"/>
          <w:szCs w:val="44"/>
        </w:rPr>
        <w:br w:type="page"/>
      </w:r>
      <w:bookmarkStart w:id="114" w:name="_Toc15396614"/>
      <w:bookmarkStart w:id="115" w:name="_Toc5909_WPSOffice_Level1"/>
      <w:r>
        <w:rPr>
          <w:rFonts w:hint="eastAsia" w:ascii="黑体" w:hAnsi="黑体" w:eastAsia="黑体"/>
          <w:color w:val="000000"/>
          <w:sz w:val="44"/>
          <w:szCs w:val="44"/>
        </w:rPr>
        <w:t>第</w:t>
      </w:r>
      <w:r>
        <w:rPr>
          <w:rStyle w:val="25"/>
          <w:rFonts w:hint="eastAsia" w:ascii="黑体" w:hAnsi="黑体" w:eastAsia="黑体"/>
          <w:b w:val="0"/>
        </w:rPr>
        <w:t>四部分 附件</w:t>
      </w:r>
      <w:bookmarkEnd w:id="114"/>
      <w:bookmarkEnd w:id="115"/>
    </w:p>
    <w:p>
      <w:pPr>
        <w:pStyle w:val="3"/>
        <w:bidi w:val="0"/>
      </w:pPr>
      <w:r>
        <w:rPr>
          <w:rFonts w:hint="eastAsia"/>
        </w:rPr>
        <w:t>附件1</w:t>
      </w:r>
    </w:p>
    <w:p>
      <w:pPr>
        <w:pageBreakBefore w:val="0"/>
        <w:kinsoku/>
        <w:wordWrap/>
        <w:overflowPunct/>
        <w:topLinePunct w:val="0"/>
        <w:bidi w:val="0"/>
        <w:spacing w:line="590" w:lineRule="exact"/>
        <w:ind w:firstLine="0" w:firstLineChars="0"/>
        <w:jc w:val="center"/>
        <w:rPr>
          <w:rFonts w:ascii="方正小标宋简体" w:hAnsi="方正小标宋简体" w:eastAsia="方正小标宋简体" w:cs="方正小标宋简体"/>
          <w:sz w:val="44"/>
          <w:szCs w:val="44"/>
        </w:rPr>
      </w:pPr>
    </w:p>
    <w:p>
      <w:pPr>
        <w:pageBreakBefore w:val="0"/>
        <w:kinsoku/>
        <w:wordWrap/>
        <w:overflowPunct/>
        <w:topLinePunct w:val="0"/>
        <w:bidi w:val="0"/>
        <w:spacing w:line="590" w:lineRule="exact"/>
        <w:ind w:firstLine="0" w:firstLineChars="0"/>
        <w:jc w:val="center"/>
        <w:rPr>
          <w:rFonts w:hint="eastAsia" w:asciiTheme="minorEastAsia" w:hAnsiTheme="minorEastAsia" w:eastAsiaTheme="minorEastAsia" w:cstheme="minorEastAsia"/>
          <w:b/>
          <w:bCs/>
          <w:color w:val="000000"/>
          <w:kern w:val="0"/>
          <w:sz w:val="40"/>
          <w:szCs w:val="44"/>
          <w:lang w:eastAsia="zh-CN"/>
        </w:rPr>
      </w:pPr>
      <w:bookmarkStart w:id="116" w:name="_Toc30408_WPSOffice_Level2"/>
      <w:bookmarkStart w:id="117" w:name="_Toc1365_WPSOffice_Level2"/>
      <w:r>
        <w:rPr>
          <w:rFonts w:hint="eastAsia" w:asciiTheme="minorEastAsia" w:hAnsiTheme="minorEastAsia" w:eastAsiaTheme="minorEastAsia" w:cstheme="minorEastAsia"/>
          <w:b/>
          <w:bCs/>
          <w:color w:val="000000"/>
          <w:kern w:val="0"/>
          <w:sz w:val="40"/>
          <w:szCs w:val="44"/>
          <w:lang w:eastAsia="zh-CN"/>
        </w:rPr>
        <w:t>乐山市水务局</w:t>
      </w:r>
      <w:bookmarkEnd w:id="116"/>
      <w:bookmarkEnd w:id="117"/>
    </w:p>
    <w:p>
      <w:pPr>
        <w:pageBreakBefore w:val="0"/>
        <w:kinsoku/>
        <w:wordWrap/>
        <w:overflowPunct/>
        <w:topLinePunct w:val="0"/>
        <w:bidi w:val="0"/>
        <w:spacing w:line="590" w:lineRule="exact"/>
        <w:ind w:firstLine="0" w:firstLineChars="0"/>
        <w:jc w:val="center"/>
        <w:rPr>
          <w:rFonts w:ascii="方正小标宋简体" w:hAnsi="宋体" w:eastAsia="方正小标宋简体"/>
          <w:b/>
          <w:bCs/>
          <w:color w:val="000000"/>
          <w:kern w:val="0"/>
          <w:sz w:val="40"/>
          <w:szCs w:val="44"/>
          <w:lang w:val="zh-CN"/>
        </w:rPr>
      </w:pPr>
      <w:bookmarkStart w:id="118" w:name="_Toc18256_WPSOffice_Level2"/>
      <w:bookmarkStart w:id="119" w:name="_Toc29743_WPSOffice_Level2"/>
      <w:bookmarkStart w:id="120" w:name="_Toc7038_WPSOffice_Level2"/>
      <w:bookmarkStart w:id="121" w:name="_Toc18519_WPSOffice_Level2"/>
      <w:bookmarkStart w:id="122" w:name="_Toc1544_WPSOffice_Level2"/>
      <w:bookmarkStart w:id="123" w:name="_Toc24278_WPSOffice_Level2"/>
      <w:bookmarkStart w:id="124" w:name="_Toc30707_WPSOffice_Level2"/>
      <w:r>
        <w:rPr>
          <w:rFonts w:hint="eastAsia" w:asciiTheme="minorEastAsia" w:hAnsiTheme="minorEastAsia" w:eastAsiaTheme="minorEastAsia" w:cstheme="minorEastAsia"/>
          <w:b/>
          <w:bCs/>
          <w:color w:val="000000"/>
          <w:kern w:val="0"/>
          <w:sz w:val="40"/>
          <w:szCs w:val="44"/>
        </w:rPr>
        <w:t>2019年部门</w:t>
      </w:r>
      <w:r>
        <w:rPr>
          <w:rFonts w:hint="eastAsia" w:asciiTheme="minorEastAsia" w:hAnsiTheme="minorEastAsia" w:eastAsiaTheme="minorEastAsia" w:cstheme="minorEastAsia"/>
          <w:b/>
          <w:bCs/>
          <w:color w:val="000000"/>
          <w:kern w:val="0"/>
          <w:sz w:val="40"/>
          <w:szCs w:val="44"/>
          <w:lang w:val="zh-CN"/>
        </w:rPr>
        <w:t>整体支出绩效评价报告</w:t>
      </w:r>
      <w:bookmarkEnd w:id="118"/>
      <w:bookmarkEnd w:id="119"/>
      <w:bookmarkEnd w:id="120"/>
      <w:bookmarkEnd w:id="121"/>
      <w:bookmarkEnd w:id="122"/>
      <w:bookmarkEnd w:id="123"/>
      <w:bookmarkEnd w:id="124"/>
    </w:p>
    <w:p>
      <w:pPr>
        <w:pageBreakBefore w:val="0"/>
        <w:widowControl/>
        <w:kinsoku/>
        <w:wordWrap/>
        <w:overflowPunct/>
        <w:topLinePunct w:val="0"/>
        <w:bidi w:val="0"/>
        <w:spacing w:line="590" w:lineRule="exact"/>
        <w:ind w:firstLine="0" w:firstLineChars="0"/>
        <w:contextualSpacing/>
        <w:jc w:val="center"/>
        <w:rPr>
          <w:rFonts w:ascii="仿宋_GB2312" w:hAnsi="宋体" w:eastAsia="仿宋_GB2312"/>
          <w:sz w:val="32"/>
          <w:szCs w:val="32"/>
          <w:shd w:val="clear" w:color="auto" w:fill="FFFFFF"/>
        </w:rPr>
      </w:pPr>
    </w:p>
    <w:p>
      <w:pPr>
        <w:pageBreakBefore w:val="0"/>
        <w:widowControl/>
        <w:kinsoku/>
        <w:wordWrap/>
        <w:overflowPunct/>
        <w:topLinePunct w:val="0"/>
        <w:bidi w:val="0"/>
        <w:adjustRightInd w:val="0"/>
        <w:snapToGrid w:val="0"/>
        <w:spacing w:line="590" w:lineRule="exact"/>
        <w:ind w:firstLine="0" w:firstLineChars="0"/>
        <w:contextualSpacing/>
        <w:jc w:val="left"/>
        <w:rPr>
          <w:rFonts w:ascii="黑体" w:hAnsi="宋体" w:eastAsia="黑体" w:cs="宋体"/>
          <w:color w:val="000000"/>
          <w:kern w:val="0"/>
          <w:sz w:val="24"/>
          <w:szCs w:val="32"/>
          <w:shd w:val="clear" w:color="auto" w:fill="FFFFFF"/>
        </w:rPr>
      </w:pPr>
    </w:p>
    <w:p>
      <w:pPr>
        <w:pageBreakBefore w:val="0"/>
        <w:widowControl/>
        <w:kinsoku/>
        <w:wordWrap/>
        <w:overflowPunct/>
        <w:topLinePunct w:val="0"/>
        <w:bidi w:val="0"/>
        <w:adjustRightInd w:val="0"/>
        <w:snapToGrid w:val="0"/>
        <w:spacing w:line="590" w:lineRule="exact"/>
        <w:ind w:left="0" w:leftChars="0" w:firstLine="640" w:firstLineChars="200"/>
        <w:contextualSpacing/>
        <w:jc w:val="left"/>
        <w:rPr>
          <w:rFonts w:ascii="黑体" w:hAnsi="宋体" w:eastAsia="黑体" w:cs="宋体"/>
          <w:color w:val="000000"/>
          <w:kern w:val="0"/>
          <w:sz w:val="32"/>
          <w:szCs w:val="32"/>
          <w:shd w:val="clear" w:color="auto" w:fill="FFFFFF"/>
          <w:lang w:val="zh-CN"/>
        </w:rPr>
      </w:pPr>
      <w:bookmarkStart w:id="125" w:name="_Toc31969_WPSOffice_Level2"/>
      <w:bookmarkStart w:id="126" w:name="_Toc7241_WPSOffice_Level2"/>
      <w:bookmarkStart w:id="127" w:name="_Toc5872_WPSOffice_Level2"/>
      <w:bookmarkStart w:id="128" w:name="_Toc2786_WPSOffice_Level2"/>
      <w:bookmarkStart w:id="129" w:name="_Toc16242_WPSOffice_Level2"/>
      <w:bookmarkStart w:id="130" w:name="_Toc26968_WPSOffice_Level2"/>
      <w:bookmarkStart w:id="131" w:name="_Toc31048_WPSOffice_Level2"/>
      <w:r>
        <w:rPr>
          <w:rFonts w:hint="eastAsia" w:ascii="黑体" w:hAnsi="宋体" w:eastAsia="黑体" w:cs="宋体"/>
          <w:color w:val="000000"/>
          <w:kern w:val="0"/>
          <w:sz w:val="32"/>
          <w:szCs w:val="32"/>
          <w:shd w:val="clear" w:color="auto" w:fill="FFFFFF"/>
        </w:rPr>
        <w:t>一、</w:t>
      </w:r>
      <w:r>
        <w:rPr>
          <w:rFonts w:hint="eastAsia" w:ascii="黑体" w:hAnsi="宋体" w:eastAsia="黑体" w:cs="宋体"/>
          <w:color w:val="000000"/>
          <w:kern w:val="0"/>
          <w:sz w:val="32"/>
          <w:szCs w:val="32"/>
          <w:shd w:val="clear" w:color="auto" w:fill="FFFFFF"/>
          <w:lang w:val="zh-CN"/>
        </w:rPr>
        <w:t>部门（单位）概况</w:t>
      </w:r>
      <w:bookmarkEnd w:id="125"/>
      <w:bookmarkEnd w:id="126"/>
      <w:bookmarkEnd w:id="127"/>
      <w:bookmarkEnd w:id="128"/>
      <w:bookmarkEnd w:id="129"/>
      <w:bookmarkEnd w:id="130"/>
      <w:bookmarkEnd w:id="131"/>
    </w:p>
    <w:p>
      <w:pPr>
        <w:pageBreakBefore w:val="0"/>
        <w:widowControl/>
        <w:kinsoku/>
        <w:wordWrap/>
        <w:overflowPunct/>
        <w:topLinePunct w:val="0"/>
        <w:bidi w:val="0"/>
        <w:adjustRightInd w:val="0"/>
        <w:snapToGrid w:val="0"/>
        <w:spacing w:line="590" w:lineRule="exact"/>
        <w:ind w:left="0" w:leftChars="0"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（一）机构组成。</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宋体" w:eastAsia="仿宋_GB2312" w:cs="宋体"/>
          <w:color w:val="000000"/>
          <w:kern w:val="0"/>
          <w:sz w:val="32"/>
          <w:szCs w:val="32"/>
          <w:highlight w:val="none"/>
          <w:shd w:val="clear" w:color="auto" w:fill="FFFFFF"/>
          <w:lang w:val="en-US" w:eastAsia="zh-CN"/>
        </w:rPr>
      </w:pPr>
      <w:r>
        <w:rPr>
          <w:rFonts w:hint="eastAsia" w:ascii="仿宋_GB2312" w:hAnsi="宋体" w:eastAsia="仿宋_GB2312" w:cs="宋体"/>
          <w:color w:val="000000"/>
          <w:kern w:val="0"/>
          <w:sz w:val="32"/>
          <w:szCs w:val="32"/>
          <w:highlight w:val="none"/>
          <w:shd w:val="clear" w:color="auto" w:fill="FFFFFF"/>
          <w:lang w:val="zh-CN"/>
        </w:rPr>
        <w:t>乐山市水务局下属二级预算单位</w:t>
      </w:r>
      <w:r>
        <w:rPr>
          <w:rFonts w:hint="eastAsia" w:ascii="仿宋_GB2312" w:hAnsi="宋体" w:eastAsia="仿宋_GB2312" w:cs="宋体"/>
          <w:color w:val="000000"/>
          <w:kern w:val="0"/>
          <w:sz w:val="32"/>
          <w:szCs w:val="32"/>
          <w:highlight w:val="none"/>
          <w:shd w:val="clear" w:color="auto" w:fill="FFFFFF"/>
          <w:lang w:val="en-US" w:eastAsia="zh-CN"/>
        </w:rPr>
        <w:t>12个，其中行政单位1个，参照公务员管理的事业单位2个，其他事业单位9个。</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仿宋_GB2312" w:hAnsi="宋体" w:eastAsia="仿宋_GB2312" w:cs="宋体"/>
          <w:color w:val="000000"/>
          <w:kern w:val="0"/>
          <w:sz w:val="32"/>
          <w:szCs w:val="32"/>
          <w:highlight w:val="none"/>
          <w:shd w:val="clear" w:color="auto" w:fill="FFFFFF"/>
          <w:lang w:val="en-US" w:eastAsia="zh-CN"/>
        </w:rPr>
      </w:pPr>
      <w:r>
        <w:rPr>
          <w:rFonts w:hint="eastAsia" w:ascii="仿宋_GB2312" w:hAnsi="宋体" w:eastAsia="仿宋_GB2312" w:cs="宋体"/>
          <w:color w:val="000000"/>
          <w:kern w:val="0"/>
          <w:sz w:val="32"/>
          <w:szCs w:val="32"/>
          <w:highlight w:val="none"/>
          <w:shd w:val="clear" w:color="auto" w:fill="FFFFFF"/>
          <w:lang w:val="en-US" w:eastAsia="zh-CN"/>
        </w:rPr>
        <w:t>部门二级预算单位包括：乐山市水务局机关、乐山市水政监察支队、乐山市水利工程建设质量与安全监督站、乐山市水利管理处、乐山水土保持生态环境监测分站、乐山市河湖管理站、四川省青衣江乐山灌区（流域）管理局、乐山市水利电力建筑勘察设计研究院、乐山市高中水库管理处、乐山市沫江堰管理处、乐山市跃进渠保护服务中心、乐山市东风堰管理处。</w:t>
      </w:r>
    </w:p>
    <w:p>
      <w:pPr>
        <w:keepNext w:val="0"/>
        <w:keepLines w:val="0"/>
        <w:pageBreakBefore w:val="0"/>
        <w:widowControl/>
        <w:numPr>
          <w:ilvl w:val="0"/>
          <w:numId w:val="6"/>
        </w:numPr>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机构职能。</w:t>
      </w:r>
    </w:p>
    <w:p>
      <w:pPr>
        <w:pStyle w:val="5"/>
        <w:keepNext w:val="0"/>
        <w:keepLines w:val="0"/>
        <w:pageBreakBefore w:val="0"/>
        <w:kinsoku/>
        <w:wordWrap/>
        <w:overflowPunct/>
        <w:topLinePunct w:val="0"/>
        <w:autoSpaceDE/>
        <w:autoSpaceDN/>
        <w:bidi w:val="0"/>
        <w:adjustRightInd w:val="0"/>
        <w:snapToGrid w:val="0"/>
        <w:spacing w:before="93" w:line="600" w:lineRule="exact"/>
        <w:ind w:firstLine="640" w:firstLineChars="200"/>
        <w:textAlignment w:val="auto"/>
        <w:outlineLvl w:val="2"/>
        <w:rPr>
          <w:rFonts w:hint="eastAsia" w:ascii="仿宋_GB2312" w:hAnsi="宋体" w:eastAsia="仿宋_GB2312" w:cs="宋体"/>
          <w:color w:val="000000"/>
          <w:kern w:val="0"/>
          <w:sz w:val="32"/>
          <w:szCs w:val="32"/>
          <w:shd w:val="clear" w:color="auto" w:fill="FFFFFF"/>
          <w:lang w:val="zh-CN"/>
        </w:rPr>
      </w:pPr>
      <w:r>
        <w:rPr>
          <w:rFonts w:hint="eastAsia" w:ascii="仿宋" w:hAnsi="仿宋" w:eastAsia="仿宋"/>
          <w:bCs/>
          <w:color w:val="000000"/>
          <w:sz w:val="32"/>
          <w:szCs w:val="32"/>
        </w:rPr>
        <w:t xml:space="preserve">（1）贯彻执行国家、省有关水务行政管理工作的方针、政策和法律、法规；拟订全市水务管理规范性文件并监督实施。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（2）编制全市城乡水务发展规划；组织拟订全市水资源总体规划、流域规划和专业规划，制定全市和跨县（市、区）中长期供水计划和年度供水计划、水量分配方案和旱情紧急情况下用水调度预案并监督实施。</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（3）组织有关全市国民经济发展总体规划、城市规划及重大建设项目的水资源利用和论证工作；组织实施取水许可、水资源有偿使用制度；发布全市水资源公报，承担实施最严格水资源管理制度相关工作。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4）负责生活、生产经营和生态环境用水的统筹兼顾和保障，实施水资源的统一监督管理，组织编制全市跨县（市、区）流域的水量分配、水资源调度方案；水资源调度管理工作；编制全市节约用水、计划用水规划，组织相关部门开展节约用水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5）组织编制乐山中心城区供水规划；指导各县（市）区供水规划，指导全市供水行业服务标准的实施，监督城镇（乡）供水运营工作；组织指导城市非居民用水超计划或超定额加价收费管理工作；指导全市城镇（乡）供水设施的新建、改建和扩建工作；指导城镇（乡）供水行业安全生产；指导全市应急供水管理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6）负责部门预（决）算和政府综合财务报告编制、预算执行工作；承担市级水利行政事业单位国有资产监督管理工作；牵头负责水利项目资金监督检查和绩效管理工作；指导编制全市水务行业建设项目资金计划；受委托监管市级水务行业国有资产。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7）指导全市水利基本建设并实施行业监督管理；负责小型水利工程建设审批，初审、转报大中型水利建设项目的可行性研究报告和初步设计；组织实施具有控制性或跨县（市、区）的重要水利工程建设与运行管理；依法负责水利行业安全生产工作，组织指导水库大坝、水电站大坝等水利工程的安全监管；组织实施水利工程建设质量与安全的监督，指导水利建设市场的监督管理。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8）指导农村水利工作。指导全市大中型农村水利工程建设管理，指导节水灌溉有关工作以及水库移民工作；协调牧区水利工作，指导农村水利改革创新和社会化服务体系建设。负责乐山市区域内不涉及风景名胜区、自然保护区管理的水利风景区规划、申报、建设、管理等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（9）负责防治水土流失。拟订水土保持规划并监督实施；负责水土保持预防监督；指导水土流失监测、综合防治和水利工程绿化工作。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10）组织编制并实施洪水干旱灾害防治规划和防护标准；承担水情旱情监测预警工作；组织编制市内重要江河湖泊和重要水工程的防御洪水、抗御旱灾调度和应急水量调度方案，按程序报批并组织实施；承担全市防御洪水应急抢险的技术支撑工作。承担市防汛抗旱指挥部办公室的日常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（11）组织指导地方水电站、电网建设管理，实施技术监督；指导农村水能资源开发和水电农村电气化、小水电代燃料生态保护工程建设。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（12）指导水政监察和水行政执法；负责水务行政复议的受理和行政诉讼的应诉工作；查处重大涉水违法事件，协调、仲裁跨县（市、区）水事纠纷。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（13）指导全市江河、湖泊、滩涂的综合治理与开发；负责河道采砂的统一监督管理工作。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（14）指导全市有关水务项目的科学研究和技术推广，组织指导全市重大水务项目的对外合作和交流；指导全市水务行业发展、改革、稳定工作及队伍和服务体系建设；指导水务行业劳动保护、安全生产工作。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（15）承担市政府公布的有关行政审批事项。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xml:space="preserve">　　（16）承担河长制组织实施具体工作，负责协调、督促、落实总河长会议、河长会议、总河长办公室确定的事项；拟制全市河湖管理工作方案、相关制度及考核办法；督促市级相关部门按照职能职责，落实责任，协调联动，共同推进河湖管理保护工作；督导县（市、区）同步全面落实河长制相关工作，并对县（市、区）河湖管理保护工作进行监督考核。 </w:t>
      </w:r>
      <w:r>
        <w:rPr>
          <w:rFonts w:hint="eastAsia" w:ascii="仿宋" w:hAnsi="仿宋" w:eastAsia="仿宋"/>
          <w:bCs/>
          <w:color w:val="000000"/>
          <w:sz w:val="32"/>
          <w:szCs w:val="32"/>
        </w:rPr>
        <w:br w:type="textWrapping"/>
      </w:r>
      <w:r>
        <w:rPr>
          <w:rFonts w:hint="eastAsia" w:ascii="仿宋" w:hAnsi="仿宋" w:eastAsia="仿宋"/>
          <w:bCs/>
          <w:color w:val="000000"/>
          <w:sz w:val="32"/>
          <w:szCs w:val="32"/>
        </w:rPr>
        <w:t>　　（17）承办市政府交办的其他事项。</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（三）人员概况。</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仿宋_GB2312" w:hAnsi="宋体" w:eastAsia="仿宋_GB2312" w:cs="宋体"/>
          <w:color w:val="000000"/>
          <w:kern w:val="0"/>
          <w:sz w:val="32"/>
          <w:szCs w:val="32"/>
          <w:highlight w:val="cyan"/>
          <w:shd w:val="clear" w:color="auto" w:fill="FFFFFF"/>
          <w:lang w:val="en-US" w:eastAsia="zh-CN"/>
        </w:rPr>
      </w:pPr>
      <w:r>
        <w:rPr>
          <w:rFonts w:hint="eastAsia" w:ascii="仿宋_GB2312" w:hAnsi="宋体" w:eastAsia="仿宋_GB2312" w:cs="宋体"/>
          <w:color w:val="000000"/>
          <w:kern w:val="0"/>
          <w:sz w:val="32"/>
          <w:szCs w:val="32"/>
          <w:highlight w:val="none"/>
          <w:shd w:val="clear" w:color="auto" w:fill="FFFFFF"/>
          <w:lang w:val="zh-CN"/>
        </w:rPr>
        <w:t>截止</w:t>
      </w:r>
      <w:r>
        <w:rPr>
          <w:rFonts w:hint="eastAsia" w:ascii="仿宋_GB2312" w:hAnsi="宋体" w:eastAsia="仿宋_GB2312" w:cs="宋体"/>
          <w:color w:val="000000"/>
          <w:kern w:val="0"/>
          <w:sz w:val="32"/>
          <w:szCs w:val="32"/>
          <w:highlight w:val="none"/>
          <w:shd w:val="clear" w:color="auto" w:fill="FFFFFF"/>
          <w:lang w:val="en-US" w:eastAsia="zh-CN"/>
        </w:rPr>
        <w:t>2019年底，乐山市水务局部门总编制356个，其中：行政机关编制29个，事业单位编制327个；在职人员总数306人，其中：行政机关33人，事业单位273人；离休1人。</w:t>
      </w:r>
    </w:p>
    <w:p>
      <w:pPr>
        <w:pageBreakBefore w:val="0"/>
        <w:widowControl/>
        <w:kinsoku/>
        <w:wordWrap/>
        <w:overflowPunct/>
        <w:topLinePunct w:val="0"/>
        <w:bidi w:val="0"/>
        <w:adjustRightInd w:val="0"/>
        <w:snapToGrid w:val="0"/>
        <w:spacing w:line="590" w:lineRule="exact"/>
        <w:ind w:left="0" w:leftChars="0" w:firstLine="640" w:firstLineChars="200"/>
        <w:contextualSpacing/>
        <w:jc w:val="left"/>
        <w:rPr>
          <w:rFonts w:ascii="黑体" w:hAnsi="宋体" w:eastAsia="黑体" w:cs="宋体"/>
          <w:color w:val="000000"/>
          <w:kern w:val="0"/>
          <w:sz w:val="32"/>
          <w:szCs w:val="32"/>
          <w:shd w:val="clear" w:color="auto" w:fill="FFFFFF"/>
        </w:rPr>
      </w:pPr>
      <w:bookmarkStart w:id="132" w:name="_Toc509_WPSOffice_Level2"/>
      <w:bookmarkStart w:id="133" w:name="_Toc8124_WPSOffice_Level2"/>
      <w:bookmarkStart w:id="134" w:name="_Toc5799_WPSOffice_Level2"/>
      <w:bookmarkStart w:id="135" w:name="_Toc3136_WPSOffice_Level2"/>
      <w:bookmarkStart w:id="136" w:name="_Toc7701_WPSOffice_Level2"/>
      <w:bookmarkStart w:id="137" w:name="_Toc9935_WPSOffice_Level2"/>
      <w:bookmarkStart w:id="138" w:name="_Toc11309_WPSOffice_Level2"/>
      <w:r>
        <w:rPr>
          <w:rFonts w:hint="eastAsia" w:ascii="黑体" w:hAnsi="宋体" w:eastAsia="黑体" w:cs="宋体"/>
          <w:color w:val="000000"/>
          <w:kern w:val="0"/>
          <w:sz w:val="32"/>
          <w:szCs w:val="32"/>
          <w:shd w:val="clear" w:color="auto" w:fill="FFFFFF"/>
        </w:rPr>
        <w:t>二、部门财政资金收支情况</w:t>
      </w:r>
      <w:bookmarkEnd w:id="132"/>
      <w:bookmarkEnd w:id="133"/>
      <w:bookmarkEnd w:id="134"/>
      <w:bookmarkEnd w:id="135"/>
      <w:bookmarkEnd w:id="136"/>
      <w:bookmarkEnd w:id="137"/>
      <w:bookmarkEnd w:id="138"/>
    </w:p>
    <w:p>
      <w:pPr>
        <w:keepNext w:val="0"/>
        <w:keepLines w:val="0"/>
        <w:pageBreakBefore w:val="0"/>
        <w:widowControl/>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（一）部门财政资金收入情况。</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仿宋_GB2312" w:hAnsi="宋体" w:eastAsia="仿宋_GB2312" w:cs="宋体"/>
          <w:color w:val="000000"/>
          <w:kern w:val="0"/>
          <w:sz w:val="32"/>
          <w:szCs w:val="32"/>
          <w:shd w:val="clear" w:color="auto" w:fill="FFFFFF"/>
          <w:lang w:val="en-US" w:eastAsia="zh-CN"/>
        </w:rPr>
      </w:pPr>
      <w:r>
        <w:rPr>
          <w:rFonts w:hint="eastAsia" w:ascii="仿宋_GB2312" w:hAnsi="宋体" w:eastAsia="仿宋_GB2312" w:cs="宋体"/>
          <w:color w:val="000000"/>
          <w:kern w:val="0"/>
          <w:sz w:val="32"/>
          <w:szCs w:val="32"/>
          <w:shd w:val="clear" w:color="auto" w:fill="FFFFFF"/>
          <w:lang w:val="en-US" w:eastAsia="zh-CN"/>
        </w:rPr>
        <w:t>2019年财政拨款收入9423.24万元，其中一般公共预算财政拨款收入5598.56万元，年初财政拨款结转3824.68万元。</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（二）部门财政资金支出情况。</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en-US" w:eastAsia="zh-CN"/>
        </w:rPr>
        <w:t>2019年财政拨款支出9124.99万元，其中：一般公共预算财政拨款基本支出2651.56万元，占29.06%；一般公共预算财政拨款项目支出6473.44万元，占70.94%。</w:t>
      </w:r>
    </w:p>
    <w:p>
      <w:pPr>
        <w:pageBreakBefore w:val="0"/>
        <w:widowControl/>
        <w:kinsoku/>
        <w:wordWrap/>
        <w:overflowPunct/>
        <w:topLinePunct w:val="0"/>
        <w:bidi w:val="0"/>
        <w:adjustRightInd w:val="0"/>
        <w:snapToGrid w:val="0"/>
        <w:spacing w:line="590" w:lineRule="exact"/>
        <w:ind w:left="0" w:leftChars="0" w:firstLine="640" w:firstLineChars="200"/>
        <w:contextualSpacing/>
        <w:jc w:val="left"/>
        <w:rPr>
          <w:rFonts w:ascii="黑体" w:hAnsi="宋体" w:eastAsia="黑体" w:cs="宋体"/>
          <w:color w:val="000000"/>
          <w:kern w:val="0"/>
          <w:sz w:val="32"/>
          <w:szCs w:val="32"/>
          <w:shd w:val="clear" w:color="auto" w:fill="FFFFFF"/>
        </w:rPr>
      </w:pPr>
      <w:bookmarkStart w:id="139" w:name="_Toc19469_WPSOffice_Level2"/>
      <w:bookmarkStart w:id="140" w:name="_Toc25387_WPSOffice_Level2"/>
      <w:bookmarkStart w:id="141" w:name="_Toc2257_WPSOffice_Level2"/>
      <w:bookmarkStart w:id="142" w:name="_Toc28949_WPSOffice_Level2"/>
      <w:bookmarkStart w:id="143" w:name="_Toc950_WPSOffice_Level2"/>
      <w:bookmarkStart w:id="144" w:name="_Toc27684_WPSOffice_Level2"/>
      <w:bookmarkStart w:id="145" w:name="_Toc26491_WPSOffice_Level2"/>
      <w:r>
        <w:rPr>
          <w:rFonts w:hint="eastAsia" w:ascii="黑体" w:hAnsi="宋体" w:eastAsia="黑体" w:cs="宋体"/>
          <w:color w:val="000000"/>
          <w:kern w:val="0"/>
          <w:sz w:val="32"/>
          <w:szCs w:val="32"/>
          <w:shd w:val="clear" w:color="auto" w:fill="FFFFFF"/>
        </w:rPr>
        <w:t>三、部门整体预算绩效管理情况</w:t>
      </w:r>
      <w:bookmarkEnd w:id="139"/>
      <w:bookmarkEnd w:id="140"/>
      <w:bookmarkEnd w:id="141"/>
      <w:bookmarkEnd w:id="142"/>
      <w:bookmarkEnd w:id="143"/>
      <w:bookmarkEnd w:id="144"/>
      <w:bookmarkEnd w:id="145"/>
    </w:p>
    <w:p>
      <w:pPr>
        <w:keepNext w:val="0"/>
        <w:keepLines w:val="0"/>
        <w:pageBreakBefore w:val="0"/>
        <w:widowControl/>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（一）部门预算管理。</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default" w:ascii="仿宋_GB2312" w:hAnsi="宋体" w:eastAsia="仿宋_GB2312" w:cs="宋体"/>
          <w:color w:val="000000"/>
          <w:kern w:val="0"/>
          <w:sz w:val="32"/>
          <w:szCs w:val="32"/>
          <w:shd w:val="clear" w:color="auto" w:fill="FFFFFF"/>
          <w:lang w:val="en-US" w:eastAsia="zh-CN"/>
        </w:rPr>
      </w:pPr>
      <w:r>
        <w:rPr>
          <w:rFonts w:hint="eastAsia" w:ascii="仿宋_GB2312" w:hAnsi="宋体" w:eastAsia="仿宋_GB2312" w:cs="宋体"/>
          <w:color w:val="000000"/>
          <w:kern w:val="0"/>
          <w:sz w:val="32"/>
          <w:szCs w:val="32"/>
          <w:shd w:val="clear" w:color="auto" w:fill="FFFFFF"/>
          <w:lang w:val="en-US" w:eastAsia="zh-CN"/>
        </w:rPr>
        <w:t>2019年我局严格按照财政预算编制要求对部门预算进行编报，年初部门市级总预算3887.00万元，基本支出预算2361.27万元，市级项目预算4713.43万元；年初部门预算均批复至各单位；市级项目预算全部纳入绩效管理，在预算执行过程中，选取</w:t>
      </w:r>
      <w:r>
        <w:rPr>
          <w:rFonts w:hint="eastAsia" w:ascii="仿宋_GB2312" w:hAnsi="宋体" w:eastAsia="仿宋_GB2312" w:cs="宋体"/>
          <w:color w:val="000000"/>
          <w:kern w:val="0"/>
          <w:sz w:val="32"/>
          <w:szCs w:val="32"/>
          <w:highlight w:val="none"/>
          <w:shd w:val="clear" w:color="auto" w:fill="FFFFFF"/>
          <w:lang w:val="en-US" w:eastAsia="zh-CN"/>
        </w:rPr>
        <w:t>1个</w:t>
      </w:r>
      <w:r>
        <w:rPr>
          <w:rFonts w:hint="eastAsia" w:ascii="仿宋_GB2312" w:hAnsi="宋体" w:eastAsia="仿宋_GB2312" w:cs="宋体"/>
          <w:color w:val="000000"/>
          <w:kern w:val="0"/>
          <w:sz w:val="32"/>
          <w:szCs w:val="32"/>
          <w:shd w:val="clear" w:color="auto" w:fill="FFFFFF"/>
          <w:lang w:val="en-US" w:eastAsia="zh-CN"/>
        </w:rPr>
        <w:t>项目开展重点绩效监控；同时为加快预算执行，局机关分别对单位6月、9月和11月的预算序时进度进行了统计分析，截止12月底，局机关基本支出预算执行率达100%，项目支出预算执行率达90.32%；预算编制更加精确科学，市级项目预算执行率进一步提高。</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（二）结果应用情况。</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部门将把此次绩效评价结果充分运用到部门预算编制工作中，开展项目预算事前绩效评估，以绩效定预算，在确保基本人员开支和正常运行支出的前提下，坚持“保重点、促发展”的原则，统筹安排水利事业发展，开展预算执行进度绩效监控，适时对绩效目标进行调整，让绩效管理贯穿于预算编制全过程。</w:t>
      </w:r>
    </w:p>
    <w:p>
      <w:pPr>
        <w:pageBreakBefore w:val="0"/>
        <w:widowControl/>
        <w:kinsoku/>
        <w:wordWrap/>
        <w:overflowPunct/>
        <w:topLinePunct w:val="0"/>
        <w:bidi w:val="0"/>
        <w:adjustRightInd w:val="0"/>
        <w:snapToGrid w:val="0"/>
        <w:spacing w:line="590" w:lineRule="exact"/>
        <w:ind w:left="0" w:leftChars="0" w:firstLine="640" w:firstLineChars="200"/>
        <w:contextualSpacing/>
        <w:jc w:val="left"/>
        <w:rPr>
          <w:rFonts w:ascii="黑体" w:hAnsi="宋体" w:eastAsia="黑体" w:cs="宋体"/>
          <w:color w:val="000000"/>
          <w:kern w:val="0"/>
          <w:sz w:val="32"/>
          <w:szCs w:val="32"/>
          <w:shd w:val="clear" w:color="auto" w:fill="FFFFFF"/>
        </w:rPr>
      </w:pPr>
      <w:bookmarkStart w:id="146" w:name="_Toc25929_WPSOffice_Level2"/>
      <w:bookmarkStart w:id="147" w:name="_Toc2127_WPSOffice_Level2"/>
      <w:bookmarkStart w:id="148" w:name="_Toc31735_WPSOffice_Level2"/>
      <w:bookmarkStart w:id="149" w:name="_Toc10155_WPSOffice_Level2"/>
      <w:bookmarkStart w:id="150" w:name="_Toc9453_WPSOffice_Level2"/>
      <w:bookmarkStart w:id="151" w:name="_Toc3980_WPSOffice_Level2"/>
      <w:r>
        <w:rPr>
          <w:rFonts w:hint="eastAsia" w:ascii="黑体" w:hAnsi="宋体" w:eastAsia="黑体" w:cs="宋体"/>
          <w:color w:val="000000"/>
          <w:kern w:val="0"/>
          <w:sz w:val="32"/>
          <w:szCs w:val="32"/>
          <w:shd w:val="clear" w:color="auto" w:fill="FFFFFF"/>
        </w:rPr>
        <w:t>四、评价结论及建议</w:t>
      </w:r>
      <w:bookmarkEnd w:id="146"/>
      <w:bookmarkEnd w:id="147"/>
      <w:bookmarkEnd w:id="148"/>
      <w:bookmarkEnd w:id="149"/>
      <w:bookmarkEnd w:id="150"/>
      <w:bookmarkEnd w:id="151"/>
    </w:p>
    <w:p>
      <w:pPr>
        <w:pageBreakBefore w:val="0"/>
        <w:widowControl/>
        <w:kinsoku/>
        <w:wordWrap/>
        <w:overflowPunct/>
        <w:topLinePunct w:val="0"/>
        <w:bidi w:val="0"/>
        <w:adjustRightInd w:val="0"/>
        <w:snapToGrid w:val="0"/>
        <w:spacing w:line="590" w:lineRule="exact"/>
        <w:ind w:left="0" w:leftChars="0"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（一）评价结论。</w:t>
      </w:r>
    </w:p>
    <w:p>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201</w:t>
      </w:r>
      <w:r>
        <w:rPr>
          <w:rFonts w:hint="eastAsia" w:ascii="仿宋_GB2312" w:hAnsi="宋体" w:eastAsia="仿宋_GB2312" w:cs="宋体"/>
          <w:color w:val="000000"/>
          <w:kern w:val="0"/>
          <w:sz w:val="32"/>
          <w:szCs w:val="32"/>
          <w:shd w:val="clear" w:color="auto" w:fill="FFFFFF"/>
          <w:lang w:val="en-US" w:eastAsia="zh-CN"/>
        </w:rPr>
        <w:t>9</w:t>
      </w:r>
      <w:r>
        <w:rPr>
          <w:rFonts w:hint="eastAsia" w:ascii="仿宋_GB2312" w:hAnsi="宋体" w:eastAsia="仿宋_GB2312" w:cs="宋体"/>
          <w:color w:val="000000"/>
          <w:kern w:val="0"/>
          <w:sz w:val="32"/>
          <w:szCs w:val="32"/>
          <w:shd w:val="clear" w:color="auto" w:fill="FFFFFF"/>
          <w:lang w:val="zh-CN"/>
        </w:rPr>
        <w:t>年预算严格按照新《预算法</w:t>
      </w:r>
      <w:bookmarkStart w:id="226" w:name="_GoBack"/>
      <w:bookmarkEnd w:id="226"/>
      <w:r>
        <w:rPr>
          <w:rFonts w:hint="eastAsia" w:ascii="仿宋_GB2312" w:hAnsi="宋体" w:eastAsia="仿宋_GB2312" w:cs="宋体"/>
          <w:color w:val="000000"/>
          <w:kern w:val="0"/>
          <w:sz w:val="32"/>
          <w:szCs w:val="32"/>
          <w:shd w:val="clear" w:color="auto" w:fill="FFFFFF"/>
          <w:lang w:val="zh-CN"/>
        </w:rPr>
        <w:t>》和市财政局要求编制，及时报送财政，预算编制质量较高，项目支出基本做到提前细化，项目建设进程加快，预算执行情况总体良好，市级预算结余结转资金较上年大幅减少。同时严格控制“三公”经费支出，严格按照省、市厉行节约的要求压缩预算，部门“三公”经费压缩比例达到预期目标。部门依托内控建设，逐步建立完善的财务管理制度，严格按照政府会计制度核算，项目资金专款专用</w:t>
      </w:r>
      <w:r>
        <w:rPr>
          <w:rFonts w:hint="eastAsia" w:ascii="仿宋_GB2312" w:hAnsi="宋体" w:eastAsia="仿宋_GB2312" w:cs="宋体"/>
          <w:color w:val="000000"/>
          <w:kern w:val="0"/>
          <w:sz w:val="32"/>
          <w:szCs w:val="32"/>
          <w:highlight w:val="none"/>
          <w:shd w:val="clear" w:color="auto" w:fill="FFFFFF"/>
          <w:lang w:val="zh-CN"/>
        </w:rPr>
        <w:t>。</w:t>
      </w:r>
    </w:p>
    <w:p>
      <w:pPr>
        <w:pageBreakBefore w:val="0"/>
        <w:widowControl/>
        <w:numPr>
          <w:ilvl w:val="0"/>
          <w:numId w:val="0"/>
        </w:numPr>
        <w:kinsoku/>
        <w:wordWrap/>
        <w:overflowPunct/>
        <w:topLinePunct w:val="0"/>
        <w:bidi w:val="0"/>
        <w:adjustRightInd w:val="0"/>
        <w:snapToGrid w:val="0"/>
        <w:spacing w:line="590" w:lineRule="exact"/>
        <w:ind w:left="0" w:leftChars="0" w:firstLine="640" w:firstLineChars="200"/>
        <w:contextualSpacing/>
        <w:jc w:val="left"/>
        <w:rPr>
          <w:rFonts w:hint="eastAsia"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（二）存在问题。</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default" w:ascii="仿宋_GB2312" w:hAnsi="宋体" w:eastAsia="仿宋_GB2312" w:cs="宋体"/>
          <w:color w:val="000000"/>
          <w:kern w:val="0"/>
          <w:sz w:val="32"/>
          <w:szCs w:val="32"/>
          <w:shd w:val="clear" w:color="auto" w:fill="FFFFFF"/>
          <w:lang w:val="en-US" w:eastAsia="zh-CN"/>
        </w:rPr>
      </w:pPr>
      <w:r>
        <w:rPr>
          <w:rFonts w:hint="eastAsia" w:ascii="仿宋_GB2312" w:hAnsi="宋体" w:eastAsia="仿宋_GB2312" w:cs="宋体"/>
          <w:color w:val="000000"/>
          <w:kern w:val="0"/>
          <w:sz w:val="32"/>
          <w:szCs w:val="32"/>
          <w:shd w:val="clear" w:color="auto" w:fill="FFFFFF"/>
          <w:lang w:val="en-US" w:eastAsia="zh-CN"/>
        </w:rPr>
        <w:t>1.</w:t>
      </w:r>
      <w:r>
        <w:rPr>
          <w:rFonts w:hint="default" w:ascii="仿宋_GB2312" w:hAnsi="宋体" w:eastAsia="仿宋_GB2312" w:cs="宋体"/>
          <w:color w:val="000000"/>
          <w:kern w:val="0"/>
          <w:sz w:val="32"/>
          <w:szCs w:val="32"/>
          <w:shd w:val="clear" w:color="auto" w:fill="FFFFFF"/>
          <w:lang w:val="en-US" w:eastAsia="zh-CN"/>
        </w:rPr>
        <w:t>由于财政投入不足，</w:t>
      </w:r>
      <w:r>
        <w:rPr>
          <w:rFonts w:hint="eastAsia" w:ascii="仿宋_GB2312" w:hAnsi="宋体" w:eastAsia="仿宋_GB2312" w:cs="宋体"/>
          <w:color w:val="000000"/>
          <w:kern w:val="0"/>
          <w:sz w:val="32"/>
          <w:szCs w:val="32"/>
          <w:shd w:val="clear" w:color="auto" w:fill="FFFFFF"/>
          <w:lang w:val="en-US" w:eastAsia="zh-CN"/>
        </w:rPr>
        <w:t>水毁应急抢险</w:t>
      </w:r>
      <w:r>
        <w:rPr>
          <w:rFonts w:hint="default" w:ascii="仿宋_GB2312" w:hAnsi="宋体" w:eastAsia="仿宋_GB2312" w:cs="宋体"/>
          <w:color w:val="000000"/>
          <w:kern w:val="0"/>
          <w:sz w:val="32"/>
          <w:szCs w:val="32"/>
          <w:shd w:val="clear" w:color="auto" w:fill="FFFFFF"/>
          <w:lang w:val="en-US" w:eastAsia="zh-CN"/>
        </w:rPr>
        <w:t>工程款不能及时支付，</w:t>
      </w:r>
      <w:r>
        <w:rPr>
          <w:rFonts w:hint="eastAsia" w:ascii="仿宋_GB2312" w:hAnsi="宋体" w:eastAsia="仿宋_GB2312" w:cs="宋体"/>
          <w:color w:val="000000"/>
          <w:kern w:val="0"/>
          <w:sz w:val="32"/>
          <w:szCs w:val="32"/>
          <w:shd w:val="clear" w:color="auto" w:fill="FFFFFF"/>
          <w:lang w:val="en-US" w:eastAsia="zh-CN"/>
        </w:rPr>
        <w:t>水利基础设施建设</w:t>
      </w:r>
      <w:r>
        <w:rPr>
          <w:rFonts w:hint="default" w:ascii="仿宋_GB2312" w:hAnsi="宋体" w:eastAsia="仿宋_GB2312" w:cs="宋体"/>
          <w:color w:val="000000"/>
          <w:kern w:val="0"/>
          <w:sz w:val="32"/>
          <w:szCs w:val="32"/>
          <w:shd w:val="clear" w:color="auto" w:fill="FFFFFF"/>
          <w:lang w:val="en-US" w:eastAsia="zh-CN"/>
        </w:rPr>
        <w:t>仍然相对滞后</w:t>
      </w:r>
      <w:r>
        <w:rPr>
          <w:rFonts w:hint="eastAsia" w:ascii="仿宋_GB2312" w:hAnsi="宋体" w:eastAsia="仿宋_GB2312" w:cs="宋体"/>
          <w:color w:val="000000"/>
          <w:kern w:val="0"/>
          <w:sz w:val="32"/>
          <w:szCs w:val="32"/>
          <w:shd w:val="clear" w:color="auto" w:fill="FFFFFF"/>
          <w:lang w:val="en-US"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default" w:ascii="仿宋_GB2312" w:hAnsi="宋体" w:eastAsia="仿宋_GB2312" w:cs="宋体"/>
          <w:color w:val="000000"/>
          <w:kern w:val="0"/>
          <w:sz w:val="32"/>
          <w:szCs w:val="32"/>
          <w:shd w:val="clear" w:color="auto" w:fill="FFFFFF"/>
          <w:lang w:val="en-US" w:eastAsia="zh-CN"/>
        </w:rPr>
      </w:pPr>
      <w:r>
        <w:rPr>
          <w:rFonts w:hint="eastAsia" w:ascii="仿宋_GB2312" w:hAnsi="宋体" w:eastAsia="仿宋_GB2312" w:cs="宋体"/>
          <w:color w:val="000000"/>
          <w:kern w:val="0"/>
          <w:sz w:val="32"/>
          <w:szCs w:val="32"/>
          <w:shd w:val="clear" w:color="auto" w:fill="FFFFFF"/>
          <w:lang w:val="en-US" w:eastAsia="zh-CN"/>
        </w:rPr>
        <w:t>2.绩效理念尚未牢固树立</w:t>
      </w:r>
      <w:r>
        <w:rPr>
          <w:rFonts w:hint="default" w:ascii="仿宋_GB2312" w:hAnsi="宋体" w:eastAsia="仿宋_GB2312" w:cs="宋体"/>
          <w:color w:val="000000"/>
          <w:kern w:val="0"/>
          <w:sz w:val="32"/>
          <w:szCs w:val="32"/>
          <w:shd w:val="clear" w:color="auto" w:fill="FFFFFF"/>
          <w:lang w:val="en-US" w:eastAsia="zh-CN"/>
        </w:rPr>
        <w:t>，制度建设相对滞后，</w:t>
      </w:r>
      <w:r>
        <w:rPr>
          <w:rFonts w:hint="eastAsia" w:ascii="仿宋_GB2312" w:hAnsi="宋体" w:eastAsia="仿宋_GB2312" w:cs="宋体"/>
          <w:color w:val="000000"/>
          <w:kern w:val="0"/>
          <w:sz w:val="32"/>
          <w:szCs w:val="32"/>
          <w:shd w:val="clear" w:color="auto" w:fill="FFFFFF"/>
          <w:lang w:val="en-US" w:eastAsia="zh-CN"/>
        </w:rPr>
        <w:t>存在重支出轻绩效的意识</w:t>
      </w:r>
      <w:r>
        <w:rPr>
          <w:rFonts w:hint="default" w:ascii="仿宋_GB2312" w:hAnsi="宋体" w:eastAsia="仿宋_GB2312" w:cs="宋体"/>
          <w:color w:val="000000"/>
          <w:kern w:val="0"/>
          <w:sz w:val="32"/>
          <w:szCs w:val="32"/>
          <w:shd w:val="clear" w:color="auto" w:fill="FFFFFF"/>
          <w:lang w:val="en-US" w:eastAsia="zh-CN"/>
        </w:rPr>
        <w:t>;对绩效管理工作还缺乏具体的、科学的方案和方法，绩效评价质量不高。</w:t>
      </w:r>
    </w:p>
    <w:p>
      <w:pPr>
        <w:keepNext w:val="0"/>
        <w:keepLines w:val="0"/>
        <w:pageBreakBefore w:val="0"/>
        <w:widowControl/>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ascii="仿宋_GB2312" w:hAnsi="宋体" w:eastAsia="仿宋_GB2312" w:cs="宋体"/>
          <w:color w:val="000000"/>
          <w:kern w:val="0"/>
          <w:sz w:val="32"/>
          <w:szCs w:val="32"/>
          <w:shd w:val="clear" w:color="auto" w:fill="FFFFFF"/>
          <w:lang w:val="zh-CN"/>
        </w:rPr>
      </w:pPr>
      <w:r>
        <w:rPr>
          <w:rFonts w:hint="eastAsia" w:ascii="仿宋_GB2312" w:hAnsi="宋体" w:eastAsia="仿宋_GB2312" w:cs="宋体"/>
          <w:color w:val="000000"/>
          <w:kern w:val="0"/>
          <w:sz w:val="32"/>
          <w:szCs w:val="32"/>
          <w:shd w:val="clear" w:color="auto" w:fill="FFFFFF"/>
          <w:lang w:val="zh-CN"/>
        </w:rPr>
        <w:t>（三）改进建议。</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1、科学规划设计，明确目标任务,细化工作方案,扎实</w:t>
      </w: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有序做好项目前期工作,加强与财政、发改、审计等部门的</w:t>
      </w: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衔接，加快水利项目实施进度</w:t>
      </w:r>
      <w:r>
        <w:rPr>
          <w:rFonts w:hint="eastAsia" w:ascii="仿宋_GB2312" w:hAnsi="仿宋_GB2312" w:eastAsia="仿宋_GB2312" w:cs="仿宋_GB2312"/>
          <w:sz w:val="32"/>
          <w:szCs w:val="32"/>
          <w:lang w:eastAsia="zh-CN"/>
        </w:rPr>
        <w:t>，提高预算执行率</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2、探索建立标准化的部门绩效目标指标体系，加大对</w:t>
      </w: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下属单位绩效管理指导，共同提高绩效</w:t>
      </w:r>
      <w:r>
        <w:rPr>
          <w:rFonts w:hint="eastAsia" w:ascii="仿宋_GB2312" w:hAnsi="仿宋_GB2312" w:eastAsia="仿宋_GB2312" w:cs="仿宋_GB2312"/>
          <w:sz w:val="32"/>
          <w:szCs w:val="32"/>
          <w:lang w:eastAsia="zh-CN"/>
        </w:rPr>
        <w:t>管理水平。积极开展绩效目标管理、事前绩效评估、事中绩效监控、事后绩效评价及结果应用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600" w:lineRule="exact"/>
        <w:textAlignment w:val="auto"/>
        <w:rPr>
          <w:rFonts w:hint="eastAsia" w:ascii="仿宋_GB2312" w:hAnsi="仿宋_GB2312" w:eastAsia="仿宋_GB2312" w:cs="仿宋_GB2312"/>
          <w:sz w:val="32"/>
          <w:szCs w:val="32"/>
        </w:rPr>
      </w:pPr>
    </w:p>
    <w:p>
      <w:pPr>
        <w:pStyle w:val="3"/>
        <w:bidi w:val="0"/>
        <w:rPr>
          <w:rFonts w:hint="eastAsia"/>
        </w:rPr>
      </w:pPr>
      <w:r>
        <w:rPr>
          <w:rFonts w:hint="eastAsia"/>
        </w:rPr>
        <w:t>附件2</w:t>
      </w:r>
    </w:p>
    <w:p>
      <w:pPr>
        <w:spacing w:line="600" w:lineRule="exact"/>
        <w:jc w:val="left"/>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b/>
          <w:bCs/>
          <w:color w:val="000000"/>
          <w:kern w:val="0"/>
          <w:sz w:val="44"/>
          <w:szCs w:val="44"/>
          <w:lang w:eastAsia="zh-CN"/>
        </w:rPr>
      </w:pPr>
      <w:bookmarkStart w:id="152" w:name="_Toc18333_WPSOffice_Level2"/>
      <w:r>
        <w:rPr>
          <w:rFonts w:hint="eastAsia" w:asciiTheme="minorEastAsia" w:hAnsiTheme="minorEastAsia" w:eastAsiaTheme="minorEastAsia" w:cstheme="minorEastAsia"/>
          <w:b/>
          <w:bCs/>
          <w:color w:val="000000"/>
          <w:kern w:val="0"/>
          <w:sz w:val="44"/>
          <w:szCs w:val="44"/>
          <w:lang w:eastAsia="zh-CN"/>
        </w:rPr>
        <w:t>高中水库</w:t>
      </w:r>
      <w:bookmarkEnd w:id="152"/>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heme="minorEastAsia" w:hAnsiTheme="minorEastAsia" w:eastAsiaTheme="minorEastAsia" w:cstheme="minorEastAsia"/>
          <w:b/>
          <w:bCs/>
          <w:color w:val="000000"/>
          <w:kern w:val="0"/>
          <w:sz w:val="44"/>
          <w:szCs w:val="44"/>
        </w:rPr>
      </w:pPr>
      <w:bookmarkStart w:id="153" w:name="_Toc6823_WPSOffice_Level2"/>
      <w:bookmarkStart w:id="154" w:name="_Toc27625_WPSOffice_Level2"/>
      <w:bookmarkStart w:id="155" w:name="_Toc5138_WPSOffice_Level2"/>
      <w:bookmarkStart w:id="156" w:name="_Toc16003_WPSOffice_Level2"/>
      <w:r>
        <w:rPr>
          <w:rFonts w:hint="eastAsia" w:asciiTheme="minorEastAsia" w:hAnsiTheme="minorEastAsia" w:eastAsiaTheme="minorEastAsia" w:cstheme="minorEastAsia"/>
          <w:b/>
          <w:bCs/>
          <w:color w:val="000000"/>
          <w:kern w:val="0"/>
          <w:sz w:val="44"/>
          <w:szCs w:val="44"/>
          <w:lang w:eastAsia="zh-CN"/>
        </w:rPr>
        <w:t>除险加固</w:t>
      </w:r>
      <w:r>
        <w:rPr>
          <w:rFonts w:hint="eastAsia" w:asciiTheme="minorEastAsia" w:hAnsiTheme="minorEastAsia" w:eastAsiaTheme="minorEastAsia" w:cstheme="minorEastAsia"/>
          <w:b/>
          <w:bCs/>
          <w:color w:val="000000"/>
          <w:kern w:val="0"/>
          <w:sz w:val="44"/>
          <w:szCs w:val="44"/>
        </w:rPr>
        <w:t>项目</w:t>
      </w:r>
      <w:r>
        <w:rPr>
          <w:rFonts w:hint="eastAsia" w:asciiTheme="minorEastAsia" w:hAnsiTheme="minorEastAsia" w:eastAsiaTheme="minorEastAsia" w:cstheme="minorEastAsia"/>
          <w:b/>
          <w:bCs/>
          <w:color w:val="000000"/>
          <w:kern w:val="0"/>
          <w:sz w:val="44"/>
          <w:szCs w:val="44"/>
          <w:lang w:val="en-US" w:eastAsia="zh-CN"/>
        </w:rPr>
        <w:t>2019年</w:t>
      </w:r>
      <w:r>
        <w:rPr>
          <w:rFonts w:hint="eastAsia" w:asciiTheme="minorEastAsia" w:hAnsiTheme="minorEastAsia" w:eastAsiaTheme="minorEastAsia" w:cstheme="minorEastAsia"/>
          <w:b/>
          <w:bCs/>
          <w:color w:val="000000"/>
          <w:kern w:val="0"/>
          <w:sz w:val="44"/>
          <w:szCs w:val="44"/>
          <w:lang w:eastAsia="zh-CN"/>
        </w:rPr>
        <w:t>绩效评价</w:t>
      </w:r>
      <w:r>
        <w:rPr>
          <w:rFonts w:hint="eastAsia" w:asciiTheme="minorEastAsia" w:hAnsiTheme="minorEastAsia" w:eastAsiaTheme="minorEastAsia" w:cstheme="minorEastAsia"/>
          <w:b/>
          <w:bCs/>
          <w:color w:val="000000"/>
          <w:kern w:val="0"/>
          <w:sz w:val="44"/>
          <w:szCs w:val="44"/>
        </w:rPr>
        <w:t>报告</w:t>
      </w:r>
      <w:bookmarkEnd w:id="153"/>
      <w:bookmarkEnd w:id="154"/>
      <w:bookmarkEnd w:id="155"/>
      <w:bookmarkEnd w:id="156"/>
    </w:p>
    <w:p>
      <w:pPr>
        <w:spacing w:line="600" w:lineRule="exact"/>
        <w:jc w:val="center"/>
        <w:rPr>
          <w:rFonts w:hint="eastAsia" w:ascii="方正小标宋简体" w:hAnsi="宋体" w:eastAsia="方正小标宋简体" w:cs="Times New Roman"/>
          <w:color w:val="000000"/>
          <w:kern w:val="0"/>
          <w:sz w:val="44"/>
          <w:szCs w:val="44"/>
        </w:rPr>
      </w:pPr>
    </w:p>
    <w:p>
      <w:pPr>
        <w:adjustRightInd w:val="0"/>
        <w:snapToGrid w:val="0"/>
        <w:spacing w:line="600" w:lineRule="exact"/>
        <w:ind w:firstLine="720"/>
        <w:rPr>
          <w:rFonts w:hint="eastAsia" w:ascii="黑体" w:hAnsi="宋体" w:eastAsia="黑体" w:cs="Times New Roman"/>
          <w:sz w:val="32"/>
          <w:szCs w:val="32"/>
          <w:lang w:val="zh-CN" w:eastAsia="zh-CN"/>
        </w:rPr>
      </w:pPr>
      <w:bookmarkStart w:id="157" w:name="_Toc27201_WPSOffice_Level2"/>
      <w:bookmarkStart w:id="158" w:name="_Toc105_WPSOffice_Level2"/>
      <w:bookmarkStart w:id="159" w:name="_Toc24103_WPSOffice_Level2"/>
      <w:bookmarkStart w:id="160" w:name="_Toc27972_WPSOffice_Level2"/>
      <w:r>
        <w:rPr>
          <w:rFonts w:hint="eastAsia" w:ascii="黑体" w:hAnsi="宋体" w:eastAsia="黑体" w:cs="Times New Roman"/>
          <w:sz w:val="32"/>
          <w:szCs w:val="32"/>
          <w:lang w:val="en-US" w:eastAsia="zh-CN"/>
        </w:rPr>
        <w:t>一、</w:t>
      </w:r>
      <w:r>
        <w:rPr>
          <w:rFonts w:hint="eastAsia" w:ascii="黑体" w:hAnsi="宋体" w:eastAsia="黑体" w:cs="Times New Roman"/>
          <w:sz w:val="32"/>
          <w:szCs w:val="32"/>
          <w:lang w:val="zh-CN" w:eastAsia="zh-CN"/>
        </w:rPr>
        <w:t>项目概况</w:t>
      </w:r>
      <w:bookmarkEnd w:id="157"/>
      <w:bookmarkEnd w:id="158"/>
      <w:bookmarkEnd w:id="159"/>
      <w:bookmarkEnd w:id="160"/>
    </w:p>
    <w:p>
      <w:pPr>
        <w:adjustRightInd w:val="0"/>
        <w:snapToGrid w:val="0"/>
        <w:spacing w:line="600" w:lineRule="exact"/>
        <w:ind w:firstLine="720"/>
        <w:rPr>
          <w:rFonts w:hint="eastAsia" w:ascii="楷体_GB2312" w:hAnsi="宋体" w:eastAsia="楷体_GB2312" w:cs="Times New Roman"/>
          <w:b/>
          <w:sz w:val="32"/>
          <w:szCs w:val="32"/>
          <w:lang w:val="zh-CN" w:eastAsia="zh-CN"/>
        </w:rPr>
      </w:pPr>
      <w:r>
        <w:rPr>
          <w:rFonts w:hint="eastAsia" w:ascii="楷体_GB2312" w:hAnsi="宋体" w:eastAsia="楷体_GB2312" w:cs="Times New Roman"/>
          <w:b/>
          <w:sz w:val="32"/>
          <w:szCs w:val="32"/>
          <w:lang w:val="zh-CN" w:eastAsia="zh-CN"/>
        </w:rPr>
        <w:t>（一）项目基本情况。</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zh-CN" w:eastAsia="zh-CN"/>
        </w:rPr>
        <w:t>1.市水务局作为水行政主管部门，负责指导高中水库除险加固工程建设。</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zh-CN" w:eastAsia="zh-CN"/>
        </w:rPr>
        <w:t>2.项目立项、资金申报的依据。高中水库大坝于2008年9月经四川大学工程设计研究院鉴定，水利厅审定，水利部大坝安全管理中心核查，确定为三类坝。为了尽快消除工程安全隐患，高中水库管理处委托乐山市水利电力建筑勘察设计研究院对高中水库除险加固工程进行了初步设计，于2011年3月提供了设计成果，并于2011年10月通过了水利部长江水利委员会的复核。2012年7月，四川省发展和改革委员会《关于乐山市高中水库除险加固工程初步设计报告的批复》（川发改农经〔2012〕618号）批准立项，项目核准工程静态总投资2806万元。</w:t>
      </w:r>
    </w:p>
    <w:p>
      <w:pPr>
        <w:adjustRightInd w:val="0"/>
        <w:snapToGrid w:val="0"/>
        <w:spacing w:line="600" w:lineRule="exact"/>
        <w:ind w:firstLine="720"/>
        <w:rPr>
          <w:rFonts w:hint="eastAsia" w:ascii="楷体_GB2312" w:hAnsi="宋体" w:eastAsia="楷体_GB2312" w:cs="Times New Roman"/>
          <w:b/>
          <w:sz w:val="32"/>
          <w:szCs w:val="32"/>
          <w:lang w:val="zh-CN" w:eastAsia="zh-CN"/>
        </w:rPr>
      </w:pPr>
      <w:r>
        <w:rPr>
          <w:rFonts w:hint="eastAsia" w:ascii="楷体_GB2312" w:hAnsi="宋体" w:eastAsia="楷体_GB2312" w:cs="Times New Roman"/>
          <w:b/>
          <w:sz w:val="32"/>
          <w:szCs w:val="32"/>
          <w:lang w:val="zh-CN" w:eastAsia="zh-CN"/>
        </w:rPr>
        <w:t>（二）项目绩效目标。</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zh-CN" w:eastAsia="zh-CN"/>
        </w:rPr>
        <w:t>高中水库除险加固工程初设批复主要建设内容为：整治双冲主坝、四座副坝（邱高、花石岩、罗湾、牛腊湾）、溢洪道、两处放水设施、放空底孔、棉花堰引水枢纽和引水渠，完善防汛抢险公路及观测、管理设施等。</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zh-CN" w:eastAsia="zh-CN"/>
        </w:rPr>
        <w:t>2016年1月，水利厅《关于乐山市高中水库除险加固工程初步设计变更报告的批复》（川水函〔2016〕126号）同意以下设计变更:溢洪道工程、连接道路工程、双冲邱高坝顶栏杆、新增棉花堰取水枢纽处闸坝两岸坝肩连接道路、新增棉花堰引水渠渠首连接硬化路及栏杆、引水渠至原公路砼硬化、K0+500-K0+584段改建暗渠。</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zh-CN" w:eastAsia="zh-CN"/>
        </w:rPr>
        <w:t>2017年3月，水利厅《关于将钟河坝桥改建工程列入高中水库除险加固工程项目的函》（川水函〔2017〕414号）同意将钟河坝桥改建工程列入高中水库除险加固工程一并建设，主要建设内容为：改建钟河坝桥一座（桥梁净跨1-20m,宽6.5m，荷载标准：公路-II级）。</w:t>
      </w:r>
    </w:p>
    <w:p>
      <w:pPr>
        <w:adjustRightInd w:val="0"/>
        <w:snapToGrid w:val="0"/>
        <w:spacing w:line="600" w:lineRule="exact"/>
        <w:ind w:firstLine="720"/>
        <w:rPr>
          <w:rFonts w:hint="eastAsia" w:ascii="黑体" w:hAnsi="宋体" w:eastAsia="黑体" w:cs="Times New Roman"/>
          <w:sz w:val="32"/>
          <w:szCs w:val="32"/>
          <w:lang w:val="en-US" w:eastAsia="zh-CN"/>
        </w:rPr>
      </w:pPr>
      <w:bookmarkStart w:id="161" w:name="_Toc7123_WPSOffice_Level2"/>
      <w:bookmarkStart w:id="162" w:name="_Toc7709_WPSOffice_Level2"/>
      <w:bookmarkStart w:id="163" w:name="_Toc9341_WPSOffice_Level2"/>
      <w:bookmarkStart w:id="164" w:name="_Toc30511_WPSOffice_Level2"/>
      <w:r>
        <w:rPr>
          <w:rFonts w:hint="eastAsia" w:ascii="黑体" w:hAnsi="宋体" w:eastAsia="黑体" w:cs="Times New Roman"/>
          <w:sz w:val="32"/>
          <w:szCs w:val="32"/>
          <w:lang w:val="en-US" w:eastAsia="zh-CN"/>
        </w:rPr>
        <w:t>二、项目资金计划及使用情况</w:t>
      </w:r>
      <w:bookmarkEnd w:id="161"/>
      <w:bookmarkEnd w:id="162"/>
      <w:bookmarkEnd w:id="163"/>
      <w:bookmarkEnd w:id="164"/>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3"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楷体_GB2312" w:hAnsi="宋体" w:eastAsia="楷体_GB2312" w:cs="Times New Roman"/>
          <w:b/>
          <w:sz w:val="32"/>
          <w:szCs w:val="32"/>
          <w:lang w:val="zh-CN" w:eastAsia="zh-CN"/>
        </w:rPr>
        <w:t>（一）资金计划。</w:t>
      </w:r>
      <w:r>
        <w:rPr>
          <w:rFonts w:hint="eastAsia" w:ascii="仿宋_GB2312" w:hAnsi="宋体" w:eastAsia="仿宋_GB2312" w:cs="宋体"/>
          <w:color w:val="000000"/>
          <w:kern w:val="0"/>
          <w:sz w:val="32"/>
          <w:szCs w:val="32"/>
          <w:shd w:val="clear" w:color="auto" w:fill="FFFFFF"/>
          <w:lang w:val="zh-CN" w:eastAsia="zh-CN"/>
        </w:rPr>
        <w:t>工程静态批复总投资2806万元，其中：中央预算内资金2245万元，省级配套250万元、市级配套311万元。</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3"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楷体_GB2312" w:hAnsi="宋体" w:eastAsia="楷体_GB2312" w:cs="Times New Roman"/>
          <w:b/>
          <w:sz w:val="32"/>
          <w:szCs w:val="32"/>
          <w:lang w:val="zh-CN" w:eastAsia="zh-CN"/>
        </w:rPr>
        <w:t>（二）资金到位。</w:t>
      </w:r>
      <w:r>
        <w:rPr>
          <w:rFonts w:hint="eastAsia" w:ascii="仿宋_GB2312" w:hAnsi="宋体" w:eastAsia="仿宋_GB2312" w:cs="宋体"/>
          <w:color w:val="000000"/>
          <w:kern w:val="0"/>
          <w:sz w:val="32"/>
          <w:szCs w:val="32"/>
          <w:shd w:val="clear" w:color="auto" w:fill="FFFFFF"/>
          <w:lang w:val="zh-CN" w:eastAsia="zh-CN"/>
        </w:rPr>
        <w:t>截止目前，工程到位资金2775万元，其中：中央预算内资金2245万元、省级配套250万元、市级配套280万元，资金到位率98.9%。</w:t>
      </w:r>
      <w:r>
        <w:rPr>
          <w:rFonts w:hint="eastAsia" w:ascii="仿宋_GB2312" w:hAnsi="宋体" w:eastAsia="仿宋_GB2312" w:cs="宋体"/>
          <w:color w:val="000000"/>
          <w:kern w:val="0"/>
          <w:sz w:val="32"/>
          <w:szCs w:val="32"/>
          <w:shd w:val="clear" w:color="auto" w:fill="FFFFFF"/>
          <w:lang w:val="en-US" w:eastAsia="zh-CN"/>
        </w:rPr>
        <w:t xml:space="preserve"> 项目中省资金已全部到位，市级配套资金尚余31万元未到位。</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3"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楷体_GB2312" w:hAnsi="宋体" w:eastAsia="楷体_GB2312" w:cs="Times New Roman"/>
          <w:b/>
          <w:sz w:val="32"/>
          <w:szCs w:val="32"/>
          <w:lang w:val="zh-CN" w:eastAsia="zh-CN"/>
        </w:rPr>
        <w:t>（三）资金使用。</w:t>
      </w:r>
      <w:r>
        <w:rPr>
          <w:rFonts w:hint="eastAsia" w:ascii="仿宋_GB2312" w:hAnsi="宋体" w:eastAsia="仿宋_GB2312" w:cs="宋体"/>
          <w:color w:val="000000"/>
          <w:kern w:val="0"/>
          <w:sz w:val="32"/>
          <w:szCs w:val="32"/>
          <w:shd w:val="clear" w:color="auto" w:fill="FFFFFF"/>
          <w:lang w:val="zh-CN" w:eastAsia="zh-CN"/>
        </w:rPr>
        <w:t>2019年4月，经乐山诚达联合会计师事务所审核，工程实际已完成投资2832.09万元。截止目前，工程已支出资金2773.91万元，其中：建筑安装工程2407.79万元，设备购置40.51万元，独立费用325.61万元。</w:t>
      </w:r>
    </w:p>
    <w:p>
      <w:pPr>
        <w:adjustRightInd w:val="0"/>
        <w:snapToGrid w:val="0"/>
        <w:spacing w:line="600" w:lineRule="exact"/>
        <w:ind w:firstLine="720"/>
        <w:rPr>
          <w:rFonts w:hint="eastAsia" w:ascii="黑体" w:hAnsi="宋体" w:eastAsia="黑体" w:cs="Times New Roman"/>
          <w:sz w:val="32"/>
          <w:szCs w:val="32"/>
          <w:lang w:val="en-US" w:eastAsia="zh-CN"/>
        </w:rPr>
      </w:pPr>
      <w:bookmarkStart w:id="165" w:name="_Toc24364_WPSOffice_Level2"/>
      <w:bookmarkStart w:id="166" w:name="_Toc6536_WPSOffice_Level2"/>
      <w:bookmarkStart w:id="167" w:name="_Toc13862_WPSOffice_Level2"/>
      <w:bookmarkStart w:id="168" w:name="_Toc3247_WPSOffice_Level2"/>
      <w:r>
        <w:rPr>
          <w:rFonts w:hint="eastAsia" w:ascii="黑体" w:hAnsi="宋体" w:eastAsia="黑体" w:cs="Times New Roman"/>
          <w:sz w:val="32"/>
          <w:szCs w:val="32"/>
          <w:lang w:val="en-US" w:eastAsia="zh-CN"/>
        </w:rPr>
        <w:t>三、项目实施及管理情况</w:t>
      </w:r>
      <w:bookmarkEnd w:id="165"/>
      <w:bookmarkEnd w:id="166"/>
      <w:bookmarkEnd w:id="167"/>
      <w:bookmarkEnd w:id="168"/>
    </w:p>
    <w:p>
      <w:pPr>
        <w:adjustRightInd w:val="0"/>
        <w:snapToGrid w:val="0"/>
        <w:spacing w:line="600" w:lineRule="exact"/>
        <w:ind w:firstLine="720"/>
        <w:rPr>
          <w:rFonts w:hint="eastAsia" w:ascii="楷体_GB2312" w:hAnsi="宋体" w:eastAsia="楷体_GB2312" w:cs="Times New Roman"/>
          <w:b/>
          <w:sz w:val="32"/>
          <w:szCs w:val="32"/>
          <w:lang w:val="zh-CN" w:eastAsia="zh-CN"/>
        </w:rPr>
      </w:pPr>
      <w:r>
        <w:rPr>
          <w:rFonts w:hint="eastAsia" w:ascii="楷体_GB2312" w:hAnsi="宋体" w:eastAsia="楷体_GB2312" w:cs="Times New Roman"/>
          <w:b/>
          <w:sz w:val="32"/>
          <w:szCs w:val="32"/>
          <w:lang w:val="zh-CN" w:eastAsia="zh-CN"/>
        </w:rPr>
        <w:t>（一）项目组织架构。</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en-US" w:eastAsia="zh-CN"/>
        </w:rPr>
        <w:t>1.</w:t>
      </w:r>
      <w:r>
        <w:rPr>
          <w:rFonts w:hint="eastAsia" w:ascii="仿宋_GB2312" w:hAnsi="宋体" w:eastAsia="仿宋_GB2312" w:cs="宋体"/>
          <w:color w:val="000000"/>
          <w:kern w:val="0"/>
          <w:sz w:val="32"/>
          <w:szCs w:val="32"/>
          <w:shd w:val="clear" w:color="auto" w:fill="FFFFFF"/>
          <w:lang w:val="zh-CN" w:eastAsia="zh-CN"/>
        </w:rPr>
        <w:t>项目法人：乐山市高中水库管理处；</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en-US" w:eastAsia="zh-CN"/>
        </w:rPr>
        <w:t>2.</w:t>
      </w:r>
      <w:r>
        <w:rPr>
          <w:rFonts w:hint="eastAsia" w:ascii="仿宋_GB2312" w:hAnsi="宋体" w:eastAsia="仿宋_GB2312" w:cs="宋体"/>
          <w:color w:val="000000"/>
          <w:kern w:val="0"/>
          <w:sz w:val="32"/>
          <w:szCs w:val="32"/>
          <w:shd w:val="clear" w:color="auto" w:fill="FFFFFF"/>
          <w:lang w:val="zh-CN" w:eastAsia="zh-CN"/>
        </w:rPr>
        <w:t>监理单位：四川省倍升工程监理有限公司；</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en-US" w:eastAsia="zh-CN"/>
        </w:rPr>
        <w:t>3.</w:t>
      </w:r>
      <w:r>
        <w:rPr>
          <w:rFonts w:hint="eastAsia" w:ascii="仿宋_GB2312" w:hAnsi="宋体" w:eastAsia="仿宋_GB2312" w:cs="宋体"/>
          <w:color w:val="000000"/>
          <w:kern w:val="0"/>
          <w:sz w:val="32"/>
          <w:szCs w:val="32"/>
          <w:shd w:val="clear" w:color="auto" w:fill="FFFFFF"/>
          <w:lang w:val="zh-CN" w:eastAsia="zh-CN"/>
        </w:rPr>
        <w:t>设计单位：乐山市水利电力建筑勘察设计研究院；</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en-US" w:eastAsia="zh-CN"/>
        </w:rPr>
        <w:t>4.</w:t>
      </w:r>
      <w:r>
        <w:rPr>
          <w:rFonts w:hint="eastAsia" w:ascii="仿宋_GB2312" w:hAnsi="宋体" w:eastAsia="仿宋_GB2312" w:cs="宋体"/>
          <w:color w:val="000000"/>
          <w:kern w:val="0"/>
          <w:sz w:val="32"/>
          <w:szCs w:val="32"/>
          <w:shd w:val="clear" w:color="auto" w:fill="FFFFFF"/>
          <w:lang w:val="zh-CN" w:eastAsia="zh-CN"/>
        </w:rPr>
        <w:t>施工单位：重庆市黄浦建设（集团）有限公司；</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en-US" w:eastAsia="zh-CN"/>
        </w:rPr>
        <w:t>5.</w:t>
      </w:r>
      <w:r>
        <w:rPr>
          <w:rFonts w:hint="eastAsia" w:ascii="仿宋_GB2312" w:hAnsi="宋体" w:eastAsia="仿宋_GB2312" w:cs="宋体"/>
          <w:color w:val="000000"/>
          <w:kern w:val="0"/>
          <w:sz w:val="32"/>
          <w:szCs w:val="32"/>
          <w:shd w:val="clear" w:color="auto" w:fill="FFFFFF"/>
          <w:lang w:val="zh-CN" w:eastAsia="zh-CN"/>
        </w:rPr>
        <w:t>运行管理单位：乐山市高中水库管理处；</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en-US" w:eastAsia="zh-CN"/>
        </w:rPr>
        <w:t>6.</w:t>
      </w:r>
      <w:r>
        <w:rPr>
          <w:rFonts w:hint="eastAsia" w:ascii="仿宋_GB2312" w:hAnsi="宋体" w:eastAsia="仿宋_GB2312" w:cs="宋体"/>
          <w:color w:val="000000"/>
          <w:kern w:val="0"/>
          <w:sz w:val="32"/>
          <w:szCs w:val="32"/>
          <w:shd w:val="clear" w:color="auto" w:fill="FFFFFF"/>
          <w:lang w:val="zh-CN" w:eastAsia="zh-CN"/>
        </w:rPr>
        <w:t>质量监督单位：乐山市水利工程建设质量与安全监督站。</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3"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楷体_GB2312" w:hAnsi="宋体" w:eastAsia="楷体_GB2312" w:cs="Times New Roman"/>
          <w:b/>
          <w:sz w:val="32"/>
          <w:szCs w:val="32"/>
          <w:lang w:val="zh-CN" w:eastAsia="zh-CN"/>
        </w:rPr>
        <w:t>（二）项目管理情况。</w:t>
      </w:r>
      <w:r>
        <w:rPr>
          <w:rFonts w:hint="eastAsia" w:ascii="仿宋_GB2312" w:hAnsi="宋体" w:eastAsia="仿宋_GB2312" w:cs="宋体"/>
          <w:color w:val="000000"/>
          <w:kern w:val="0"/>
          <w:sz w:val="32"/>
          <w:szCs w:val="32"/>
          <w:shd w:val="clear" w:color="auto" w:fill="FFFFFF"/>
          <w:lang w:val="zh-CN" w:eastAsia="zh-CN"/>
        </w:rPr>
        <w:t>工程建设实行了项目法人制、招标投标制、建设监理制和合同管理制。项目业主成立了工程项目管理组，监理单位成立了项目监理部，设计单位派驻了现场设计代表，施工单位建立了项目指挥部，落实了建后运行管理单位。</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3" w:firstLineChars="200"/>
        <w:contextualSpacing/>
        <w:jc w:val="left"/>
        <w:textAlignment w:val="auto"/>
        <w:rPr>
          <w:rFonts w:hint="eastAsia" w:ascii="仿宋_GB2312" w:hAnsi="宋体" w:eastAsia="仿宋_GB2312" w:cs="宋体"/>
          <w:color w:val="000000"/>
          <w:kern w:val="0"/>
          <w:sz w:val="32"/>
          <w:szCs w:val="32"/>
          <w:shd w:val="clear" w:color="auto" w:fill="FFFFFF"/>
          <w:lang w:val="en-US" w:eastAsia="zh-CN"/>
        </w:rPr>
      </w:pPr>
      <w:r>
        <w:rPr>
          <w:rFonts w:hint="eastAsia" w:ascii="楷体_GB2312" w:hAnsi="宋体" w:eastAsia="楷体_GB2312" w:cs="Times New Roman"/>
          <w:b/>
          <w:sz w:val="32"/>
          <w:szCs w:val="32"/>
          <w:lang w:val="zh-CN" w:eastAsia="zh-CN"/>
        </w:rPr>
        <w:t>（三）项目监管情况。</w:t>
      </w:r>
      <w:r>
        <w:rPr>
          <w:rFonts w:hint="eastAsia" w:ascii="仿宋_GB2312" w:hAnsi="宋体" w:eastAsia="仿宋_GB2312" w:cs="宋体"/>
          <w:color w:val="000000"/>
          <w:kern w:val="0"/>
          <w:sz w:val="32"/>
          <w:szCs w:val="32"/>
          <w:shd w:val="clear" w:color="auto" w:fill="FFFFFF"/>
          <w:lang w:val="zh-CN" w:eastAsia="zh-CN"/>
        </w:rPr>
        <w:t>我局多次组织工程参建各方协商解决工程推进工程中遇到的重大问题，有效保障了工程顺利完工。同时我局积极召集市发改、财政、审计等相关部门会商，出谋划策，切实加快了项目验收推进。</w:t>
      </w:r>
      <w:r>
        <w:rPr>
          <w:rFonts w:hint="eastAsia" w:ascii="仿宋_GB2312" w:hAnsi="宋体" w:eastAsia="仿宋_GB2312" w:cs="宋体"/>
          <w:color w:val="000000"/>
          <w:kern w:val="0"/>
          <w:sz w:val="32"/>
          <w:szCs w:val="32"/>
          <w:shd w:val="clear" w:color="auto" w:fill="FFFFFF"/>
          <w:lang w:val="en-US" w:eastAsia="zh-CN"/>
        </w:rPr>
        <w:t>2018年1月，高中水库除险加固工程顺利通过完工验收，目前，正积极做好竣工验收准备。</w:t>
      </w:r>
    </w:p>
    <w:p>
      <w:pPr>
        <w:adjustRightInd w:val="0"/>
        <w:snapToGrid w:val="0"/>
        <w:spacing w:line="600" w:lineRule="exact"/>
        <w:ind w:firstLine="720"/>
        <w:rPr>
          <w:rFonts w:hint="eastAsia" w:ascii="黑体" w:hAnsi="宋体" w:eastAsia="黑体" w:cs="Times New Roman"/>
          <w:sz w:val="32"/>
          <w:szCs w:val="32"/>
          <w:lang w:val="zh-CN" w:eastAsia="zh-CN"/>
        </w:rPr>
      </w:pPr>
      <w:bookmarkStart w:id="169" w:name="_Toc27042_WPSOffice_Level2"/>
      <w:bookmarkStart w:id="170" w:name="_Toc9558_WPSOffice_Level2"/>
      <w:bookmarkStart w:id="171" w:name="_Toc24472_WPSOffice_Level2"/>
      <w:bookmarkStart w:id="172" w:name="_Toc5924_WPSOffice_Level2"/>
      <w:r>
        <w:rPr>
          <w:rFonts w:hint="eastAsia" w:ascii="黑体" w:hAnsi="宋体" w:eastAsia="黑体" w:cs="Times New Roman"/>
          <w:sz w:val="32"/>
          <w:szCs w:val="32"/>
          <w:lang w:val="en-US" w:eastAsia="zh-CN"/>
        </w:rPr>
        <w:t>四、项目绩效情况</w:t>
      </w:r>
      <w:bookmarkEnd w:id="169"/>
      <w:bookmarkEnd w:id="170"/>
      <w:bookmarkEnd w:id="171"/>
      <w:bookmarkEnd w:id="172"/>
      <w:r>
        <w:rPr>
          <w:rFonts w:hint="eastAsia" w:ascii="黑体" w:hAnsi="宋体" w:eastAsia="黑体" w:cs="Times New Roman"/>
          <w:sz w:val="32"/>
          <w:szCs w:val="32"/>
          <w:lang w:val="zh-CN" w:eastAsia="zh-CN"/>
        </w:rPr>
        <w:tab/>
      </w:r>
    </w:p>
    <w:p>
      <w:pPr>
        <w:adjustRightInd w:val="0"/>
        <w:snapToGrid w:val="0"/>
        <w:spacing w:line="600" w:lineRule="exact"/>
        <w:ind w:firstLine="720"/>
        <w:rPr>
          <w:rFonts w:hint="eastAsia" w:ascii="楷体_GB2312" w:hAnsi="宋体" w:eastAsia="楷体_GB2312" w:cs="Times New Roman"/>
          <w:b/>
          <w:sz w:val="32"/>
          <w:szCs w:val="32"/>
          <w:lang w:val="zh-CN" w:eastAsia="zh-CN"/>
        </w:rPr>
      </w:pPr>
      <w:r>
        <w:rPr>
          <w:rFonts w:hint="eastAsia" w:ascii="楷体_GB2312" w:hAnsi="宋体" w:eastAsia="楷体_GB2312" w:cs="Times New Roman"/>
          <w:b/>
          <w:sz w:val="32"/>
          <w:szCs w:val="32"/>
          <w:lang w:val="zh-CN" w:eastAsia="zh-CN"/>
        </w:rPr>
        <w:t>（一）项目完成情况。</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zh-CN" w:eastAsia="zh-CN"/>
        </w:rPr>
        <w:t>高中水库除险加固工程于2014年10月14日正式开工，2015年7月主体工程完工，2017年5月全面完工，并于2018年1月通过完工验收。</w:t>
      </w:r>
    </w:p>
    <w:p>
      <w:pPr>
        <w:adjustRightInd w:val="0"/>
        <w:snapToGrid w:val="0"/>
        <w:spacing w:line="600" w:lineRule="exact"/>
        <w:ind w:firstLine="720"/>
        <w:rPr>
          <w:rFonts w:hint="eastAsia" w:ascii="楷体_GB2312" w:hAnsi="宋体" w:eastAsia="楷体_GB2312" w:cs="Times New Roman"/>
          <w:b/>
          <w:sz w:val="32"/>
          <w:szCs w:val="32"/>
          <w:lang w:val="zh-CN" w:eastAsia="zh-CN"/>
        </w:rPr>
      </w:pPr>
      <w:r>
        <w:rPr>
          <w:rFonts w:hint="eastAsia" w:ascii="楷体_GB2312" w:hAnsi="宋体" w:eastAsia="楷体_GB2312" w:cs="Times New Roman"/>
          <w:b/>
          <w:sz w:val="32"/>
          <w:szCs w:val="32"/>
          <w:lang w:val="zh-CN" w:eastAsia="zh-CN"/>
        </w:rPr>
        <w:t>（二）项目效益情况。</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en-US" w:eastAsia="zh-CN"/>
        </w:rPr>
      </w:pPr>
      <w:r>
        <w:rPr>
          <w:rFonts w:hint="eastAsia" w:ascii="仿宋_GB2312" w:hAnsi="宋体" w:eastAsia="仿宋_GB2312" w:cs="宋体"/>
          <w:color w:val="000000"/>
          <w:kern w:val="0"/>
          <w:sz w:val="32"/>
          <w:szCs w:val="32"/>
          <w:shd w:val="clear" w:color="auto" w:fill="FFFFFF"/>
          <w:lang w:val="en-US" w:eastAsia="zh-CN"/>
        </w:rPr>
        <w:t>1.经济效益。工程实施后，灌区农田平均每亩增产114元，灌溉效益468.4万元，农副产品效益52.04万元，灌溉总效益520.44万元。</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en-US" w:eastAsia="zh-CN"/>
        </w:rPr>
      </w:pPr>
      <w:r>
        <w:rPr>
          <w:rFonts w:hint="eastAsia" w:ascii="仿宋_GB2312" w:hAnsi="宋体" w:eastAsia="仿宋_GB2312" w:cs="宋体"/>
          <w:color w:val="000000"/>
          <w:kern w:val="0"/>
          <w:sz w:val="32"/>
          <w:szCs w:val="32"/>
          <w:shd w:val="clear" w:color="auto" w:fill="FFFFFF"/>
          <w:lang w:val="en-US" w:eastAsia="zh-CN"/>
        </w:rPr>
        <w:t>2.社会效益。工程实施后有效地消除了水库潜在安全隐患，为水库下游五镇四乡5万人提高了水安全保障。</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en-US" w:eastAsia="zh-CN"/>
        </w:rPr>
      </w:pPr>
      <w:r>
        <w:rPr>
          <w:rFonts w:hint="eastAsia" w:ascii="仿宋_GB2312" w:hAnsi="宋体" w:eastAsia="仿宋_GB2312" w:cs="宋体"/>
          <w:color w:val="000000"/>
          <w:kern w:val="0"/>
          <w:sz w:val="32"/>
          <w:szCs w:val="32"/>
          <w:shd w:val="clear" w:color="auto" w:fill="FFFFFF"/>
          <w:lang w:val="en-US" w:eastAsia="zh-CN"/>
        </w:rPr>
        <w:t>3.生态效益。工程实施后，工程范围内的植被覆盖率显著提高，有效减少了当地水土流失，为生态环境的改善创造了有利条件。</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en-US" w:eastAsia="zh-CN"/>
        </w:rPr>
        <w:t>4.灌区群众满意度。工程灌区范围群众满意度达到90%</w:t>
      </w:r>
      <w:r>
        <w:rPr>
          <w:rFonts w:hint="eastAsia" w:ascii="仿宋_GB2312" w:hAnsi="宋体" w:eastAsia="仿宋_GB2312" w:cs="宋体"/>
          <w:color w:val="000000"/>
          <w:kern w:val="0"/>
          <w:sz w:val="32"/>
          <w:szCs w:val="32"/>
          <w:shd w:val="clear" w:color="auto" w:fill="FFFFFF"/>
          <w:lang w:val="zh-CN" w:eastAsia="zh-CN"/>
        </w:rPr>
        <w:t>。</w:t>
      </w:r>
    </w:p>
    <w:p>
      <w:pPr>
        <w:adjustRightInd w:val="0"/>
        <w:snapToGrid w:val="0"/>
        <w:spacing w:line="600" w:lineRule="exact"/>
        <w:ind w:firstLine="720"/>
        <w:rPr>
          <w:rFonts w:hint="eastAsia" w:ascii="黑体" w:hAnsi="宋体" w:eastAsia="黑体" w:cs="Times New Roman"/>
          <w:sz w:val="32"/>
          <w:szCs w:val="32"/>
          <w:lang w:val="en-US" w:eastAsia="zh-CN"/>
        </w:rPr>
      </w:pPr>
      <w:bookmarkStart w:id="173" w:name="_Toc30380_WPSOffice_Level2"/>
      <w:bookmarkStart w:id="174" w:name="_Toc14320_WPSOffice_Level2"/>
      <w:bookmarkStart w:id="175" w:name="_Toc31404_WPSOffice_Level2"/>
      <w:bookmarkStart w:id="176" w:name="_Toc11669_WPSOffice_Level2"/>
      <w:r>
        <w:rPr>
          <w:rFonts w:hint="eastAsia" w:ascii="黑体" w:hAnsi="宋体" w:eastAsia="黑体" w:cs="Times New Roman"/>
          <w:sz w:val="32"/>
          <w:szCs w:val="32"/>
          <w:lang w:val="en-US" w:eastAsia="zh-CN"/>
        </w:rPr>
        <w:t>五、问题及建议</w:t>
      </w:r>
      <w:bookmarkEnd w:id="173"/>
      <w:bookmarkEnd w:id="174"/>
      <w:bookmarkEnd w:id="175"/>
      <w:bookmarkEnd w:id="176"/>
    </w:p>
    <w:p>
      <w:pPr>
        <w:adjustRightInd w:val="0"/>
        <w:snapToGrid w:val="0"/>
        <w:spacing w:line="600" w:lineRule="exact"/>
        <w:ind w:firstLine="720"/>
        <w:rPr>
          <w:rFonts w:hint="eastAsia" w:ascii="楷体_GB2312" w:hAnsi="宋体" w:eastAsia="楷体_GB2312" w:cs="Times New Roman"/>
          <w:b/>
          <w:sz w:val="32"/>
          <w:szCs w:val="32"/>
          <w:lang w:val="zh-CN" w:eastAsia="zh-CN"/>
        </w:rPr>
      </w:pPr>
      <w:r>
        <w:rPr>
          <w:rFonts w:hint="eastAsia" w:ascii="楷体_GB2312" w:hAnsi="宋体" w:eastAsia="楷体_GB2312" w:cs="Times New Roman"/>
          <w:b/>
          <w:sz w:val="32"/>
          <w:szCs w:val="32"/>
          <w:lang w:val="zh-CN" w:eastAsia="zh-CN"/>
        </w:rPr>
        <w:t>（一）存在的问题。</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zh-CN" w:eastAsia="zh-CN"/>
        </w:rPr>
        <w:t>工程市级配套资金未全部到位；工程勘察设计费34.05万元、监理费17.72万元和竣工验收费6.42万元无资金支付。</w:t>
      </w:r>
    </w:p>
    <w:p>
      <w:pPr>
        <w:adjustRightInd w:val="0"/>
        <w:snapToGrid w:val="0"/>
        <w:spacing w:line="600" w:lineRule="exact"/>
        <w:ind w:firstLine="720"/>
        <w:rPr>
          <w:rFonts w:hint="eastAsia" w:ascii="楷体_GB2312" w:hAnsi="宋体" w:eastAsia="楷体_GB2312" w:cs="Times New Roman"/>
          <w:b/>
          <w:sz w:val="32"/>
          <w:szCs w:val="32"/>
          <w:lang w:val="zh-CN" w:eastAsia="zh-CN"/>
        </w:rPr>
      </w:pPr>
      <w:r>
        <w:rPr>
          <w:rFonts w:hint="eastAsia" w:ascii="楷体_GB2312" w:hAnsi="宋体" w:eastAsia="楷体_GB2312" w:cs="Times New Roman"/>
          <w:b/>
          <w:sz w:val="32"/>
          <w:szCs w:val="32"/>
          <w:lang w:val="zh-CN" w:eastAsia="zh-CN"/>
        </w:rPr>
        <w:t>（二）相关建议。</w:t>
      </w:r>
    </w:p>
    <w:p>
      <w:pPr>
        <w:keepNext w:val="0"/>
        <w:keepLines w:val="0"/>
        <w:pageBreakBefore w:val="0"/>
        <w:widowControl/>
        <w:numPr>
          <w:ilvl w:val="0"/>
          <w:numId w:val="0"/>
        </w:numPr>
        <w:kinsoku/>
        <w:wordWrap/>
        <w:overflowPunct/>
        <w:topLinePunct w:val="0"/>
        <w:autoSpaceDE/>
        <w:autoSpaceDN/>
        <w:bidi w:val="0"/>
        <w:adjustRightInd w:val="0"/>
        <w:snapToGrid w:val="0"/>
        <w:spacing w:line="600" w:lineRule="exact"/>
        <w:ind w:left="0" w:leftChars="0" w:firstLine="640" w:firstLineChars="200"/>
        <w:contextualSpacing/>
        <w:jc w:val="left"/>
        <w:textAlignment w:val="auto"/>
        <w:rPr>
          <w:rFonts w:hint="eastAsia" w:ascii="仿宋_GB2312" w:hAnsi="宋体" w:eastAsia="仿宋_GB2312" w:cs="宋体"/>
          <w:color w:val="000000"/>
          <w:kern w:val="0"/>
          <w:sz w:val="32"/>
          <w:szCs w:val="32"/>
          <w:shd w:val="clear" w:color="auto" w:fill="FFFFFF"/>
          <w:lang w:val="zh-CN" w:eastAsia="zh-CN"/>
        </w:rPr>
      </w:pPr>
      <w:r>
        <w:rPr>
          <w:rFonts w:hint="eastAsia" w:ascii="仿宋_GB2312" w:hAnsi="宋体" w:eastAsia="仿宋_GB2312" w:cs="宋体"/>
          <w:color w:val="000000"/>
          <w:kern w:val="0"/>
          <w:sz w:val="32"/>
          <w:szCs w:val="32"/>
          <w:shd w:val="clear" w:color="auto" w:fill="FFFFFF"/>
          <w:lang w:val="zh-CN" w:eastAsia="zh-CN"/>
        </w:rPr>
        <w:t>高中水库机械启闭设施目前仍是人工操作，不自动、不精准，建议尽快启动水库启闭机械自动化工程项目。</w:t>
      </w:r>
    </w:p>
    <w:p>
      <w:pPr>
        <w:pageBreakBefore w:val="0"/>
        <w:kinsoku/>
        <w:wordWrap/>
        <w:overflowPunct/>
        <w:topLinePunct w:val="0"/>
        <w:bidi w:val="0"/>
        <w:spacing w:line="590" w:lineRule="exact"/>
        <w:ind w:firstLine="0" w:firstLineChars="0"/>
        <w:jc w:val="both"/>
        <w:outlineLvl w:val="0"/>
        <w:rPr>
          <w:rFonts w:hint="eastAsia" w:ascii="黑体" w:hAnsi="黑体" w:eastAsia="黑体"/>
          <w:color w:val="000000"/>
          <w:sz w:val="44"/>
          <w:szCs w:val="44"/>
        </w:rPr>
      </w:pPr>
      <w:bookmarkStart w:id="177" w:name="_Toc15396618"/>
    </w:p>
    <w:p>
      <w:pPr>
        <w:pageBreakBefore w:val="0"/>
        <w:kinsoku/>
        <w:wordWrap/>
        <w:overflowPunct/>
        <w:topLinePunct w:val="0"/>
        <w:bidi w:val="0"/>
        <w:spacing w:line="590" w:lineRule="exact"/>
        <w:ind w:firstLine="0" w:firstLineChars="0"/>
        <w:jc w:val="center"/>
        <w:outlineLvl w:val="0"/>
        <w:rPr>
          <w:rFonts w:hint="eastAsia" w:ascii="黑体" w:hAnsi="黑体" w:eastAsia="黑体"/>
          <w:color w:val="000000"/>
          <w:sz w:val="44"/>
          <w:szCs w:val="44"/>
        </w:rPr>
      </w:pPr>
    </w:p>
    <w:p>
      <w:pPr>
        <w:pageBreakBefore w:val="0"/>
        <w:kinsoku/>
        <w:wordWrap/>
        <w:overflowPunct/>
        <w:topLinePunct w:val="0"/>
        <w:bidi w:val="0"/>
        <w:spacing w:line="590" w:lineRule="exact"/>
        <w:ind w:firstLine="0" w:firstLineChars="0"/>
        <w:jc w:val="center"/>
        <w:outlineLvl w:val="0"/>
        <w:rPr>
          <w:rFonts w:hint="eastAsia" w:ascii="黑体" w:hAnsi="黑体" w:eastAsia="黑体"/>
          <w:color w:val="000000"/>
          <w:sz w:val="44"/>
          <w:szCs w:val="44"/>
        </w:rPr>
      </w:pPr>
    </w:p>
    <w:p>
      <w:pPr>
        <w:pageBreakBefore w:val="0"/>
        <w:kinsoku/>
        <w:wordWrap/>
        <w:overflowPunct/>
        <w:topLinePunct w:val="0"/>
        <w:bidi w:val="0"/>
        <w:spacing w:line="590" w:lineRule="exact"/>
        <w:ind w:firstLine="0" w:firstLineChars="0"/>
        <w:jc w:val="center"/>
        <w:outlineLvl w:val="0"/>
        <w:rPr>
          <w:rStyle w:val="25"/>
          <w:rFonts w:ascii="黑体" w:hAnsi="黑体" w:eastAsia="黑体"/>
          <w:b w:val="0"/>
        </w:rPr>
      </w:pPr>
      <w:bookmarkStart w:id="178" w:name="_Toc19834_WPSOffice_Level1"/>
      <w:r>
        <w:rPr>
          <w:rFonts w:hint="eastAsia" w:ascii="黑体" w:hAnsi="黑体" w:eastAsia="黑体"/>
          <w:color w:val="000000"/>
          <w:sz w:val="44"/>
          <w:szCs w:val="44"/>
        </w:rPr>
        <w:t>第</w:t>
      </w:r>
      <w:r>
        <w:rPr>
          <w:rStyle w:val="25"/>
          <w:rFonts w:hint="eastAsia" w:ascii="黑体" w:hAnsi="黑体" w:eastAsia="黑体"/>
          <w:b w:val="0"/>
        </w:rPr>
        <w:t>五部分 附表</w:t>
      </w:r>
      <w:bookmarkEnd w:id="113"/>
      <w:bookmarkEnd w:id="177"/>
      <w:bookmarkEnd w:id="178"/>
    </w:p>
    <w:p>
      <w:pPr>
        <w:pageBreakBefore w:val="0"/>
        <w:kinsoku/>
        <w:wordWrap/>
        <w:overflowPunct/>
        <w:topLinePunct w:val="0"/>
        <w:bidi w:val="0"/>
        <w:spacing w:line="590" w:lineRule="exact"/>
        <w:ind w:firstLine="0" w:firstLineChars="0"/>
        <w:jc w:val="center"/>
        <w:outlineLvl w:val="0"/>
        <w:rPr>
          <w:rFonts w:ascii="仿宋" w:hAnsi="仿宋" w:eastAsia="仿宋"/>
          <w:b/>
          <w:color w:val="000000"/>
          <w:sz w:val="44"/>
          <w:szCs w:val="44"/>
        </w:rPr>
      </w:pPr>
    </w:p>
    <w:p>
      <w:pPr>
        <w:pStyle w:val="3"/>
        <w:bidi w:val="0"/>
        <w:rPr>
          <w:b w:val="0"/>
          <w:bCs w:val="0"/>
        </w:rPr>
      </w:pPr>
      <w:bookmarkStart w:id="179" w:name="_Toc15396619"/>
      <w:bookmarkStart w:id="180" w:name="_Toc3492_WPSOffice_Level2"/>
      <w:bookmarkStart w:id="181" w:name="_Toc19518_WPSOffice_Level2"/>
      <w:r>
        <w:rPr>
          <w:rFonts w:hint="eastAsia"/>
          <w:b w:val="0"/>
          <w:bCs w:val="0"/>
        </w:rPr>
        <w:t>一、收入支出决算总表</w:t>
      </w:r>
      <w:bookmarkEnd w:id="179"/>
      <w:bookmarkEnd w:id="180"/>
      <w:bookmarkEnd w:id="181"/>
    </w:p>
    <w:p>
      <w:pPr>
        <w:pStyle w:val="3"/>
        <w:bidi w:val="0"/>
        <w:rPr>
          <w:b w:val="0"/>
          <w:bCs w:val="0"/>
        </w:rPr>
      </w:pPr>
      <w:bookmarkStart w:id="182" w:name="_Toc15396620"/>
      <w:bookmarkStart w:id="183" w:name="_Toc1875_WPSOffice_Level2"/>
      <w:bookmarkStart w:id="184" w:name="_Toc1929_WPSOffice_Level2"/>
      <w:r>
        <w:rPr>
          <w:rFonts w:hint="eastAsia"/>
          <w:b w:val="0"/>
          <w:bCs w:val="0"/>
        </w:rPr>
        <w:t>二、收入决算表</w:t>
      </w:r>
      <w:bookmarkEnd w:id="182"/>
      <w:bookmarkEnd w:id="183"/>
      <w:bookmarkEnd w:id="184"/>
    </w:p>
    <w:p>
      <w:pPr>
        <w:pStyle w:val="3"/>
        <w:bidi w:val="0"/>
        <w:rPr>
          <w:b w:val="0"/>
          <w:bCs w:val="0"/>
        </w:rPr>
      </w:pPr>
      <w:bookmarkStart w:id="185" w:name="_Toc15396621"/>
      <w:bookmarkStart w:id="186" w:name="_Toc30031_WPSOffice_Level2"/>
      <w:bookmarkStart w:id="187" w:name="_Toc14624_WPSOffice_Level2"/>
      <w:r>
        <w:rPr>
          <w:rFonts w:hint="eastAsia"/>
          <w:b w:val="0"/>
          <w:bCs w:val="0"/>
        </w:rPr>
        <w:t>三、支出决算表</w:t>
      </w:r>
      <w:bookmarkEnd w:id="185"/>
      <w:bookmarkEnd w:id="186"/>
      <w:bookmarkEnd w:id="187"/>
    </w:p>
    <w:p>
      <w:pPr>
        <w:pStyle w:val="3"/>
        <w:bidi w:val="0"/>
        <w:rPr>
          <w:b w:val="0"/>
          <w:bCs w:val="0"/>
        </w:rPr>
      </w:pPr>
      <w:bookmarkStart w:id="188" w:name="_Toc15396622"/>
      <w:bookmarkStart w:id="189" w:name="_Toc4212_WPSOffice_Level2"/>
      <w:bookmarkStart w:id="190" w:name="_Toc3623_WPSOffice_Level2"/>
      <w:r>
        <w:rPr>
          <w:rFonts w:hint="eastAsia"/>
          <w:b w:val="0"/>
          <w:bCs w:val="0"/>
        </w:rPr>
        <w:t>四、财政拨款收入支出决算总表</w:t>
      </w:r>
      <w:bookmarkEnd w:id="188"/>
      <w:bookmarkEnd w:id="189"/>
      <w:bookmarkEnd w:id="190"/>
    </w:p>
    <w:p>
      <w:pPr>
        <w:pStyle w:val="3"/>
        <w:bidi w:val="0"/>
        <w:rPr>
          <w:b w:val="0"/>
          <w:bCs w:val="0"/>
        </w:rPr>
      </w:pPr>
      <w:bookmarkStart w:id="191" w:name="_Toc15396623"/>
      <w:bookmarkStart w:id="192" w:name="_Toc27947_WPSOffice_Level2"/>
      <w:bookmarkStart w:id="193" w:name="_Toc21795_WPSOffice_Level2"/>
      <w:r>
        <w:rPr>
          <w:rFonts w:hint="eastAsia"/>
          <w:b w:val="0"/>
          <w:bCs w:val="0"/>
        </w:rPr>
        <w:t>五、财政拨款支出决算明细表</w:t>
      </w:r>
      <w:bookmarkEnd w:id="191"/>
      <w:bookmarkEnd w:id="192"/>
      <w:bookmarkEnd w:id="193"/>
      <w:bookmarkStart w:id="194" w:name="_Toc15396624"/>
    </w:p>
    <w:p>
      <w:pPr>
        <w:pStyle w:val="3"/>
        <w:bidi w:val="0"/>
        <w:rPr>
          <w:b w:val="0"/>
          <w:bCs w:val="0"/>
        </w:rPr>
      </w:pPr>
      <w:bookmarkStart w:id="195" w:name="_Toc29764_WPSOffice_Level2"/>
      <w:bookmarkStart w:id="196" w:name="_Toc30974_WPSOffice_Level2"/>
      <w:bookmarkStart w:id="197" w:name="_Toc25513_WPSOffice_Level2"/>
      <w:r>
        <w:rPr>
          <w:rFonts w:hint="eastAsia"/>
          <w:b w:val="0"/>
          <w:bCs w:val="0"/>
        </w:rPr>
        <w:t>六、一般公共预算财政拨款支出决算表</w:t>
      </w:r>
      <w:bookmarkEnd w:id="194"/>
      <w:bookmarkEnd w:id="195"/>
      <w:bookmarkEnd w:id="196"/>
      <w:bookmarkEnd w:id="197"/>
    </w:p>
    <w:p>
      <w:pPr>
        <w:pStyle w:val="3"/>
        <w:bidi w:val="0"/>
        <w:rPr>
          <w:b w:val="0"/>
          <w:bCs w:val="0"/>
        </w:rPr>
      </w:pPr>
      <w:bookmarkStart w:id="198" w:name="_Toc15396625"/>
      <w:bookmarkStart w:id="199" w:name="_Toc20528_WPSOffice_Level2"/>
      <w:bookmarkStart w:id="200" w:name="_Toc119_WPSOffice_Level2"/>
      <w:bookmarkStart w:id="201" w:name="_Toc11414_WPSOffice_Level2"/>
      <w:r>
        <w:rPr>
          <w:rFonts w:hint="eastAsia"/>
          <w:b w:val="0"/>
          <w:bCs w:val="0"/>
        </w:rPr>
        <w:t>七、一般公共预算财政拨款支出决算明细表</w:t>
      </w:r>
      <w:bookmarkEnd w:id="198"/>
      <w:bookmarkEnd w:id="199"/>
      <w:bookmarkEnd w:id="200"/>
      <w:bookmarkEnd w:id="201"/>
    </w:p>
    <w:p>
      <w:pPr>
        <w:pStyle w:val="3"/>
        <w:bidi w:val="0"/>
        <w:rPr>
          <w:b w:val="0"/>
          <w:bCs w:val="0"/>
        </w:rPr>
      </w:pPr>
      <w:bookmarkStart w:id="202" w:name="_Toc15396626"/>
      <w:bookmarkStart w:id="203" w:name="_Toc19956_WPSOffice_Level2"/>
      <w:bookmarkStart w:id="204" w:name="_Toc21630_WPSOffice_Level2"/>
      <w:bookmarkStart w:id="205" w:name="_Toc22403_WPSOffice_Level2"/>
      <w:r>
        <w:rPr>
          <w:rFonts w:hint="eastAsia"/>
          <w:b w:val="0"/>
          <w:bCs w:val="0"/>
        </w:rPr>
        <w:t>八、一般公共预算财政拨款基本支出决算表</w:t>
      </w:r>
      <w:bookmarkEnd w:id="202"/>
      <w:bookmarkEnd w:id="203"/>
      <w:bookmarkEnd w:id="204"/>
      <w:bookmarkEnd w:id="205"/>
    </w:p>
    <w:p>
      <w:pPr>
        <w:pStyle w:val="3"/>
        <w:bidi w:val="0"/>
        <w:rPr>
          <w:b w:val="0"/>
          <w:bCs w:val="0"/>
        </w:rPr>
      </w:pPr>
      <w:bookmarkStart w:id="206" w:name="_Toc15396627"/>
      <w:bookmarkStart w:id="207" w:name="_Toc12414_WPSOffice_Level2"/>
      <w:bookmarkStart w:id="208" w:name="_Toc24195_WPSOffice_Level2"/>
      <w:bookmarkStart w:id="209" w:name="_Toc23572_WPSOffice_Level2"/>
      <w:r>
        <w:rPr>
          <w:rFonts w:hint="eastAsia"/>
          <w:b w:val="0"/>
          <w:bCs w:val="0"/>
        </w:rPr>
        <w:t>九、一般公共预算财政拨款项目支出决算表</w:t>
      </w:r>
      <w:bookmarkEnd w:id="206"/>
      <w:bookmarkEnd w:id="207"/>
      <w:bookmarkEnd w:id="208"/>
      <w:bookmarkEnd w:id="209"/>
    </w:p>
    <w:p>
      <w:pPr>
        <w:pStyle w:val="3"/>
        <w:bidi w:val="0"/>
        <w:rPr>
          <w:b w:val="0"/>
          <w:bCs w:val="0"/>
        </w:rPr>
      </w:pPr>
      <w:bookmarkStart w:id="210" w:name="_Toc1043_WPSOffice_Level2"/>
      <w:bookmarkStart w:id="211" w:name="_Toc15396628"/>
      <w:bookmarkStart w:id="212" w:name="_Toc7644_WPSOffice_Level2"/>
      <w:bookmarkStart w:id="213" w:name="_Toc15114_WPSOffice_Level2"/>
      <w:r>
        <w:rPr>
          <w:rFonts w:hint="eastAsia"/>
          <w:b w:val="0"/>
          <w:bCs w:val="0"/>
        </w:rPr>
        <w:t>十、一般公共预算财政拨款“三公”经费支出决算表</w:t>
      </w:r>
      <w:bookmarkEnd w:id="210"/>
      <w:bookmarkEnd w:id="211"/>
      <w:bookmarkEnd w:id="212"/>
      <w:bookmarkEnd w:id="213"/>
    </w:p>
    <w:p>
      <w:pPr>
        <w:pStyle w:val="3"/>
        <w:bidi w:val="0"/>
        <w:rPr>
          <w:b w:val="0"/>
          <w:bCs w:val="0"/>
        </w:rPr>
      </w:pPr>
      <w:bookmarkStart w:id="214" w:name="_Toc15396629"/>
      <w:bookmarkStart w:id="215" w:name="_Toc11175_WPSOffice_Level2"/>
      <w:bookmarkStart w:id="216" w:name="_Toc14474_WPSOffice_Level2"/>
      <w:bookmarkStart w:id="217" w:name="_Toc8731_WPSOffice_Level2"/>
      <w:r>
        <w:rPr>
          <w:rFonts w:hint="eastAsia"/>
          <w:b w:val="0"/>
          <w:bCs w:val="0"/>
        </w:rPr>
        <w:t>十一、政府性基金预算财政拨款收入支出决算表</w:t>
      </w:r>
      <w:bookmarkEnd w:id="214"/>
      <w:bookmarkEnd w:id="215"/>
      <w:bookmarkEnd w:id="216"/>
      <w:bookmarkEnd w:id="217"/>
    </w:p>
    <w:p>
      <w:pPr>
        <w:pStyle w:val="3"/>
        <w:bidi w:val="0"/>
        <w:rPr>
          <w:b w:val="0"/>
          <w:bCs w:val="0"/>
        </w:rPr>
      </w:pPr>
      <w:bookmarkStart w:id="218" w:name="_Toc15396630"/>
      <w:bookmarkStart w:id="219" w:name="_Toc21025_WPSOffice_Level2"/>
      <w:bookmarkStart w:id="220" w:name="_Toc19329_WPSOffice_Level2"/>
      <w:bookmarkStart w:id="221" w:name="_Toc17215_WPSOffice_Level2"/>
      <w:r>
        <w:rPr>
          <w:rFonts w:hint="eastAsia"/>
          <w:b w:val="0"/>
          <w:bCs w:val="0"/>
        </w:rPr>
        <w:t>十二、政府性基金预算财政拨款“三公”经费支出决算表</w:t>
      </w:r>
      <w:bookmarkEnd w:id="218"/>
      <w:bookmarkEnd w:id="219"/>
      <w:bookmarkEnd w:id="220"/>
      <w:bookmarkEnd w:id="221"/>
    </w:p>
    <w:p>
      <w:pPr>
        <w:pStyle w:val="3"/>
        <w:bidi w:val="0"/>
        <w:rPr>
          <w:b w:val="0"/>
          <w:bCs w:val="0"/>
        </w:rPr>
      </w:pPr>
      <w:bookmarkStart w:id="222" w:name="_Toc15396631"/>
      <w:bookmarkStart w:id="223" w:name="_Toc14978_WPSOffice_Level2"/>
      <w:bookmarkStart w:id="224" w:name="_Toc25090_WPSOffice_Level2"/>
      <w:bookmarkStart w:id="225" w:name="_Toc30267_WPSOffice_Level2"/>
      <w:r>
        <w:rPr>
          <w:rFonts w:hint="eastAsia"/>
          <w:b w:val="0"/>
          <w:bCs w:val="0"/>
        </w:rPr>
        <w:t>十三、国有资本经营预算支出决算表</w:t>
      </w:r>
      <w:bookmarkEnd w:id="222"/>
      <w:bookmarkEnd w:id="223"/>
      <w:bookmarkEnd w:id="224"/>
      <w:bookmarkEnd w:id="225"/>
    </w:p>
    <w:sectPr>
      <w:headerReference r:id="rId3" w:type="default"/>
      <w:footerReference r:id="rId4" w:type="default"/>
      <w:pgSz w:w="11906" w:h="16838"/>
      <w:pgMar w:top="400" w:right="1800" w:bottom="898"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8"/>
          <w:jc w:val="center"/>
        </w:pPr>
        <w:r>
          <w:fldChar w:fldCharType="begin"/>
        </w:r>
        <w:r>
          <w:instrText xml:space="preserve">PAGE   \* MERGEFORMAT</w:instrText>
        </w:r>
        <w:r>
          <w:fldChar w:fldCharType="separate"/>
        </w:r>
        <w:r>
          <w:rPr>
            <w:lang w:val="zh-CN"/>
          </w:rPr>
          <w:t>22</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2AACBA"/>
    <w:multiLevelType w:val="singleLevel"/>
    <w:tmpl w:val="C02AACBA"/>
    <w:lvl w:ilvl="0" w:tentative="0">
      <w:start w:val="1"/>
      <w:numFmt w:val="chineseCounting"/>
      <w:suff w:val="nothing"/>
      <w:lvlText w:val="%1、"/>
      <w:lvlJc w:val="left"/>
      <w:pPr>
        <w:ind w:left="400" w:leftChars="0" w:firstLine="0" w:firstLineChars="0"/>
      </w:pPr>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DFD801B5"/>
    <w:multiLevelType w:val="singleLevel"/>
    <w:tmpl w:val="DFD801B5"/>
    <w:lvl w:ilvl="0" w:tentative="0">
      <w:start w:val="1"/>
      <w:numFmt w:val="decimal"/>
      <w:lvlText w:val="%1."/>
      <w:lvlJc w:val="left"/>
      <w:pPr>
        <w:ind w:left="639" w:hanging="425"/>
      </w:pPr>
      <w:rPr>
        <w:rFonts w:hint="default" w:ascii="仿宋" w:hAnsi="仿宋" w:eastAsia="仿宋" w:cs="仿宋"/>
        <w:sz w:val="32"/>
        <w:szCs w:val="32"/>
      </w:rPr>
    </w:lvl>
  </w:abstractNum>
  <w:abstractNum w:abstractNumId="3">
    <w:nsid w:val="E2FA047D"/>
    <w:multiLevelType w:val="singleLevel"/>
    <w:tmpl w:val="E2FA047D"/>
    <w:lvl w:ilvl="0" w:tentative="0">
      <w:start w:val="3"/>
      <w:numFmt w:val="chineseCounting"/>
      <w:suff w:val="space"/>
      <w:lvlText w:val="第%1部分"/>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40AF3955"/>
    <w:multiLevelType w:val="singleLevel"/>
    <w:tmpl w:val="40AF3955"/>
    <w:lvl w:ilvl="0" w:tentative="0">
      <w:start w:val="2"/>
      <w:numFmt w:val="chineseCounting"/>
      <w:suff w:val="nothing"/>
      <w:lvlText w:val="（%1）"/>
      <w:lvlJc w:val="left"/>
      <w:rPr>
        <w:rFonts w:hint="eastAsia"/>
      </w:rPr>
    </w:lvl>
  </w:abstractNum>
  <w:num w:numId="1">
    <w:abstractNumId w:val="0"/>
  </w:num>
  <w:num w:numId="2">
    <w:abstractNumId w:val="2"/>
  </w:num>
  <w:num w:numId="3">
    <w:abstractNumId w:val="4"/>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19B0"/>
    <w:rsid w:val="002D1CE6"/>
    <w:rsid w:val="002D6D05"/>
    <w:rsid w:val="002F1818"/>
    <w:rsid w:val="002F567B"/>
    <w:rsid w:val="003073E1"/>
    <w:rsid w:val="003216A9"/>
    <w:rsid w:val="00335A74"/>
    <w:rsid w:val="003363AF"/>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3880"/>
    <w:rsid w:val="004464F4"/>
    <w:rsid w:val="0045119F"/>
    <w:rsid w:val="00471401"/>
    <w:rsid w:val="00473F31"/>
    <w:rsid w:val="0048263A"/>
    <w:rsid w:val="00487E5D"/>
    <w:rsid w:val="004A711F"/>
    <w:rsid w:val="004B199D"/>
    <w:rsid w:val="004B4690"/>
    <w:rsid w:val="004E0A2D"/>
    <w:rsid w:val="004E206B"/>
    <w:rsid w:val="004E6DF7"/>
    <w:rsid w:val="004F0FBD"/>
    <w:rsid w:val="004F403E"/>
    <w:rsid w:val="00505A47"/>
    <w:rsid w:val="00512FDA"/>
    <w:rsid w:val="00520DA0"/>
    <w:rsid w:val="005664BB"/>
    <w:rsid w:val="00566FFA"/>
    <w:rsid w:val="0057481D"/>
    <w:rsid w:val="00575F0B"/>
    <w:rsid w:val="0058486E"/>
    <w:rsid w:val="00585B33"/>
    <w:rsid w:val="0059014D"/>
    <w:rsid w:val="005B5C64"/>
    <w:rsid w:val="005C6BD0"/>
    <w:rsid w:val="005C6C4C"/>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7533"/>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77C6"/>
    <w:rsid w:val="007F1991"/>
    <w:rsid w:val="007F2C2F"/>
    <w:rsid w:val="007F55FC"/>
    <w:rsid w:val="007F5665"/>
    <w:rsid w:val="00800112"/>
    <w:rsid w:val="00813348"/>
    <w:rsid w:val="008253BB"/>
    <w:rsid w:val="00833962"/>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0BDA"/>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2949"/>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91577"/>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D8212E"/>
    <w:rsid w:val="02296272"/>
    <w:rsid w:val="02BA5BD5"/>
    <w:rsid w:val="02C952E9"/>
    <w:rsid w:val="038A1E1B"/>
    <w:rsid w:val="04087F1A"/>
    <w:rsid w:val="06762A8C"/>
    <w:rsid w:val="06A60F35"/>
    <w:rsid w:val="07336CF6"/>
    <w:rsid w:val="078A370D"/>
    <w:rsid w:val="07B71371"/>
    <w:rsid w:val="07C759CB"/>
    <w:rsid w:val="0803712A"/>
    <w:rsid w:val="082217BA"/>
    <w:rsid w:val="083F6193"/>
    <w:rsid w:val="08DD31A8"/>
    <w:rsid w:val="0A304669"/>
    <w:rsid w:val="0A7D2639"/>
    <w:rsid w:val="0AB2674C"/>
    <w:rsid w:val="0B3869EF"/>
    <w:rsid w:val="0B563E83"/>
    <w:rsid w:val="0C4445B3"/>
    <w:rsid w:val="0C684740"/>
    <w:rsid w:val="0CD77799"/>
    <w:rsid w:val="0CF264AB"/>
    <w:rsid w:val="0D9F43D4"/>
    <w:rsid w:val="0DE24501"/>
    <w:rsid w:val="0DEE470A"/>
    <w:rsid w:val="0E1C02D4"/>
    <w:rsid w:val="0E9E2A0C"/>
    <w:rsid w:val="0EE366B1"/>
    <w:rsid w:val="0F4917BE"/>
    <w:rsid w:val="0F5B6645"/>
    <w:rsid w:val="0F956A7D"/>
    <w:rsid w:val="108E62E3"/>
    <w:rsid w:val="10B90136"/>
    <w:rsid w:val="10C055FF"/>
    <w:rsid w:val="10EE0249"/>
    <w:rsid w:val="10FE65AF"/>
    <w:rsid w:val="1165702C"/>
    <w:rsid w:val="118933A0"/>
    <w:rsid w:val="1217668E"/>
    <w:rsid w:val="1269752E"/>
    <w:rsid w:val="12E16766"/>
    <w:rsid w:val="13257AA1"/>
    <w:rsid w:val="137C402B"/>
    <w:rsid w:val="13D931C7"/>
    <w:rsid w:val="13F801D1"/>
    <w:rsid w:val="14445E26"/>
    <w:rsid w:val="15B75580"/>
    <w:rsid w:val="16BB723D"/>
    <w:rsid w:val="16DA25D6"/>
    <w:rsid w:val="17354E8D"/>
    <w:rsid w:val="17484762"/>
    <w:rsid w:val="17DA5049"/>
    <w:rsid w:val="1897722E"/>
    <w:rsid w:val="18D031BC"/>
    <w:rsid w:val="19557334"/>
    <w:rsid w:val="197374BE"/>
    <w:rsid w:val="19A15A53"/>
    <w:rsid w:val="19D83CA4"/>
    <w:rsid w:val="1A1B669F"/>
    <w:rsid w:val="1A7C3A15"/>
    <w:rsid w:val="1A852D99"/>
    <w:rsid w:val="1ABE4A71"/>
    <w:rsid w:val="1B267404"/>
    <w:rsid w:val="1B3244EB"/>
    <w:rsid w:val="1B614C7E"/>
    <w:rsid w:val="1C671909"/>
    <w:rsid w:val="1C85633C"/>
    <w:rsid w:val="1EA5451F"/>
    <w:rsid w:val="1F05131B"/>
    <w:rsid w:val="1FB2370F"/>
    <w:rsid w:val="1FE12D91"/>
    <w:rsid w:val="227E46AE"/>
    <w:rsid w:val="232B03D1"/>
    <w:rsid w:val="235E168A"/>
    <w:rsid w:val="240371BF"/>
    <w:rsid w:val="2405487C"/>
    <w:rsid w:val="249007AC"/>
    <w:rsid w:val="24B06311"/>
    <w:rsid w:val="24BE790D"/>
    <w:rsid w:val="24CF35B7"/>
    <w:rsid w:val="2614753A"/>
    <w:rsid w:val="264F52CB"/>
    <w:rsid w:val="26BD0E3A"/>
    <w:rsid w:val="26C35956"/>
    <w:rsid w:val="26CB22A0"/>
    <w:rsid w:val="276A1F60"/>
    <w:rsid w:val="27711FF4"/>
    <w:rsid w:val="27C0350D"/>
    <w:rsid w:val="28874482"/>
    <w:rsid w:val="28AE2928"/>
    <w:rsid w:val="28DA2A7E"/>
    <w:rsid w:val="28FA38DD"/>
    <w:rsid w:val="295B2C1F"/>
    <w:rsid w:val="29FD04D3"/>
    <w:rsid w:val="2A116476"/>
    <w:rsid w:val="2ACA1D70"/>
    <w:rsid w:val="2B37562C"/>
    <w:rsid w:val="2B545F40"/>
    <w:rsid w:val="2B9B0070"/>
    <w:rsid w:val="2BA15758"/>
    <w:rsid w:val="2BDE05B4"/>
    <w:rsid w:val="2C11617A"/>
    <w:rsid w:val="2D211CC1"/>
    <w:rsid w:val="2DBD67A7"/>
    <w:rsid w:val="2E146666"/>
    <w:rsid w:val="2E170CDF"/>
    <w:rsid w:val="2E316985"/>
    <w:rsid w:val="2E6B411F"/>
    <w:rsid w:val="2E947FC6"/>
    <w:rsid w:val="2F6545DD"/>
    <w:rsid w:val="2FD407F3"/>
    <w:rsid w:val="30366D34"/>
    <w:rsid w:val="307D79D9"/>
    <w:rsid w:val="308E0CB1"/>
    <w:rsid w:val="30D05221"/>
    <w:rsid w:val="310B316C"/>
    <w:rsid w:val="31521DF7"/>
    <w:rsid w:val="316972B0"/>
    <w:rsid w:val="319F7F4E"/>
    <w:rsid w:val="31A11690"/>
    <w:rsid w:val="31DF2D8A"/>
    <w:rsid w:val="31EC4A9B"/>
    <w:rsid w:val="32591A0B"/>
    <w:rsid w:val="326E2D08"/>
    <w:rsid w:val="32A26E38"/>
    <w:rsid w:val="330D2DCF"/>
    <w:rsid w:val="331513AF"/>
    <w:rsid w:val="335849CD"/>
    <w:rsid w:val="337B7103"/>
    <w:rsid w:val="346B3127"/>
    <w:rsid w:val="34FA1A71"/>
    <w:rsid w:val="35A7448B"/>
    <w:rsid w:val="35B7186E"/>
    <w:rsid w:val="365266D1"/>
    <w:rsid w:val="369462FC"/>
    <w:rsid w:val="36C27A40"/>
    <w:rsid w:val="36C47011"/>
    <w:rsid w:val="372D34DD"/>
    <w:rsid w:val="38632115"/>
    <w:rsid w:val="395F2472"/>
    <w:rsid w:val="39D34CBF"/>
    <w:rsid w:val="3A553852"/>
    <w:rsid w:val="3AD65F81"/>
    <w:rsid w:val="3B1264D2"/>
    <w:rsid w:val="3B582771"/>
    <w:rsid w:val="3C480271"/>
    <w:rsid w:val="3C740B62"/>
    <w:rsid w:val="3CCF5FD3"/>
    <w:rsid w:val="3CE67B42"/>
    <w:rsid w:val="3CEE31D6"/>
    <w:rsid w:val="3D1602FC"/>
    <w:rsid w:val="3DBC3708"/>
    <w:rsid w:val="3EA237A8"/>
    <w:rsid w:val="3EA53895"/>
    <w:rsid w:val="4112453C"/>
    <w:rsid w:val="4124604D"/>
    <w:rsid w:val="4125451C"/>
    <w:rsid w:val="41276886"/>
    <w:rsid w:val="41A76844"/>
    <w:rsid w:val="41BF5E9B"/>
    <w:rsid w:val="42457184"/>
    <w:rsid w:val="433559B7"/>
    <w:rsid w:val="434915FE"/>
    <w:rsid w:val="435F6E58"/>
    <w:rsid w:val="4424510E"/>
    <w:rsid w:val="443D530B"/>
    <w:rsid w:val="449D6073"/>
    <w:rsid w:val="44EF0002"/>
    <w:rsid w:val="456906B7"/>
    <w:rsid w:val="458176F1"/>
    <w:rsid w:val="45FC4987"/>
    <w:rsid w:val="460B2CF7"/>
    <w:rsid w:val="46483A62"/>
    <w:rsid w:val="4652275F"/>
    <w:rsid w:val="4854796C"/>
    <w:rsid w:val="48775A53"/>
    <w:rsid w:val="48C12965"/>
    <w:rsid w:val="495C71D8"/>
    <w:rsid w:val="4A3C505E"/>
    <w:rsid w:val="4A6B6336"/>
    <w:rsid w:val="4AD8654F"/>
    <w:rsid w:val="4AE366B1"/>
    <w:rsid w:val="4B68005E"/>
    <w:rsid w:val="4BC5575B"/>
    <w:rsid w:val="4D166525"/>
    <w:rsid w:val="4D83787F"/>
    <w:rsid w:val="4D873972"/>
    <w:rsid w:val="4E3F2E54"/>
    <w:rsid w:val="4ECE2238"/>
    <w:rsid w:val="4ED23BB5"/>
    <w:rsid w:val="4F0611CB"/>
    <w:rsid w:val="501962C7"/>
    <w:rsid w:val="508C556A"/>
    <w:rsid w:val="50C53036"/>
    <w:rsid w:val="50D14F49"/>
    <w:rsid w:val="512F01CF"/>
    <w:rsid w:val="52D34EE6"/>
    <w:rsid w:val="52DD62E4"/>
    <w:rsid w:val="52FF3E26"/>
    <w:rsid w:val="536B1FF6"/>
    <w:rsid w:val="539D337C"/>
    <w:rsid w:val="53BF3255"/>
    <w:rsid w:val="53CA25E9"/>
    <w:rsid w:val="53E63652"/>
    <w:rsid w:val="53FE766E"/>
    <w:rsid w:val="54B447E9"/>
    <w:rsid w:val="555762E0"/>
    <w:rsid w:val="55B2709D"/>
    <w:rsid w:val="55F77A5F"/>
    <w:rsid w:val="561A7C64"/>
    <w:rsid w:val="56480BB0"/>
    <w:rsid w:val="567E3B7F"/>
    <w:rsid w:val="579100E6"/>
    <w:rsid w:val="589030B9"/>
    <w:rsid w:val="598D623C"/>
    <w:rsid w:val="59DD4012"/>
    <w:rsid w:val="5A5F77AC"/>
    <w:rsid w:val="5A887964"/>
    <w:rsid w:val="5A961A2C"/>
    <w:rsid w:val="5ABD7399"/>
    <w:rsid w:val="5AD045EB"/>
    <w:rsid w:val="5BE56C17"/>
    <w:rsid w:val="5CAD1AB2"/>
    <w:rsid w:val="5D5225A3"/>
    <w:rsid w:val="5D813007"/>
    <w:rsid w:val="5DE44B85"/>
    <w:rsid w:val="5E1A5091"/>
    <w:rsid w:val="5FAE717B"/>
    <w:rsid w:val="5FCF3C90"/>
    <w:rsid w:val="601603A4"/>
    <w:rsid w:val="60992340"/>
    <w:rsid w:val="60E625F2"/>
    <w:rsid w:val="615264E8"/>
    <w:rsid w:val="61706BEF"/>
    <w:rsid w:val="62E133C4"/>
    <w:rsid w:val="62FC3468"/>
    <w:rsid w:val="63D27012"/>
    <w:rsid w:val="64331D78"/>
    <w:rsid w:val="6442368F"/>
    <w:rsid w:val="65D61B8A"/>
    <w:rsid w:val="661E312B"/>
    <w:rsid w:val="661F6144"/>
    <w:rsid w:val="6691578A"/>
    <w:rsid w:val="678E7759"/>
    <w:rsid w:val="67C40E79"/>
    <w:rsid w:val="680A74CF"/>
    <w:rsid w:val="688D06D5"/>
    <w:rsid w:val="68A622E7"/>
    <w:rsid w:val="691335F8"/>
    <w:rsid w:val="6A1F641E"/>
    <w:rsid w:val="6B1B5396"/>
    <w:rsid w:val="6B406DB5"/>
    <w:rsid w:val="6B5E35C7"/>
    <w:rsid w:val="6B5E66D0"/>
    <w:rsid w:val="6BD75FF6"/>
    <w:rsid w:val="6C00057C"/>
    <w:rsid w:val="6C07037C"/>
    <w:rsid w:val="6CAB05EE"/>
    <w:rsid w:val="6CCA42F4"/>
    <w:rsid w:val="6D1C7EFD"/>
    <w:rsid w:val="6D767F75"/>
    <w:rsid w:val="6DE7734E"/>
    <w:rsid w:val="6E4A2BC6"/>
    <w:rsid w:val="6E4D5BC2"/>
    <w:rsid w:val="6E7E4A4C"/>
    <w:rsid w:val="6EAE3EAD"/>
    <w:rsid w:val="6EBF5FE2"/>
    <w:rsid w:val="6EFB1F10"/>
    <w:rsid w:val="6FDC7C99"/>
    <w:rsid w:val="6FEC3F69"/>
    <w:rsid w:val="70B9204D"/>
    <w:rsid w:val="70D87655"/>
    <w:rsid w:val="715561DC"/>
    <w:rsid w:val="7194018D"/>
    <w:rsid w:val="71D6254D"/>
    <w:rsid w:val="72453986"/>
    <w:rsid w:val="72734D90"/>
    <w:rsid w:val="737B211A"/>
    <w:rsid w:val="73BF3DA1"/>
    <w:rsid w:val="74C24F63"/>
    <w:rsid w:val="74F156F6"/>
    <w:rsid w:val="75501E9C"/>
    <w:rsid w:val="76162644"/>
    <w:rsid w:val="773D4998"/>
    <w:rsid w:val="779C3E7C"/>
    <w:rsid w:val="77C514FD"/>
    <w:rsid w:val="78584158"/>
    <w:rsid w:val="78A01365"/>
    <w:rsid w:val="793D5517"/>
    <w:rsid w:val="793E79B6"/>
    <w:rsid w:val="7A3F01BB"/>
    <w:rsid w:val="7A47229B"/>
    <w:rsid w:val="7A580A19"/>
    <w:rsid w:val="7A6759AF"/>
    <w:rsid w:val="7AFC7948"/>
    <w:rsid w:val="7B587316"/>
    <w:rsid w:val="7BC7135C"/>
    <w:rsid w:val="7C916044"/>
    <w:rsid w:val="7CA244EC"/>
    <w:rsid w:val="7CAE022F"/>
    <w:rsid w:val="7E1647C4"/>
    <w:rsid w:val="7E8704F1"/>
    <w:rsid w:val="7EA43EA4"/>
    <w:rsid w:val="7F365E2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Emphasis"/>
    <w:basedOn w:val="13"/>
    <w:qFormat/>
    <w:uiPriority w:val="20"/>
    <w:rPr>
      <w:i/>
    </w:rPr>
  </w:style>
  <w:style w:type="character" w:styleId="16">
    <w:name w:val="Hyperlink"/>
    <w:basedOn w:val="13"/>
    <w:unhideWhenUsed/>
    <w:qFormat/>
    <w:uiPriority w:val="99"/>
    <w:rPr>
      <w:color w:val="0000FF" w:themeColor="hyperlink"/>
      <w:u w:val="single"/>
      <w14:textFill>
        <w14:solidFill>
          <w14:schemeClr w14:val="hlink"/>
        </w14:solidFill>
      </w14:textFill>
    </w:rPr>
  </w:style>
  <w:style w:type="character" w:customStyle="1" w:styleId="17">
    <w:name w:val="Header Char"/>
    <w:basedOn w:val="13"/>
    <w:semiHidden/>
    <w:qFormat/>
    <w:uiPriority w:val="99"/>
    <w:rPr>
      <w:rFonts w:ascii="Times New Roman" w:hAnsi="Times New Roman"/>
      <w:sz w:val="18"/>
      <w:szCs w:val="18"/>
    </w:rPr>
  </w:style>
  <w:style w:type="character" w:customStyle="1" w:styleId="18">
    <w:name w:val="页眉 字符"/>
    <w:link w:val="9"/>
    <w:semiHidden/>
    <w:qFormat/>
    <w:locked/>
    <w:uiPriority w:val="99"/>
    <w:rPr>
      <w:sz w:val="18"/>
    </w:rPr>
  </w:style>
  <w:style w:type="character" w:customStyle="1" w:styleId="19">
    <w:name w:val="Footer Char"/>
    <w:basedOn w:val="13"/>
    <w:semiHidden/>
    <w:qFormat/>
    <w:uiPriority w:val="99"/>
    <w:rPr>
      <w:rFonts w:ascii="Times New Roman" w:hAnsi="Times New Roman"/>
      <w:sz w:val="18"/>
      <w:szCs w:val="18"/>
    </w:rPr>
  </w:style>
  <w:style w:type="character" w:customStyle="1" w:styleId="20">
    <w:name w:val="页脚 字符"/>
    <w:link w:val="8"/>
    <w:qFormat/>
    <w:locked/>
    <w:uiPriority w:val="99"/>
    <w:rPr>
      <w:sz w:val="18"/>
    </w:rPr>
  </w:style>
  <w:style w:type="character" w:customStyle="1" w:styleId="21">
    <w:name w:val="Body Text Char"/>
    <w:basedOn w:val="13"/>
    <w:semiHidden/>
    <w:qFormat/>
    <w:uiPriority w:val="99"/>
    <w:rPr>
      <w:rFonts w:ascii="Times New Roman" w:hAnsi="Times New Roman"/>
      <w:szCs w:val="24"/>
    </w:rPr>
  </w:style>
  <w:style w:type="character" w:customStyle="1" w:styleId="22">
    <w:name w:val="正文文本 字符"/>
    <w:link w:val="5"/>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字符"/>
    <w:basedOn w:val="13"/>
    <w:link w:val="2"/>
    <w:qFormat/>
    <w:uiPriority w:val="9"/>
    <w:rPr>
      <w:rFonts w:ascii="Times New Roman" w:hAnsi="Times New Roman"/>
      <w:b/>
      <w:bCs/>
      <w:kern w:val="44"/>
      <w:sz w:val="44"/>
      <w:szCs w:val="44"/>
    </w:rPr>
  </w:style>
  <w:style w:type="character" w:customStyle="1" w:styleId="26">
    <w:name w:val="标题 2 字符"/>
    <w:basedOn w:val="13"/>
    <w:link w:val="3"/>
    <w:qFormat/>
    <w:uiPriority w:val="9"/>
    <w:rPr>
      <w:rFonts w:asciiTheme="majorHAnsi" w:hAnsiTheme="majorHAnsi" w:eastAsiaTheme="majorEastAsia" w:cstheme="majorBidi"/>
      <w:b/>
      <w:bCs/>
      <w:kern w:val="2"/>
      <w:sz w:val="32"/>
      <w:szCs w:val="32"/>
    </w:rPr>
  </w:style>
  <w:style w:type="paragraph" w:customStyle="1" w:styleId="27">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字符"/>
    <w:basedOn w:val="13"/>
    <w:link w:val="7"/>
    <w:semiHidden/>
    <w:qFormat/>
    <w:uiPriority w:val="99"/>
    <w:rPr>
      <w:rFonts w:ascii="Times New Roman" w:hAnsi="Times New Roman"/>
      <w:kern w:val="2"/>
      <w:sz w:val="18"/>
      <w:szCs w:val="18"/>
    </w:rPr>
  </w:style>
  <w:style w:type="character" w:customStyle="1" w:styleId="29">
    <w:name w:val="标题 3 字符"/>
    <w:basedOn w:val="13"/>
    <w:link w:val="4"/>
    <w:qFormat/>
    <w:uiPriority w:val="9"/>
    <w:rPr>
      <w:rFonts w:ascii="Times New Roman" w:hAnsi="Times New Roman"/>
      <w:b/>
      <w:bCs/>
      <w:kern w:val="2"/>
      <w:sz w:val="32"/>
      <w:szCs w:val="32"/>
    </w:rPr>
  </w:style>
  <w:style w:type="paragraph" w:customStyle="1" w:styleId="30">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NormalCharacter"/>
    <w:qFormat/>
    <w:uiPriority w:val="0"/>
  </w:style>
  <w:style w:type="paragraph" w:customStyle="1" w:styleId="32">
    <w:name w:val="WPSOffice手动目录 1"/>
    <w:qFormat/>
    <w:uiPriority w:val="0"/>
    <w:pPr>
      <w:ind w:leftChars="0"/>
    </w:pPr>
    <w:rPr>
      <w:rFonts w:ascii="Times New Roman" w:hAnsi="Times New Roman" w:eastAsia="宋体" w:cs="Times New Roman"/>
      <w:sz w:val="20"/>
      <w:szCs w:val="20"/>
    </w:rPr>
  </w:style>
  <w:style w:type="paragraph" w:customStyle="1" w:styleId="33">
    <w:name w:val="WPSOffice手动目录 2"/>
    <w:qFormat/>
    <w:uiPriority w:val="0"/>
    <w:pPr>
      <w:ind w:leftChars="200"/>
    </w:pPr>
    <w:rPr>
      <w:rFonts w:ascii="Times New Roman" w:hAnsi="Times New Roman" w:eastAsia="宋体" w:cs="Times New Roman"/>
      <w:sz w:val="20"/>
      <w:szCs w:val="20"/>
    </w:rPr>
  </w:style>
  <w:style w:type="paragraph" w:customStyle="1" w:styleId="34">
    <w:name w:val="四号正文"/>
    <w:basedOn w:val="1"/>
    <w:qFormat/>
    <w:uiPriority w:val="0"/>
    <w:pPr>
      <w:spacing w:line="360" w:lineRule="auto"/>
    </w:pPr>
    <w:rPr>
      <w:rFonts w:ascii="??" w:hAnsi="??" w:eastAsia="宋体"/>
      <w:color w:val="000000"/>
      <w:kern w:val="0"/>
      <w:sz w:val="28"/>
      <w:szCs w:val="21"/>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glossaryDocument" Target="glossary/document.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G:\&#39044;&#20915;&#31639;\2019&#24180;&#20915;&#31639;&#20844;&#24320;\&#32472;&#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G:\&#39044;&#20915;&#31639;\2019&#24180;&#20915;&#31639;&#20844;&#24320;\&#32472;&#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G:\&#39044;&#20915;&#31639;\2019&#24180;&#20915;&#31639;&#20844;&#24320;\&#32472;&#22270;&#34920;.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G:\&#39044;&#20915;&#31639;\2019&#24180;&#20915;&#31639;&#20844;&#24320;\&#32472;&#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39044;&#20915;&#31639;\2019&#24180;&#20915;&#31639;&#20844;&#24320;\&#32472;&#22270;&#34920;.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39044;&#20915;&#31639;\2019&#24180;&#20915;&#31639;&#20844;&#24320;\&#32472;&#22270;&#34920;.xls"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G:\&#39044;&#20915;&#31639;\2019&#24180;&#20915;&#31639;&#20844;&#24320;\&#32472;&#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spc="0" baseline="0">
                <a:solidFill>
                  <a:schemeClr val="tx1">
                    <a:lumMod val="65000"/>
                    <a:lumOff val="35000"/>
                  </a:schemeClr>
                </a:solidFill>
                <a:latin typeface="+mn-lt"/>
                <a:ea typeface="+mn-ea"/>
                <a:cs typeface="+mn-cs"/>
              </a:defRPr>
            </a:pPr>
            <a:r>
              <a:rPr sz="1400" b="1" i="0" u="none" strike="noStrike" baseline="0">
                <a:solidFill>
                  <a:srgbClr val="333333"/>
                </a:solidFill>
                <a:latin typeface="宋体" panose="02010600030101010101" charset="-122"/>
                <a:ea typeface="宋体" panose="02010600030101010101" charset="-122"/>
                <a:cs typeface="宋体" panose="02010600030101010101" charset="-122"/>
              </a:rPr>
              <a:t>图</a:t>
            </a:r>
            <a:r>
              <a:rPr lang="en-US" altLang="zh-CN" sz="1400" b="1" i="0" u="none" strike="noStrike" baseline="0">
                <a:solidFill>
                  <a:srgbClr val="333333"/>
                </a:solidFill>
                <a:latin typeface="Calibri" panose="020F0502020204030204" pitchFamily="2" charset="0"/>
                <a:ea typeface="Calibri" panose="020F0502020204030204" pitchFamily="2" charset="0"/>
                <a:cs typeface="Calibri" panose="020F0502020204030204" pitchFamily="2" charset="0"/>
              </a:rPr>
              <a:t>1</a:t>
            </a:r>
            <a:r>
              <a:rPr altLang="en-US" sz="1400" b="1" i="0" u="none" strike="noStrike" baseline="0">
                <a:solidFill>
                  <a:srgbClr val="333333"/>
                </a:solidFill>
                <a:latin typeface="宋体" panose="02010600030101010101" charset="-122"/>
                <a:ea typeface="宋体" panose="02010600030101010101" charset="-122"/>
                <a:cs typeface="宋体" panose="02010600030101010101" charset="-122"/>
              </a:rPr>
              <a:t>：收、支决算总计变动情况表</a:t>
            </a:r>
            <a:endParaRPr altLang="en-US"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08055555555555"/>
          <c:y val="0.0486175508377872"/>
        </c:manualLayout>
      </c:layout>
      <c:overlay val="0"/>
      <c:spPr>
        <a:noFill/>
        <a:ln>
          <a:noFill/>
        </a:ln>
        <a:effectLst/>
      </c:spPr>
    </c:title>
    <c:autoTitleDeleted val="0"/>
    <c:plotArea>
      <c:layout>
        <c:manualLayout>
          <c:layoutTarget val="inner"/>
          <c:xMode val="edge"/>
          <c:yMode val="edge"/>
          <c:x val="0.188694444444444"/>
          <c:y val="0.184198331788693"/>
          <c:w val="0.78075"/>
          <c:h val="0.710704355885079"/>
        </c:manualLayout>
      </c:layout>
      <c:barChart>
        <c:barDir val="col"/>
        <c:grouping val="clustered"/>
        <c:varyColors val="0"/>
        <c:ser>
          <c:idx val="0"/>
          <c:order val="0"/>
          <c:spPr>
            <a:gradFill>
              <a:gsLst>
                <a:gs pos="0">
                  <a:srgbClr val="14CD68"/>
                </a:gs>
                <a:gs pos="100000">
                  <a:srgbClr val="0B6E38"/>
                </a:gs>
              </a:gsLst>
              <a:lin ang="5400000" scaled="0"/>
            </a:gradFill>
            <a:ln>
              <a:noFill/>
            </a:ln>
            <a:effectLst>
              <a:outerShdw blurRad="50800" dist="50800" dir="5400000" algn="ctr" rotWithShape="0">
                <a:schemeClr val="bg1">
                  <a:alpha val="100000"/>
                </a:schemeClr>
              </a:outerShdw>
            </a:effectLst>
          </c:spPr>
          <c:invertIfNegative val="0"/>
          <c:dPt>
            <c:idx val="0"/>
            <c:invertIfNegative val="0"/>
            <c:bubble3D val="0"/>
            <c:explosion val="0"/>
            <c:spPr>
              <a:solidFill>
                <a:schemeClr val="accent1"/>
              </a:solidFill>
              <a:ln>
                <a:noFill/>
              </a:ln>
              <a:effectLst>
                <a:outerShdw blurRad="50800" dist="50800" dir="5400000" algn="ctr" rotWithShape="0">
                  <a:schemeClr val="bg1">
                    <a:alpha val="100000"/>
                  </a:schemeClr>
                </a:outerShdw>
              </a:effectLst>
            </c:spPr>
          </c:dPt>
          <c:dPt>
            <c:idx val="1"/>
            <c:invertIfNegative val="0"/>
            <c:bubble3D val="0"/>
            <c:explosion val="0"/>
            <c:spPr>
              <a:solidFill>
                <a:schemeClr val="accent2">
                  <a:lumMod val="75000"/>
                </a:schemeClr>
              </a:solidFill>
              <a:ln>
                <a:noFill/>
              </a:ln>
              <a:effectLst>
                <a:outerShdw blurRad="50800" dist="50800" dir="5400000" algn="ctr" rotWithShape="0">
                  <a:schemeClr val="bg1">
                    <a:alpha val="100000"/>
                  </a:schemeClr>
                </a:outerShdw>
              </a:effectLst>
            </c:spPr>
          </c:dPt>
          <c:dLbls>
            <c:dLbl>
              <c:idx val="0"/>
              <c:layout/>
              <c:tx>
                <c:rich>
                  <a:bodyPr rot="0" spcFirstLastPara="0" vertOverflow="ellipsis" vert="horz" wrap="square" lIns="38100" tIns="19050" rIns="38100" bIns="19050" anchor="ctr" anchorCtr="1"/>
                  <a:lstStyle/>
                  <a:p>
                    <a:pPr defTabSz="914400">
                      <a:defRPr lang="zh-CN" sz="900" b="1" i="0" u="none" strike="noStrike" kern="1200" baseline="0">
                        <a:solidFill>
                          <a:schemeClr val="tx1">
                            <a:lumMod val="75000"/>
                            <a:lumOff val="25000"/>
                          </a:schemeClr>
                        </a:solidFill>
                        <a:latin typeface="+mn-lt"/>
                        <a:ea typeface="+mn-ea"/>
                        <a:cs typeface="+mn-cs"/>
                      </a:defRPr>
                    </a:pPr>
                    <a:r>
                      <a:rPr b="1"/>
                      <a:t>21206.53万元</a:t>
                    </a:r>
                    <a:endParaRPr sz="9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General" sourceLinked="1"/>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defTabSz="914400">
                      <a:defRPr lang="zh-CN" sz="900" b="1" i="0" u="none" strike="noStrike" kern="1200" baseline="0">
                        <a:solidFill>
                          <a:schemeClr val="tx1">
                            <a:lumMod val="75000"/>
                            <a:lumOff val="25000"/>
                          </a:schemeClr>
                        </a:solidFill>
                        <a:latin typeface="+mn-lt"/>
                        <a:ea typeface="+mn-ea"/>
                        <a:cs typeface="+mn-cs"/>
                      </a:defRPr>
                    </a:pPr>
                    <a:r>
                      <a:rPr b="1"/>
                      <a:t>12,871.62万元</a:t>
                    </a:r>
                    <a:endParaRPr sz="9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General" sourceLinked="1"/>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[绘图表.xls]图1!$C$1:$D$1</c:f>
              <c:strCache>
                <c:ptCount val="2"/>
                <c:pt idx="0">
                  <c:v>2018年度收、支总计</c:v>
                </c:pt>
                <c:pt idx="1">
                  <c:v>2019年度收、支总计</c:v>
                </c:pt>
              </c:strCache>
            </c:strRef>
          </c:cat>
          <c:val>
            <c:numRef>
              <c:f>[绘图表.xls]图1!$C$2:$D$2</c:f>
              <c:numCache>
                <c:formatCode>General</c:formatCode>
                <c:ptCount val="2"/>
                <c:pt idx="0">
                  <c:v>21206.53</c:v>
                </c:pt>
                <c:pt idx="1" c:formatCode="#,##0.00">
                  <c:v>12871.62</c:v>
                </c:pt>
              </c:numCache>
            </c:numRef>
          </c:val>
        </c:ser>
        <c:dLbls>
          <c:showLegendKey val="0"/>
          <c:showVal val="0"/>
          <c:showCatName val="0"/>
          <c:showSerName val="0"/>
          <c:showPercent val="0"/>
          <c:showBubbleSize val="0"/>
        </c:dLbls>
        <c:gapWidth val="219"/>
        <c:overlap val="-27"/>
        <c:axId val="220406473"/>
        <c:axId val="978397397"/>
      </c:barChart>
      <c:catAx>
        <c:axId val="220406473"/>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crossAx val="978397397"/>
        <c:crossesAt val="0"/>
        <c:auto val="1"/>
        <c:lblAlgn val="ctr"/>
        <c:lblOffset val="100"/>
        <c:noMultiLvlLbl val="0"/>
      </c:catAx>
      <c:valAx>
        <c:axId val="978397397"/>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0.00&quot;万元&quot;" sourceLinked="0"/>
        <c:majorTickMark val="none"/>
        <c:minorTickMark val="none"/>
        <c:tickLblPos val="low"/>
        <c:spPr>
          <a:noFill/>
          <a:ln w="6350" cap="flat" cmpd="sng" algn="ctr">
            <a:noFill/>
            <a:prstDash val="solid"/>
            <a:round/>
          </a:ln>
          <a:effectLst/>
        </c:spPr>
        <c:txPr>
          <a:bodyPr rot="-6000000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crossAx val="22040647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b="1"/>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spc="0" baseline="0">
                <a:solidFill>
                  <a:schemeClr val="tx1">
                    <a:lumMod val="65000"/>
                    <a:lumOff val="35000"/>
                  </a:schemeClr>
                </a:solidFill>
                <a:latin typeface="+mn-lt"/>
                <a:ea typeface="+mn-ea"/>
                <a:cs typeface="+mn-cs"/>
              </a:defRPr>
            </a:pPr>
            <a:r>
              <a:rPr b="1"/>
              <a:t>图2：收入决算结构图</a:t>
            </a:r>
            <a:endParaRPr sz="1400" b="1" i="0" u="none" strike="noStrike" baseline="0">
              <a:solidFill>
                <a:srgbClr val="595959">
                  <a:alpha val="100000"/>
                </a:srgbClr>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view3D>
      <c:rotX val="30"/>
      <c:rotY val="0"/>
      <c:depthPercent val="100"/>
      <c:rAngAx val="0"/>
      <c:perspective val="30"/>
    </c:view3D>
    <c:floor>
      <c:thickness val="0"/>
    </c:floor>
    <c:sideWall>
      <c:thickness val="0"/>
    </c:sideWall>
    <c:backWall>
      <c:thickness val="0"/>
    </c:backWall>
    <c:plotArea>
      <c:layout/>
      <c:pie3DChart>
        <c:varyColors val="1"/>
        <c:ser>
          <c:idx val="0"/>
          <c:order val="0"/>
          <c:spPr>
            <a:scene3d>
              <a:camera prst="orthographicFront"/>
              <a:lightRig rig="threePt" dir="t"/>
            </a:scene3d>
            <a:sp3d contourW="25400"/>
          </c:spPr>
          <c:explosion val="0"/>
          <c:dPt>
            <c:idx val="0"/>
            <c:bubble3D val="0"/>
            <c:explosion val="0"/>
            <c:spPr>
              <a:solidFill>
                <a:schemeClr val="accent1"/>
              </a:solidFill>
              <a:ln w="25400">
                <a:solidFill>
                  <a:schemeClr val="lt1"/>
                </a:solidFill>
              </a:ln>
              <a:effectLst/>
              <a:scene3d>
                <a:camera prst="orthographicFront"/>
                <a:lightRig rig="threePt" dir="t"/>
              </a:scene3d>
              <a:sp3d contourW="25400"/>
            </c:spPr>
          </c:dPt>
          <c:dPt>
            <c:idx val="1"/>
            <c:bubble3D val="0"/>
            <c:explosion val="0"/>
            <c:spPr>
              <a:solidFill>
                <a:schemeClr val="accent2"/>
              </a:solidFill>
              <a:ln w="25400" cap="rnd">
                <a:solidFill>
                  <a:schemeClr val="lt1"/>
                </a:solidFill>
              </a:ln>
              <a:effectLst/>
              <a:scene3d>
                <a:camera prst="orthographicFront"/>
                <a:lightRig rig="threePt" dir="t"/>
              </a:scene3d>
              <a:sp3d contourW="25400"/>
            </c:spPr>
          </c:dPt>
          <c:dPt>
            <c:idx val="2"/>
            <c:bubble3D val="0"/>
            <c:explosion val="0"/>
            <c:spPr>
              <a:solidFill>
                <a:schemeClr val="accent3"/>
              </a:solidFill>
              <a:ln w="25400">
                <a:solidFill>
                  <a:schemeClr val="lt1"/>
                </a:solidFill>
              </a:ln>
              <a:effectLst/>
              <a:scene3d>
                <a:camera prst="orthographicFront"/>
                <a:lightRig rig="threePt" dir="t"/>
              </a:scene3d>
              <a:sp3d contourW="25400"/>
            </c:spPr>
          </c:dPt>
          <c:dPt>
            <c:idx val="3"/>
            <c:bubble3D val="0"/>
            <c:explosion val="0"/>
            <c:spPr>
              <a:solidFill>
                <a:schemeClr val="accent4"/>
              </a:solidFill>
              <a:ln w="25400">
                <a:solidFill>
                  <a:schemeClr val="lt1"/>
                </a:solidFill>
              </a:ln>
              <a:effectLst/>
              <a:scene3d>
                <a:camera prst="orthographicFront"/>
                <a:lightRig rig="threePt" dir="t"/>
              </a:scene3d>
              <a:sp3d contourW="25400"/>
            </c:spPr>
          </c:dPt>
          <c:dLbls>
            <c:dLbl>
              <c:idx val="0"/>
              <c:layout>
                <c:manualLayout>
                  <c:x val="-0.0325391911318462"/>
                  <c:y val="0.0589330547532633"/>
                </c:manualLayout>
              </c:layout>
              <c:tx>
                <c:rich>
                  <a:bodyPr rot="0" spcFirstLastPara="0" vertOverflow="ellipsis" vert="horz" wrap="square" lIns="38100" tIns="19050" rIns="38100" bIns="19050" anchor="ctr" anchorCtr="1"/>
                  <a:lstStyle/>
                  <a:p>
                    <a:pPr defTabSz="914400">
                      <a:defRPr lang="zh-CN" sz="1000" b="1" i="0" u="none" strike="noStrike" kern="1200" baseline="0">
                        <a:solidFill>
                          <a:schemeClr val="tx1">
                            <a:lumMod val="75000"/>
                            <a:lumOff val="25000"/>
                          </a:schemeClr>
                        </a:solidFill>
                        <a:latin typeface="+mn-lt"/>
                        <a:ea typeface="+mn-ea"/>
                        <a:cs typeface="+mn-cs"/>
                      </a:defRPr>
                    </a:pPr>
                    <a:r>
                      <a:rPr sz="1000" b="1"/>
                      <a:t>5598.56万元</a:t>
                    </a:r>
                    <a:endParaRPr sz="10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tx>
                <c:rich>
                  <a:bodyPr rot="0" spcFirstLastPara="0" vertOverflow="ellipsis" vert="horz" wrap="square" lIns="38100" tIns="19050" rIns="38100" bIns="19050" anchor="ctr" anchorCtr="1"/>
                  <a:lstStyle/>
                  <a:p>
                    <a:pPr defTabSz="914400">
                      <a:defRPr lang="zh-CN" sz="1000" b="1" i="0" u="none" strike="noStrike" kern="1200" baseline="0">
                        <a:solidFill>
                          <a:schemeClr val="tx1">
                            <a:lumMod val="75000"/>
                            <a:lumOff val="25000"/>
                          </a:schemeClr>
                        </a:solidFill>
                        <a:latin typeface="+mn-lt"/>
                        <a:ea typeface="+mn-ea"/>
                        <a:cs typeface="+mn-cs"/>
                      </a:defRPr>
                    </a:pPr>
                    <a:r>
                      <a:rPr sz="1000" b="1"/>
                      <a:t>22.17万元</a:t>
                    </a:r>
                    <a:endParaRPr sz="10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extLst>
            </c:dLbl>
            <c:dLbl>
              <c:idx val="2"/>
              <c:layout>
                <c:manualLayout>
                  <c:x val="0.0518688270122767"/>
                  <c:y val="-0.0920114229080319"/>
                </c:manualLayout>
              </c:layout>
              <c:tx>
                <c:rich>
                  <a:bodyPr rot="0" spcFirstLastPara="0" vertOverflow="ellipsis" vert="horz" wrap="square" lIns="38100" tIns="19050" rIns="38100" bIns="19050" anchor="ctr" anchorCtr="1"/>
                  <a:lstStyle/>
                  <a:p>
                    <a:pPr defTabSz="914400">
                      <a:defRPr lang="zh-CN" sz="1000" b="1" i="0" u="none" strike="noStrike" kern="1200" baseline="0">
                        <a:solidFill>
                          <a:schemeClr val="tx1">
                            <a:lumMod val="75000"/>
                            <a:lumOff val="25000"/>
                          </a:schemeClr>
                        </a:solidFill>
                        <a:latin typeface="+mn-lt"/>
                        <a:ea typeface="+mn-ea"/>
                        <a:cs typeface="+mn-cs"/>
                      </a:defRPr>
                    </a:pPr>
                    <a:r>
                      <a:rPr sz="1000" b="1"/>
                      <a:t>2961.69万元</a:t>
                    </a:r>
                    <a:endParaRPr sz="10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
                  <c:y val="-0.0444444444444444"/>
                </c:manualLayout>
              </c:layout>
              <c:tx>
                <c:rich>
                  <a:bodyPr rot="0" spcFirstLastPara="0" vertOverflow="ellipsis" vert="horz" wrap="square" lIns="38100" tIns="19050" rIns="38100" bIns="19050" anchor="ctr" anchorCtr="1"/>
                  <a:lstStyle/>
                  <a:p>
                    <a:pPr defTabSz="914400">
                      <a:defRPr lang="zh-CN" sz="1000" b="1" i="0" u="none" strike="noStrike" kern="1200" baseline="0">
                        <a:solidFill>
                          <a:schemeClr val="tx1">
                            <a:lumMod val="75000"/>
                            <a:lumOff val="25000"/>
                          </a:schemeClr>
                        </a:solidFill>
                        <a:latin typeface="+mn-lt"/>
                        <a:ea typeface="+mn-ea"/>
                        <a:cs typeface="+mn-cs"/>
                      </a:defRPr>
                    </a:pPr>
                    <a:r>
                      <a:rPr sz="1000" b="1"/>
                      <a:t>347.54万元</a:t>
                    </a:r>
                    <a:endParaRPr sz="10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numFmt formatCode="General" sourceLinked="1"/>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rgbClr val="969696">
                          <a:alpha val="100000"/>
                        </a:srgbClr>
                      </a:solidFill>
                      <a:prstDash val="solid"/>
                      <a:round/>
                    </a:ln>
                  </c:spPr>
                </c15:leaderLines>
              </c:ext>
            </c:extLst>
          </c:dLbls>
          <c:cat>
            <c:strRef>
              <c:f>[绘图表.xls]图2!$B$2:$E$2</c:f>
              <c:strCache>
                <c:ptCount val="4"/>
                <c:pt idx="0">
                  <c:v>一般公共预算财政拨款收入</c:v>
                </c:pt>
                <c:pt idx="1">
                  <c:v>事业收入</c:v>
                </c:pt>
                <c:pt idx="2">
                  <c:v>营业收入</c:v>
                </c:pt>
                <c:pt idx="3">
                  <c:v>其他收入</c:v>
                </c:pt>
              </c:strCache>
            </c:strRef>
          </c:cat>
          <c:val>
            <c:numRef>
              <c:f>[绘图表.xls]图2!$B$3:$E$3</c:f>
              <c:numCache>
                <c:formatCode>General</c:formatCode>
                <c:ptCount val="4"/>
                <c:pt idx="0">
                  <c:v>5598.56</c:v>
                </c:pt>
                <c:pt idx="1">
                  <c:v>22.17</c:v>
                </c:pt>
                <c:pt idx="2">
                  <c:v>2961.69</c:v>
                </c:pt>
                <c:pt idx="3">
                  <c:v>347.54</c:v>
                </c:pt>
              </c:numCache>
            </c:numRef>
          </c:val>
        </c:ser>
        <c:dLbls>
          <c:showLegendKey val="0"/>
          <c:showVal val="0"/>
          <c:showCatName val="0"/>
          <c:showSerName val="0"/>
          <c:showPercent val="0"/>
          <c:showBubbleSize val="0"/>
        </c:dLbls>
      </c:pie3DChart>
      <c:spPr>
        <a:noFill/>
        <a:ln>
          <a:noFill/>
        </a:ln>
        <a:effectLst/>
      </c:spPr>
    </c:plotArea>
    <c:legend>
      <c:legendPos val="r"/>
      <c:legendEntry>
        <c:idx val="0"/>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3"/>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ayout>
        <c:manualLayout>
          <c:xMode val="edge"/>
          <c:yMode val="edge"/>
          <c:x val="0.653472222222222"/>
          <c:y val="0.181712962962963"/>
          <c:w val="0.32975"/>
          <c:h val="0.45225"/>
        </c:manualLayout>
      </c:layout>
      <c:overlay val="0"/>
      <c:spPr>
        <a:noFill/>
        <a:ln>
          <a:noFill/>
        </a:ln>
        <a:effectLst/>
      </c:spPr>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noFill/>
    <a:ln w="6350" cap="flat" cmpd="sng" algn="ctr">
      <a:noFill/>
      <a:prstDash val="solid"/>
      <a:round/>
    </a:ln>
  </c:spPr>
  <c:txPr>
    <a:bodyPr wrap="square"/>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spc="0" baseline="0">
                <a:solidFill>
                  <a:schemeClr val="tx1">
                    <a:lumMod val="65000"/>
                    <a:lumOff val="35000"/>
                  </a:schemeClr>
                </a:solidFill>
                <a:latin typeface="+mn-lt"/>
                <a:ea typeface="+mn-ea"/>
                <a:cs typeface="+mn-cs"/>
              </a:defRPr>
            </a:pPr>
            <a:r>
              <a:rPr b="1"/>
              <a:t>图3：支出决算结构图</a:t>
            </a:r>
            <a:endParaRPr sz="1400" b="1" i="0" u="none" strike="noStrike" baseline="0">
              <a:solidFill>
                <a:srgbClr val="595959">
                  <a:alpha val="100000"/>
                </a:srgbClr>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view3D>
      <c:rotX val="30"/>
      <c:rotY val="0"/>
      <c:depthPercent val="100"/>
      <c:rAngAx val="0"/>
      <c:perspective val="30"/>
    </c:view3D>
    <c:floor>
      <c:thickness val="0"/>
    </c:floor>
    <c:sideWall>
      <c:thickness val="0"/>
    </c:sideWall>
    <c:backWall>
      <c:thickness val="0"/>
    </c:backWall>
    <c:plotArea>
      <c:layout>
        <c:manualLayout>
          <c:layoutTarget val="inner"/>
          <c:xMode val="edge"/>
          <c:yMode val="edge"/>
          <c:x val="0.0849901988238589"/>
          <c:y val="0.189970501474926"/>
          <c:w val="0.671520582469896"/>
          <c:h val="0.709537856440511"/>
        </c:manualLayout>
      </c:layout>
      <c:pie3DChart>
        <c:varyColors val="1"/>
        <c:ser>
          <c:idx val="0"/>
          <c:order val="0"/>
          <c:explosion val="0"/>
          <c:dPt>
            <c:idx val="0"/>
            <c:bubble3D val="0"/>
            <c:explosion val="0"/>
            <c:spPr>
              <a:solidFill>
                <a:schemeClr val="accent1"/>
              </a:solidFill>
              <a:ln w="25400">
                <a:solidFill>
                  <a:schemeClr val="lt1"/>
                </a:solidFill>
              </a:ln>
              <a:effectLst/>
            </c:spPr>
          </c:dPt>
          <c:dPt>
            <c:idx val="1"/>
            <c:bubble3D val="0"/>
            <c:explosion val="0"/>
            <c:spPr>
              <a:solidFill>
                <a:schemeClr val="accent2"/>
              </a:solidFill>
              <a:ln w="25400">
                <a:solidFill>
                  <a:schemeClr val="lt1"/>
                </a:solidFill>
              </a:ln>
              <a:effectLst/>
            </c:spPr>
          </c:dPt>
          <c:dPt>
            <c:idx val="2"/>
            <c:bubble3D val="0"/>
            <c:explosion val="0"/>
            <c:spPr>
              <a:solidFill>
                <a:schemeClr val="accent3"/>
              </a:solidFill>
              <a:ln w="25400">
                <a:solidFill>
                  <a:schemeClr val="lt1"/>
                </a:solidFill>
              </a:ln>
              <a:effectLst/>
            </c:spPr>
          </c:dPt>
          <c:dLbls>
            <c:dLbl>
              <c:idx val="0"/>
              <c:layout>
                <c:manualLayout>
                  <c:x val="0.0555592637516166"/>
                  <c:y val="-0.0547751876689517"/>
                </c:manualLayout>
              </c:layout>
              <c:numFmt formatCode="#,###.##&quot;万&quot;&quot;元&quot;"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203168767231027"/>
                  <c:y val="-0.104264397852339"/>
                </c:manualLayout>
              </c:layout>
              <c:numFmt formatCode="#,###.##&quot;万&quot;&quot;元&quot;"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847797626791201"/>
                  <c:y val="0.028899001608932"/>
                </c:manualLayout>
              </c:layout>
              <c:numFmt formatCode="#,###.##&quot;万&quot;&quot;元&quot;"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numFmt formatCode="#,###.##&quot;万&quot;&quot;元&quot;" sourceLinked="0"/>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rgbClr val="969696">
                          <a:alpha val="100000"/>
                        </a:srgbClr>
                      </a:solidFill>
                      <a:prstDash val="solid"/>
                      <a:round/>
                    </a:ln>
                  </c:spPr>
                </c15:leaderLines>
              </c:ext>
            </c:extLst>
          </c:dLbls>
          <c:cat>
            <c:strRef>
              <c:f>[绘图表.xls]图3!$B$1:$D$1</c:f>
              <c:strCache>
                <c:ptCount val="3"/>
                <c:pt idx="0">
                  <c:v>基本支出</c:v>
                </c:pt>
                <c:pt idx="1">
                  <c:v>项目支出</c:v>
                </c:pt>
                <c:pt idx="2">
                  <c:v>经营支出</c:v>
                </c:pt>
              </c:strCache>
            </c:strRef>
          </c:cat>
          <c:val>
            <c:numRef>
              <c:f>[绘图表.xls]图3!$B$2:$D$2</c:f>
              <c:numCache>
                <c:formatCode>General</c:formatCode>
                <c:ptCount val="3"/>
                <c:pt idx="0">
                  <c:v>2885.02</c:v>
                </c:pt>
                <c:pt idx="1">
                  <c:v>6673.04</c:v>
                </c:pt>
                <c:pt idx="2">
                  <c:v>1960.22</c:v>
                </c:pt>
              </c:numCache>
            </c:numRef>
          </c:val>
        </c:ser>
        <c:dLbls>
          <c:showLegendKey val="0"/>
          <c:showVal val="0"/>
          <c:showCatName val="0"/>
          <c:showSerName val="0"/>
          <c:showPercent val="0"/>
          <c:showBubbleSize val="0"/>
        </c:dLbls>
      </c:pie3DChart>
      <c:spPr>
        <a:noFill/>
        <a:ln>
          <a:noFill/>
        </a:ln>
        <a:effectLst/>
      </c:spPr>
    </c:plotArea>
    <c:legend>
      <c:legendPos val="r"/>
      <c:legendEntry>
        <c:idx val="0"/>
        <c:txPr>
          <a:bodyPr rot="0" spcFirstLastPara="0" vertOverflow="ellipsis" vert="horz" wrap="square" anchor="ctr" anchorCtr="1"/>
          <a:lstStyle/>
          <a:p>
            <a:pPr>
              <a:defRPr lang="zh-CN" sz="1000" b="1"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000" b="1"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1000" b="1"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000" b="1"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spc="0" baseline="0">
                <a:solidFill>
                  <a:schemeClr val="tx1">
                    <a:lumMod val="65000"/>
                    <a:lumOff val="35000"/>
                  </a:schemeClr>
                </a:solidFill>
                <a:latin typeface="+mn-lt"/>
                <a:ea typeface="+mn-ea"/>
                <a:cs typeface="+mn-cs"/>
              </a:defRPr>
            </a:pPr>
            <a:r>
              <a:rPr b="1"/>
              <a:t>图4：财政拨款收、支决算总计变动情况</a:t>
            </a:r>
            <a:endParaRPr sz="1400" b="1" i="0" u="none" strike="noStrike" baseline="0">
              <a:solidFill>
                <a:srgbClr val="595959">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172361111111111"/>
          <c:y val="0.0173611111111111"/>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Pt>
            <c:idx val="1"/>
            <c:invertIfNegative val="0"/>
            <c:bubble3D val="0"/>
            <c:explosion val="0"/>
            <c:spPr>
              <a:solidFill>
                <a:schemeClr val="accent2">
                  <a:lumMod val="75000"/>
                </a:schemeClr>
              </a:solidFill>
              <a:ln>
                <a:noFill/>
              </a:ln>
              <a:effectLst/>
            </c:spPr>
          </c:dPt>
          <c:dLbls>
            <c:numFmt formatCode="#,###.##&quot;万&quot;&quot;元&quot;"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[绘图表.xls]图4!$A$1:$B$1</c:f>
              <c:strCache>
                <c:ptCount val="2"/>
                <c:pt idx="0">
                  <c:v>2018年财政拨款收、支总计</c:v>
                </c:pt>
                <c:pt idx="1">
                  <c:v>2019年财政拨款收、支总计</c:v>
                </c:pt>
              </c:strCache>
            </c:strRef>
          </c:cat>
          <c:val>
            <c:numRef>
              <c:f>[绘图表.xls]图4!$A$2:$B$2</c:f>
              <c:numCache>
                <c:formatCode>General</c:formatCode>
                <c:ptCount val="2"/>
                <c:pt idx="0">
                  <c:v>19059.44</c:v>
                </c:pt>
                <c:pt idx="1">
                  <c:v>9423.24</c:v>
                </c:pt>
              </c:numCache>
            </c:numRef>
          </c:val>
        </c:ser>
        <c:dLbls>
          <c:showLegendKey val="0"/>
          <c:showVal val="0"/>
          <c:showCatName val="0"/>
          <c:showSerName val="0"/>
          <c:showPercent val="0"/>
          <c:showBubbleSize val="0"/>
        </c:dLbls>
        <c:gapWidth val="219"/>
        <c:overlap val="-27"/>
        <c:axId val="208801105"/>
        <c:axId val="647316576"/>
      </c:barChart>
      <c:catAx>
        <c:axId val="208801105"/>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crossAx val="647316576"/>
        <c:crosses val="autoZero"/>
        <c:auto val="1"/>
        <c:lblAlgn val="ctr"/>
        <c:lblOffset val="100"/>
        <c:noMultiLvlLbl val="0"/>
      </c:catAx>
      <c:valAx>
        <c:axId val="64731657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0.00&quot;万元&quot;" sourceLinked="0"/>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crossAx val="20880110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b="1"/>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spc="0" baseline="0">
                <a:solidFill>
                  <a:schemeClr val="tx1">
                    <a:lumMod val="65000"/>
                    <a:lumOff val="35000"/>
                  </a:schemeClr>
                </a:solidFill>
                <a:latin typeface="+mn-lt"/>
                <a:ea typeface="+mn-ea"/>
                <a:cs typeface="+mn-cs"/>
              </a:defRPr>
            </a:pPr>
            <a:r>
              <a:rPr b="1"/>
              <a:t>图5：一般公共预算财政拨款支出决算变动情况</a:t>
            </a:r>
            <a:endParaRPr sz="1400" b="1" i="0" u="none" strike="noStrike" baseline="0">
              <a:solidFill>
                <a:srgbClr val="595959">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112956349206349"/>
          <c:y val="0.0345574387947269"/>
        </c:manualLayout>
      </c:layout>
      <c:overlay val="0"/>
      <c:spPr>
        <a:noFill/>
        <a:ln>
          <a:noFill/>
        </a:ln>
        <a:effectLst/>
      </c:spPr>
    </c:title>
    <c:autoTitleDeleted val="0"/>
    <c:plotArea>
      <c:layout/>
      <c:barChart>
        <c:barDir val="col"/>
        <c:grouping val="clustered"/>
        <c:varyColors val="0"/>
        <c:ser>
          <c:idx val="0"/>
          <c:order val="0"/>
          <c:spPr>
            <a:solidFill>
              <a:schemeClr val="accent1"/>
            </a:solidFill>
            <a:ln>
              <a:noFill/>
            </a:ln>
            <a:effectLst/>
          </c:spPr>
          <c:invertIfNegative val="0"/>
          <c:dPt>
            <c:idx val="1"/>
            <c:invertIfNegative val="0"/>
            <c:bubble3D val="0"/>
            <c:explosion val="0"/>
            <c:spPr>
              <a:solidFill>
                <a:schemeClr val="accent2">
                  <a:lumMod val="75000"/>
                </a:schemeClr>
              </a:solidFill>
              <a:ln>
                <a:noFill/>
              </a:ln>
              <a:effectLst/>
            </c:spPr>
          </c:dPt>
          <c:dLbls>
            <c:numFmt formatCode="#,###.##&quot;万元&quot;" sourceLinked="0"/>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[绘图表.xls]图5!$A$1:$B$1</c:f>
              <c:strCache>
                <c:ptCount val="2"/>
                <c:pt idx="0">
                  <c:v>2018年一般公共预算财政拨款支出</c:v>
                </c:pt>
                <c:pt idx="1">
                  <c:v>2019年一般公共预算财政拨款支出</c:v>
                </c:pt>
              </c:strCache>
            </c:strRef>
          </c:cat>
          <c:val>
            <c:numRef>
              <c:f>[绘图表.xls]图5!$A$2:$B$2</c:f>
              <c:numCache>
                <c:formatCode>General</c:formatCode>
                <c:ptCount val="2"/>
                <c:pt idx="0">
                  <c:v>12994.94</c:v>
                </c:pt>
                <c:pt idx="1">
                  <c:v>9124.98</c:v>
                </c:pt>
              </c:numCache>
            </c:numRef>
          </c:val>
        </c:ser>
        <c:dLbls>
          <c:showLegendKey val="0"/>
          <c:showVal val="0"/>
          <c:showCatName val="0"/>
          <c:showSerName val="0"/>
          <c:showPercent val="0"/>
          <c:showBubbleSize val="0"/>
        </c:dLbls>
        <c:gapWidth val="219"/>
        <c:overlap val="-27"/>
        <c:axId val="549316713"/>
        <c:axId val="882031981"/>
      </c:barChart>
      <c:catAx>
        <c:axId val="549316713"/>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crossAx val="882031981"/>
        <c:crosses val="autoZero"/>
        <c:auto val="1"/>
        <c:lblAlgn val="ctr"/>
        <c:lblOffset val="100"/>
        <c:noMultiLvlLbl val="0"/>
      </c:catAx>
      <c:valAx>
        <c:axId val="882031981"/>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0.00&quot;万元&quot;" sourceLinked="0"/>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crossAx val="549316713"/>
        <c:crosses val="autoZero"/>
        <c:crossBetween val="between"/>
      </c:valAx>
      <c:spPr>
        <a:noFill/>
        <a:ln>
          <a:noFill/>
        </a:ln>
        <a:effectLst/>
      </c:spPr>
    </c:plotArea>
    <c:plotVisOnly val="1"/>
    <c:dispBlanksAs val="gap"/>
    <c:showDLblsOverMax val="0"/>
  </c:chart>
  <c:spPr>
    <a:solidFill>
      <a:schemeClr val="bg1"/>
    </a:solidFill>
    <a:ln w="9525" cap="flat" cmpd="sng" algn="ctr">
      <a:noFill/>
      <a:prstDash val="solid"/>
      <a:round/>
    </a:ln>
    <a:effectLst/>
  </c:spPr>
  <c:txPr>
    <a:bodyPr wrap="square"/>
    <a:lstStyle/>
    <a:p>
      <a:pPr>
        <a:defRPr lang="zh-CN" b="1"/>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spc="0" baseline="0">
                <a:solidFill>
                  <a:schemeClr val="tx1">
                    <a:lumMod val="65000"/>
                    <a:lumOff val="35000"/>
                  </a:schemeClr>
                </a:solidFill>
                <a:latin typeface="+mn-lt"/>
                <a:ea typeface="+mn-ea"/>
                <a:cs typeface="+mn-cs"/>
              </a:defRPr>
            </a:pPr>
            <a:r>
              <a:rPr b="1"/>
              <a:t>图6：一般公共预算财政拨款支出决算结构</a:t>
            </a:r>
            <a:endParaRPr sz="1400" b="1" i="0" u="none" strike="noStrike" baseline="0">
              <a:solidFill>
                <a:srgbClr val="595959">
                  <a:alpha val="100000"/>
                </a:srgbClr>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view3D>
      <c:rotX val="30"/>
      <c:rotY val="0"/>
      <c:depthPercent val="100"/>
      <c:rAngAx val="0"/>
      <c:perspective val="30"/>
    </c:view3D>
    <c:floor>
      <c:thickness val="0"/>
    </c:floor>
    <c:sideWall>
      <c:thickness val="0"/>
    </c:sideWall>
    <c:backWall>
      <c:thickness val="0"/>
    </c:backWall>
    <c:plotArea>
      <c:layout>
        <c:manualLayout>
          <c:layoutTarget val="inner"/>
          <c:xMode val="edge"/>
          <c:yMode val="edge"/>
          <c:x val="0.0326388888888889"/>
          <c:y val="0.179861111111111"/>
          <c:w val="0.938888888888889"/>
          <c:h val="0.604166666666667"/>
        </c:manualLayout>
      </c:layout>
      <c:pie3DChart>
        <c:varyColors val="1"/>
        <c:ser>
          <c:idx val="0"/>
          <c:order val="0"/>
          <c:spPr>
            <a:scene3d>
              <a:camera prst="orthographicFront"/>
              <a:lightRig rig="threePt" dir="t"/>
            </a:scene3d>
            <a:sp3d contourW="25400"/>
          </c:spPr>
          <c:explosion val="0"/>
          <c:dPt>
            <c:idx val="0"/>
            <c:bubble3D val="0"/>
            <c:explosion val="0"/>
            <c:spPr>
              <a:solidFill>
                <a:schemeClr val="accent1"/>
              </a:solidFill>
              <a:ln w="25400">
                <a:solidFill>
                  <a:schemeClr val="lt1"/>
                </a:solidFill>
              </a:ln>
              <a:effectLst/>
              <a:scene3d>
                <a:camera prst="orthographicFront"/>
                <a:lightRig rig="threePt" dir="t"/>
              </a:scene3d>
              <a:sp3d contourW="25400"/>
            </c:spPr>
          </c:dPt>
          <c:dPt>
            <c:idx val="1"/>
            <c:bubble3D val="0"/>
            <c:explosion val="0"/>
            <c:spPr>
              <a:solidFill>
                <a:schemeClr val="accent2"/>
              </a:solidFill>
              <a:ln w="25400">
                <a:solidFill>
                  <a:schemeClr val="lt1"/>
                </a:solidFill>
              </a:ln>
              <a:effectLst/>
              <a:scene3d>
                <a:camera prst="orthographicFront"/>
                <a:lightRig rig="threePt" dir="t"/>
              </a:scene3d>
              <a:sp3d contourW="25400"/>
            </c:spPr>
          </c:dPt>
          <c:dPt>
            <c:idx val="2"/>
            <c:bubble3D val="0"/>
            <c:explosion val="0"/>
            <c:spPr>
              <a:solidFill>
                <a:schemeClr val="accent3"/>
              </a:solidFill>
              <a:ln w="25400">
                <a:solidFill>
                  <a:schemeClr val="lt1"/>
                </a:solidFill>
              </a:ln>
              <a:effectLst/>
              <a:scene3d>
                <a:camera prst="orthographicFront"/>
                <a:lightRig rig="threePt" dir="t"/>
              </a:scene3d>
              <a:sp3d contourW="25400"/>
            </c:spPr>
          </c:dPt>
          <c:dPt>
            <c:idx val="3"/>
            <c:bubble3D val="0"/>
            <c:explosion val="0"/>
            <c:spPr>
              <a:solidFill>
                <a:schemeClr val="accent4"/>
              </a:solidFill>
              <a:ln w="25400">
                <a:solidFill>
                  <a:schemeClr val="lt1"/>
                </a:solidFill>
              </a:ln>
              <a:effectLst/>
              <a:scene3d>
                <a:camera prst="orthographicFront"/>
                <a:lightRig rig="threePt" dir="t"/>
              </a:scene3d>
              <a:sp3d contourW="25400"/>
            </c:spPr>
          </c:dPt>
          <c:dPt>
            <c:idx val="4"/>
            <c:bubble3D val="0"/>
            <c:explosion val="0"/>
            <c:spPr>
              <a:solidFill>
                <a:schemeClr val="accent5"/>
              </a:solidFill>
              <a:ln w="25400">
                <a:solidFill>
                  <a:schemeClr val="lt1"/>
                </a:solidFill>
              </a:ln>
              <a:effectLst/>
              <a:scene3d>
                <a:camera prst="orthographicFront"/>
                <a:lightRig rig="threePt" dir="t"/>
              </a:scene3d>
              <a:sp3d contourW="25400"/>
            </c:spPr>
          </c:dPt>
          <c:dLbls>
            <c:dLbl>
              <c:idx val="0"/>
              <c:layout>
                <c:manualLayout>
                  <c:x val="-0.00646551724137931"/>
                  <c:y val="-0.0300921601594122"/>
                </c:manualLayout>
              </c:layout>
              <c:tx>
                <c:rich>
                  <a:bodyPr rot="0" spcFirstLastPara="0" vertOverflow="ellipsis" vert="horz" wrap="square" lIns="38100" tIns="19050" rIns="38100" bIns="19050" anchor="ctr" anchorCtr="0"/>
                  <a:lstStyle/>
                  <a:p>
                    <a:pPr defTabSz="914400">
                      <a:defRPr lang="zh-CN" sz="900" b="1" i="0" u="none" strike="noStrike" kern="1200" baseline="0">
                        <a:solidFill>
                          <a:schemeClr val="tx1">
                            <a:lumMod val="75000"/>
                            <a:lumOff val="25000"/>
                          </a:schemeClr>
                        </a:solidFill>
                        <a:latin typeface="+mn-lt"/>
                        <a:ea typeface="+mn-ea"/>
                        <a:cs typeface="+mn-cs"/>
                      </a:defRPr>
                    </a:pPr>
                    <a:r>
                      <a:rPr b="1"/>
                      <a:t>283.3万元</a:t>
                    </a:r>
                    <a:endParaRPr sz="9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quot;万元&quot;\&#13;\&#10;" sourceLinked="0"/>
              <c:spPr>
                <a:noFill/>
                <a:ln>
                  <a:noFill/>
                </a:ln>
                <a:effectLst/>
              </c:spPr>
              <c:txPr>
                <a:bodyPr rot="0" spcFirstLastPara="0" vertOverflow="ellipsis" vert="horz" wrap="square" lIns="38100" tIns="19050" rIns="38100" bIns="19050" anchor="ctr" anchorCtr="0"/>
                <a:lstStyle/>
                <a:p>
                  <a:pPr>
                    <a:defRPr lang="zh-CN" sz="9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381465517241379"/>
                  <c:y val="-0.00999050376735787"/>
                </c:manualLayout>
              </c:layout>
              <c:tx>
                <c:rich>
                  <a:bodyPr rot="0" spcFirstLastPara="0" vertOverflow="ellipsis" vert="horz" wrap="square" lIns="38100" tIns="19050" rIns="38100" bIns="19050" anchor="ctr" anchorCtr="1"/>
                  <a:lstStyle/>
                  <a:p>
                    <a:pPr defTabSz="914400">
                      <a:defRPr lang="zh-CN" sz="900" b="1" i="0" u="none" strike="noStrike" kern="1200" baseline="0">
                        <a:solidFill>
                          <a:schemeClr val="tx1">
                            <a:lumMod val="75000"/>
                            <a:lumOff val="25000"/>
                          </a:schemeClr>
                        </a:solidFill>
                        <a:latin typeface="+mn-lt"/>
                        <a:ea typeface="+mn-ea"/>
                        <a:cs typeface="+mn-cs"/>
                      </a:defRPr>
                    </a:pPr>
                    <a:r>
                      <a:rPr b="1"/>
                      <a:t>408.79万元</a:t>
                    </a:r>
                    <a:endParaRPr sz="9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quot;万元&quot;\&#13;\&#10;" sourceLinked="0"/>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945402298850575"/>
                  <c:y val="0.0618286474873902"/>
                </c:manualLayout>
              </c:layout>
              <c:tx>
                <c:rich>
                  <a:bodyPr rot="0" spcFirstLastPara="0" vertOverflow="ellipsis" vert="horz" wrap="square" lIns="38100" tIns="19050" rIns="38100" bIns="19050" anchor="ctr" anchorCtr="1"/>
                  <a:lstStyle/>
                  <a:p>
                    <a:pPr defTabSz="914400">
                      <a:defRPr lang="zh-CN" sz="900" b="1" i="0" u="none" strike="noStrike" kern="1200" baseline="0">
                        <a:solidFill>
                          <a:schemeClr val="tx1">
                            <a:lumMod val="75000"/>
                            <a:lumOff val="25000"/>
                          </a:schemeClr>
                        </a:solidFill>
                        <a:latin typeface="+mn-lt"/>
                        <a:ea typeface="+mn-ea"/>
                        <a:cs typeface="+mn-cs"/>
                      </a:defRPr>
                    </a:pPr>
                    <a:r>
                      <a:rPr b="1"/>
                      <a:t>35.49万元</a:t>
                    </a:r>
                    <a:endParaRPr sz="9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quot;万元&quot;\&#13;\&#10;" sourceLinked="0"/>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4"/>
              <c:layout>
                <c:manualLayout>
                  <c:x val="-0.135632183908046"/>
                  <c:y val="-0.0303976742013824"/>
                </c:manualLayout>
              </c:layout>
              <c:tx>
                <c:rich>
                  <a:bodyPr rot="0" spcFirstLastPara="0" vertOverflow="ellipsis" vert="horz" wrap="square" lIns="38100" tIns="19050" rIns="38100" bIns="19050" anchor="ctr" anchorCtr="1"/>
                  <a:lstStyle/>
                  <a:p>
                    <a:pPr defTabSz="914400">
                      <a:defRPr lang="zh-CN" sz="900" b="1" i="0" u="none" strike="noStrike" kern="1200" baseline="0">
                        <a:solidFill>
                          <a:schemeClr val="tx1">
                            <a:lumMod val="75000"/>
                            <a:lumOff val="25000"/>
                          </a:schemeClr>
                        </a:solidFill>
                        <a:latin typeface="+mn-lt"/>
                        <a:ea typeface="+mn-ea"/>
                        <a:cs typeface="+mn-cs"/>
                      </a:defRPr>
                    </a:pPr>
                    <a:r>
                      <a:rPr b="1"/>
                      <a:t>111.89万元</a:t>
                    </a:r>
                    <a:endParaRPr sz="900" b="1" i="0" u="none" strike="noStrike" baseline="0">
                      <a:solidFill>
                        <a:srgbClr val="404040">
                          <a:alpha val="100000"/>
                        </a:srgbClr>
                      </a:solidFill>
                      <a:latin typeface="宋体" panose="02010600030101010101" charset="-122"/>
                      <a:ea typeface="宋体" panose="02010600030101010101" charset="-122"/>
                      <a:cs typeface="宋体" panose="02010600030101010101" charset="-122"/>
                    </a:endParaRPr>
                  </a:p>
                </c:rich>
              </c:tx>
              <c:numFmt formatCode="#,###.##&quot;万元&quot;\&#13;\&#10;" sourceLinked="0"/>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numFmt formatCode="#,###.##&quot;万元&quot;\&#13;\&#10;" sourceLinked="0"/>
            <c:spPr>
              <a:noFill/>
              <a:ln>
                <a:noFill/>
              </a:ln>
              <a:effectLst/>
            </c:spPr>
            <c:txPr>
              <a:bodyPr rot="0" spcFirstLastPara="0" vertOverflow="ellipsis" vert="horz" wrap="square" lIns="38100" tIns="19050" rIns="38100" bIns="19050" anchor="ctr" anchorCtr="1"/>
              <a:lstStyle/>
              <a:p>
                <a:pPr>
                  <a:defRPr lang="zh-CN" sz="9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rgbClr val="969696">
                          <a:alpha val="100000"/>
                        </a:srgbClr>
                      </a:solidFill>
                      <a:prstDash val="solid"/>
                      <a:round/>
                    </a:ln>
                  </c:spPr>
                </c15:leaderLines>
              </c:ext>
            </c:extLst>
          </c:dLbls>
          <c:cat>
            <c:strRef>
              <c:f>[绘图表.xls]图6!$B$1:$F$1</c:f>
              <c:strCache>
                <c:ptCount val="5"/>
                <c:pt idx="0">
                  <c:v>一般公共服务支出</c:v>
                </c:pt>
                <c:pt idx="1">
                  <c:v>社会保障和就业支出</c:v>
                </c:pt>
                <c:pt idx="2">
                  <c:v>卫生健康支出</c:v>
                </c:pt>
                <c:pt idx="3">
                  <c:v>农林水支出</c:v>
                </c:pt>
                <c:pt idx="4">
                  <c:v>住房保障支出</c:v>
                </c:pt>
              </c:strCache>
            </c:strRef>
          </c:cat>
          <c:val>
            <c:numRef>
              <c:f>[绘图表.xls]图6!$B$2:$F$2</c:f>
              <c:numCache>
                <c:formatCode>0.00_ </c:formatCode>
                <c:ptCount val="5"/>
                <c:pt idx="0">
                  <c:v>283.3</c:v>
                </c:pt>
                <c:pt idx="1">
                  <c:v>408.79</c:v>
                </c:pt>
                <c:pt idx="2">
                  <c:v>35.49</c:v>
                </c:pt>
                <c:pt idx="3">
                  <c:v>8285.51</c:v>
                </c:pt>
                <c:pt idx="4">
                  <c:v>111.89</c:v>
                </c:pt>
              </c:numCache>
            </c:numRef>
          </c:val>
        </c:ser>
        <c:dLbls>
          <c:showLegendKey val="0"/>
          <c:showVal val="0"/>
          <c:showCatName val="0"/>
          <c:showSerName val="0"/>
          <c:showPercent val="0"/>
          <c:showBubbleSize val="0"/>
        </c:dLbls>
      </c:pie3DChart>
      <c:spPr>
        <a:noFill/>
        <a:ln>
          <a:noFill/>
        </a:ln>
        <a:effectLst/>
      </c:spPr>
    </c:plotArea>
    <c:legend>
      <c:legendPos val="b"/>
      <c:legendEntry>
        <c:idx val="0"/>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3"/>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egendEntry>
        <c:idx val="4"/>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Entry>
      <c:layout>
        <c:manualLayout>
          <c:xMode val="edge"/>
          <c:yMode val="edge"/>
          <c:x val="0.0911494252873563"/>
          <c:y val="0.750046702783486"/>
          <c:w val="0.765510701706855"/>
          <c:h val="0.109273903666427"/>
        </c:manualLayout>
      </c:layout>
      <c:overlay val="0"/>
      <c:spPr>
        <a:noFill/>
        <a:ln>
          <a:noFill/>
        </a:ln>
        <a:effectLst/>
      </c:spPr>
      <c:txPr>
        <a:bodyPr rot="0" spcFirstLastPara="0" vertOverflow="ellipsis" vert="horz" wrap="square" anchor="ctr" anchorCtr="1"/>
        <a:lstStyle/>
        <a:p>
          <a:pPr>
            <a:defRPr lang="zh-CN" sz="900" b="1"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perspective val="30"/>
    </c:view3D>
    <c:floor>
      <c:thickness val="0"/>
    </c:floor>
    <c:sideWall>
      <c:thickness val="0"/>
    </c:sideWall>
    <c:backWall>
      <c:thickness val="0"/>
    </c:backWall>
    <c:plotArea>
      <c:layout/>
      <c:pie3DChart>
        <c:varyColors val="1"/>
        <c:ser>
          <c:idx val="0"/>
          <c:order val="0"/>
          <c:spPr>
            <a:scene3d>
              <a:camera prst="orthographicFront"/>
              <a:lightRig rig="threePt" dir="t"/>
            </a:scene3d>
            <a:sp3d contourW="25400"/>
          </c:spPr>
          <c:explosion val="0"/>
          <c:dPt>
            <c:idx val="0"/>
            <c:bubble3D val="0"/>
            <c:explosion val="0"/>
            <c:spPr>
              <a:solidFill>
                <a:schemeClr val="accent1"/>
              </a:solidFill>
              <a:ln w="25400">
                <a:solidFill>
                  <a:schemeClr val="lt1"/>
                </a:solidFill>
              </a:ln>
              <a:effectLst/>
              <a:scene3d>
                <a:camera prst="orthographicFront"/>
                <a:lightRig rig="threePt" dir="t"/>
              </a:scene3d>
              <a:sp3d contourW="25400"/>
            </c:spPr>
          </c:dPt>
          <c:dPt>
            <c:idx val="1"/>
            <c:bubble3D val="0"/>
            <c:explosion val="0"/>
            <c:spPr>
              <a:solidFill>
                <a:schemeClr val="accent2"/>
              </a:solidFill>
              <a:ln w="25400">
                <a:solidFill>
                  <a:schemeClr val="lt1"/>
                </a:solidFill>
              </a:ln>
              <a:effectLst/>
              <a:scene3d>
                <a:camera prst="orthographicFront"/>
                <a:lightRig rig="threePt" dir="t"/>
              </a:scene3d>
              <a:sp3d contourW="25400"/>
            </c:spPr>
          </c:dPt>
          <c:dPt>
            <c:idx val="2"/>
            <c:bubble3D val="0"/>
            <c:explosion val="0"/>
            <c:spPr>
              <a:solidFill>
                <a:schemeClr val="accent3"/>
              </a:solidFill>
              <a:ln w="25400">
                <a:solidFill>
                  <a:schemeClr val="lt1"/>
                </a:solidFill>
              </a:ln>
              <a:effectLst/>
              <a:scene3d>
                <a:camera prst="orthographicFront"/>
                <a:lightRig rig="threePt" dir="t"/>
              </a:scene3d>
              <a:sp3d contourW="25400"/>
            </c:spPr>
          </c:dPt>
          <c:dLbls>
            <c:dLbl>
              <c:idx val="1"/>
              <c:layout>
                <c:manualLayout>
                  <c:x val="-0.172687572656775"/>
                  <c:y val="-0.191464811246205"/>
                </c:manualLayout>
              </c:layout>
              <c:numFmt formatCode="##,##0.00&quot;万元&quot;"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130448631375222"/>
                  <c:y val="0.0942650772674652"/>
                </c:manualLayout>
              </c:layout>
              <c:numFmt formatCode="##,##0.00&quot;万元&quot;"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extLst>
                <c:ext xmlns:c15="http://schemas.microsoft.com/office/drawing/2012/chart" uri="{CE6537A1-D6FC-4f65-9D91-7224C49458BB}">
                  <c15:layout/>
                </c:ext>
              </c:extLst>
            </c:dLbl>
            <c:numFmt formatCode="##,##0.00&quot;万元&quot;" sourceLinked="0"/>
            <c:spPr>
              <a:noFill/>
              <a:ln>
                <a:noFill/>
              </a:ln>
              <a:effectLst/>
            </c:spPr>
            <c:txPr>
              <a:bodyPr rot="0" spcFirstLastPara="0" vertOverflow="ellipsis" vert="horz" wrap="square" lIns="38100" tIns="19050" rIns="38100" bIns="19050" anchor="ctr" anchorCtr="1"/>
              <a:lstStyle/>
              <a:p>
                <a:pPr>
                  <a:defRPr lang="zh-CN" sz="1000" b="1"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rgbClr val="969696">
                          <a:alpha val="100000"/>
                        </a:srgbClr>
                      </a:solidFill>
                      <a:prstDash val="solid"/>
                      <a:round/>
                    </a:ln>
                  </c:spPr>
                </c15:leaderLines>
              </c:ext>
            </c:extLst>
          </c:dLbls>
          <c:cat>
            <c:strRef>
              <c:f>[绘图表.xls]图7!$B$2:$D$2</c:f>
              <c:strCache>
                <c:ptCount val="3"/>
                <c:pt idx="0">
                  <c:v>因公出国（境）费</c:v>
                </c:pt>
                <c:pt idx="1">
                  <c:v>公务用车购置及运行维护费</c:v>
                </c:pt>
                <c:pt idx="2">
                  <c:v>公务接待费</c:v>
                </c:pt>
              </c:strCache>
            </c:strRef>
          </c:cat>
          <c:val>
            <c:numRef>
              <c:f>[绘图表.xls]图7!$B$3:$D$3</c:f>
              <c:numCache>
                <c:formatCode>General</c:formatCode>
                <c:ptCount val="3"/>
                <c:pt idx="0">
                  <c:v>0</c:v>
                </c:pt>
                <c:pt idx="1">
                  <c:v>29.76</c:v>
                </c:pt>
                <c:pt idx="2">
                  <c:v>10.77</c:v>
                </c:pt>
              </c:numCache>
            </c:numRef>
          </c:val>
        </c:ser>
        <c:ser>
          <c:idx val="1"/>
          <c:order val="1"/>
          <c:explosion val="0"/>
          <c:dPt>
            <c:idx val="0"/>
            <c:bubble3D val="0"/>
            <c:explosion val="0"/>
            <c:spPr>
              <a:solidFill>
                <a:schemeClr val="accent1"/>
              </a:solidFill>
              <a:ln w="25400">
                <a:solidFill>
                  <a:schemeClr val="lt1"/>
                </a:solidFill>
              </a:ln>
              <a:effectLst/>
            </c:spPr>
          </c:dPt>
          <c:dPt>
            <c:idx val="1"/>
            <c:bubble3D val="0"/>
            <c:explosion val="0"/>
            <c:spPr>
              <a:solidFill>
                <a:schemeClr val="accent2"/>
              </a:solidFill>
              <a:ln w="25400">
                <a:solidFill>
                  <a:schemeClr val="lt1"/>
                </a:solidFill>
              </a:ln>
              <a:effectLst/>
            </c:spPr>
          </c:dPt>
          <c:dPt>
            <c:idx val="2"/>
            <c:bubble3D val="0"/>
            <c:explosion val="0"/>
            <c:spPr>
              <a:solidFill>
                <a:schemeClr val="accent3"/>
              </a:solidFill>
              <a:ln w="25400">
                <a:solidFill>
                  <a:schemeClr val="lt1"/>
                </a:solidFill>
              </a:ln>
              <a:effectLst/>
            </c:spPr>
          </c:dPt>
          <c:dLbls>
            <c:delete val="1"/>
          </c:dLbls>
          <c:cat>
            <c:strRef>
              <c:f>[绘图表.xls]图7!$B$2:$D$2</c:f>
              <c:strCache>
                <c:ptCount val="3"/>
                <c:pt idx="0">
                  <c:v>因公出国（境）费</c:v>
                </c:pt>
                <c:pt idx="1">
                  <c:v>公务用车购置及运行维护费</c:v>
                </c:pt>
                <c:pt idx="2">
                  <c:v>公务接待费</c:v>
                </c:pt>
              </c:strCache>
            </c:strRef>
          </c:cat>
          <c:val>
            <c:numRef>
              <c:f>[绘图表.xls]图7!$B$4:$D$4</c:f>
              <c:numCache>
                <c:formatCode>0.00%</c:formatCode>
                <c:ptCount val="3"/>
                <c:pt idx="0">
                  <c:v>0</c:v>
                </c:pt>
                <c:pt idx="1">
                  <c:v>0.734270910436714</c:v>
                </c:pt>
                <c:pt idx="2">
                  <c:v>0.265729089563286</c:v>
                </c:pt>
              </c:numCache>
            </c:numRef>
          </c:val>
        </c:ser>
        <c:dLbls>
          <c:showLegendKey val="0"/>
          <c:showVal val="0"/>
          <c:showCatName val="0"/>
          <c:showSerName val="0"/>
          <c:showPercent val="0"/>
          <c:showBubbleSize val="0"/>
        </c:dLbls>
      </c:pie3DChart>
      <c:spPr>
        <a:noFill/>
        <a:ln>
          <a:noFill/>
        </a:ln>
        <a:effectLst/>
      </c:spPr>
    </c:plotArea>
    <c:legend>
      <c:legendPos val="r"/>
      <c:legendEntry>
        <c:idx val="0"/>
        <c:txPr>
          <a:bodyPr rot="0" spcFirstLastPara="0" vertOverflow="ellipsis" vert="horz" wrap="square" anchor="ctr" anchorCtr="1"/>
          <a:lstStyle/>
          <a:p>
            <a:pPr>
              <a:defRPr lang="zh-CN" sz="1000" b="1"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000" b="1"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1000" b="1"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000" b="1"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noFill/>
      <a:prstDash val="solid"/>
      <a:round/>
    </a:ln>
    <a:effectLst/>
  </c:spPr>
  <c:txPr>
    <a:bodyPr wrap="square"/>
    <a:lstStyle/>
    <a:p>
      <a:pPr>
        <a:defRPr lang="zh-CN"/>
      </a:pPr>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0.3665</cdr:x>
      <cdr:y>0.10875</cdr:y>
    </cdr:from>
    <cdr:to>
      <cdr:x>0.86025</cdr:x>
      <cdr:y>0.27175</cdr:y>
    </cdr:to>
    <cdr:sp>
      <cdr:nvSpPr>
        <cdr:cNvPr id="2" name="矩形 1"/>
        <cdr:cNvSpPr/>
      </cdr:nvSpPr>
      <cdr:spPr xmlns:a="http://schemas.openxmlformats.org/drawingml/2006/main">
        <a:xfrm xmlns:a="http://schemas.openxmlformats.org/drawingml/2006/main">
          <a:off x="1675638" y="298254"/>
          <a:ext cx="2257425" cy="447038"/>
        </a:xfrm>
        <a:prstGeom xmlns:a="http://schemas.openxmlformats.org/drawingml/2006/main" prst="rect">
          <a:avLst/>
        </a:prstGeom>
        <a:noFill/>
        <a:ln w="9525">
          <a:noFill/>
        </a:ln>
      </cdr:spPr>
    </cdr:sp>
  </cdr:relSizeAnchor>
  <cdr:relSizeAnchor xmlns:cdr="http://schemas.openxmlformats.org/drawingml/2006/chartDrawing">
    <cdr:from>
      <cdr:x>0.35625</cdr:x>
      <cdr:y>0.074</cdr:y>
    </cdr:from>
    <cdr:to>
      <cdr:x>0.77275</cdr:x>
      <cdr:y>0.23725</cdr:y>
    </cdr:to>
    <cdr:sp>
      <cdr:nvSpPr>
        <cdr:cNvPr id="3" name="矩形 2"/>
        <cdr:cNvSpPr/>
      </cdr:nvSpPr>
      <cdr:spPr xmlns:a="http://schemas.openxmlformats.org/drawingml/2006/main">
        <a:xfrm xmlns:a="http://schemas.openxmlformats.org/drawingml/2006/main">
          <a:off x="1628775" y="202950"/>
          <a:ext cx="1904238" cy="447724"/>
        </a:xfrm>
        <a:prstGeom xmlns:a="http://schemas.openxmlformats.org/drawingml/2006/main" prst="rect">
          <a:avLst/>
        </a:prstGeom>
        <a:noFill/>
        <a:ln w="9525">
          <a:noFill/>
        </a:ln>
      </cdr:spPr>
    </cdr:sp>
  </cdr:relSizeAnchor>
</c:userShape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7aeab66-6b94-4fc7-abca-4b3c94fcb192}"/>
        <w:style w:val=""/>
        <w:category>
          <w:name w:val="常规"/>
          <w:gallery w:val="placeholder"/>
        </w:category>
        <w:types>
          <w:type w:val="bbPlcHdr"/>
        </w:types>
        <w:behaviors>
          <w:behavior w:val="content"/>
        </w:behaviors>
        <w:description w:val=""/>
        <w:guid w:val="{27aeab66-6b94-4fc7-abca-4b3c94fcb192}"/>
      </w:docPartPr>
      <w:docPartBody>
        <w:p>
          <w:r>
            <w:rPr>
              <w:color w:val="808080"/>
            </w:rPr>
            <w:t>单击此处输入文字。</w:t>
          </w:r>
        </w:p>
      </w:docPartBody>
    </w:docPart>
    <w:docPart>
      <w:docPartPr>
        <w:name w:val="{e478e28e-2cc5-4201-86d1-8729363adcc8}"/>
        <w:style w:val=""/>
        <w:category>
          <w:name w:val="常规"/>
          <w:gallery w:val="placeholder"/>
        </w:category>
        <w:types>
          <w:type w:val="bbPlcHdr"/>
        </w:types>
        <w:behaviors>
          <w:behavior w:val="content"/>
        </w:behaviors>
        <w:description w:val=""/>
        <w:guid w:val="{e478e28e-2cc5-4201-86d1-8729363adcc8}"/>
      </w:docPartPr>
      <w:docPartBody>
        <w:p>
          <w:r>
            <w:rPr>
              <w:color w:val="808080"/>
            </w:rPr>
            <w:t>单击此处输入文字。</w:t>
          </w:r>
        </w:p>
      </w:docPartBody>
    </w:docPart>
    <w:docPart>
      <w:docPartPr>
        <w:name w:val="{93da306b-2415-4733-bada-92849bf9dcb6}"/>
        <w:style w:val=""/>
        <w:category>
          <w:name w:val="常规"/>
          <w:gallery w:val="placeholder"/>
        </w:category>
        <w:types>
          <w:type w:val="bbPlcHdr"/>
        </w:types>
        <w:behaviors>
          <w:behavior w:val="content"/>
        </w:behaviors>
        <w:description w:val=""/>
        <w:guid w:val="{93da306b-2415-4733-bada-92849bf9dcb6}"/>
      </w:docPartPr>
      <w:docPartBody>
        <w:p>
          <w:r>
            <w:rPr>
              <w:color w:val="808080"/>
            </w:rPr>
            <w:t>单击此处输入文字。</w:t>
          </w:r>
        </w:p>
      </w:docPartBody>
    </w:docPart>
    <w:docPart>
      <w:docPartPr>
        <w:name w:val="{48d92401-7f9f-423f-817f-ea1df512b363}"/>
        <w:style w:val=""/>
        <w:category>
          <w:name w:val="常规"/>
          <w:gallery w:val="placeholder"/>
        </w:category>
        <w:types>
          <w:type w:val="bbPlcHdr"/>
        </w:types>
        <w:behaviors>
          <w:behavior w:val="content"/>
        </w:behaviors>
        <w:description w:val=""/>
        <w:guid w:val="{48d92401-7f9f-423f-817f-ea1df512b363}"/>
      </w:docPartPr>
      <w:docPartBody>
        <w:p>
          <w:r>
            <w:rPr>
              <w:color w:val="808080"/>
            </w:rPr>
            <w:t>单击此处输入文字。</w:t>
          </w:r>
        </w:p>
      </w:docPartBody>
    </w:docPart>
    <w:docPart>
      <w:docPartPr>
        <w:name w:val="{7a57f36b-0c9f-4694-872f-7adaf50536ba}"/>
        <w:style w:val=""/>
        <w:category>
          <w:name w:val="常规"/>
          <w:gallery w:val="placeholder"/>
        </w:category>
        <w:types>
          <w:type w:val="bbPlcHdr"/>
        </w:types>
        <w:behaviors>
          <w:behavior w:val="content"/>
        </w:behaviors>
        <w:description w:val=""/>
        <w:guid w:val="{7a57f36b-0c9f-4694-872f-7adaf50536ba}"/>
      </w:docPartPr>
      <w:docPartBody>
        <w:p>
          <w:r>
            <w:rPr>
              <w:color w:val="808080"/>
            </w:rPr>
            <w:t>单击此处输入文字。</w:t>
          </w:r>
        </w:p>
      </w:docPartBody>
    </w:docPart>
    <w:docPart>
      <w:docPartPr>
        <w:name w:val="{17334e80-d9ab-48a1-93b3-f10b9de431fa}"/>
        <w:style w:val=""/>
        <w:category>
          <w:name w:val="常规"/>
          <w:gallery w:val="placeholder"/>
        </w:category>
        <w:types>
          <w:type w:val="bbPlcHdr"/>
        </w:types>
        <w:behaviors>
          <w:behavior w:val="content"/>
        </w:behaviors>
        <w:description w:val=""/>
        <w:guid w:val="{17334e80-d9ab-48a1-93b3-f10b9de431fa}"/>
      </w:docPartPr>
      <w:docPartBody>
        <w:p>
          <w:r>
            <w:rPr>
              <w:color w:val="808080"/>
            </w:rPr>
            <w:t>单击此处输入文字。</w:t>
          </w:r>
        </w:p>
      </w:docPartBody>
    </w:docPart>
    <w:docPart>
      <w:docPartPr>
        <w:name w:val="{1433758e-7cb4-4d36-8d93-cb5f5d3ff268}"/>
        <w:style w:val=""/>
        <w:category>
          <w:name w:val="常规"/>
          <w:gallery w:val="placeholder"/>
        </w:category>
        <w:types>
          <w:type w:val="bbPlcHdr"/>
        </w:types>
        <w:behaviors>
          <w:behavior w:val="content"/>
        </w:behaviors>
        <w:description w:val=""/>
        <w:guid w:val="{1433758e-7cb4-4d36-8d93-cb5f5d3ff268}"/>
      </w:docPartPr>
      <w:docPartBody>
        <w:p>
          <w:r>
            <w:rPr>
              <w:color w:val="808080"/>
            </w:rPr>
            <w:t>单击此处输入文字。</w:t>
          </w:r>
        </w:p>
      </w:docPartBody>
    </w:docPart>
    <w:docPart>
      <w:docPartPr>
        <w:name w:val="{46758109-1647-4fdd-a6db-7e7eee4c4c48}"/>
        <w:style w:val=""/>
        <w:category>
          <w:name w:val="常规"/>
          <w:gallery w:val="placeholder"/>
        </w:category>
        <w:types>
          <w:type w:val="bbPlcHdr"/>
        </w:types>
        <w:behaviors>
          <w:behavior w:val="content"/>
        </w:behaviors>
        <w:description w:val=""/>
        <w:guid w:val="{46758109-1647-4fdd-a6db-7e7eee4c4c48}"/>
      </w:docPartPr>
      <w:docPartBody>
        <w:p>
          <w:r>
            <w:rPr>
              <w:color w:val="808080"/>
            </w:rPr>
            <w:t>单击此处输入文字。</w:t>
          </w:r>
        </w:p>
      </w:docPartBody>
    </w:docPart>
    <w:docPart>
      <w:docPartPr>
        <w:name w:val="{b0464909-b6e0-4aa9-9d04-7400f2f3355b}"/>
        <w:style w:val=""/>
        <w:category>
          <w:name w:val="常规"/>
          <w:gallery w:val="placeholder"/>
        </w:category>
        <w:types>
          <w:type w:val="bbPlcHdr"/>
        </w:types>
        <w:behaviors>
          <w:behavior w:val="content"/>
        </w:behaviors>
        <w:description w:val=""/>
        <w:guid w:val="{b0464909-b6e0-4aa9-9d04-7400f2f3355b}"/>
      </w:docPartPr>
      <w:docPartBody>
        <w:p>
          <w:r>
            <w:rPr>
              <w:color w:val="808080"/>
            </w:rPr>
            <w:t>单击此处输入文字。</w:t>
          </w:r>
        </w:p>
      </w:docPartBody>
    </w:docPart>
    <w:docPart>
      <w:docPartPr>
        <w:name w:val="{d0f95783-3e77-4a42-ad3f-3a2bf8ffa7d5}"/>
        <w:style w:val=""/>
        <w:category>
          <w:name w:val="常规"/>
          <w:gallery w:val="placeholder"/>
        </w:category>
        <w:types>
          <w:type w:val="bbPlcHdr"/>
        </w:types>
        <w:behaviors>
          <w:behavior w:val="content"/>
        </w:behaviors>
        <w:description w:val=""/>
        <w:guid w:val="{d0f95783-3e77-4a42-ad3f-3a2bf8ffa7d5}"/>
      </w:docPartPr>
      <w:docPartBody>
        <w:p>
          <w:r>
            <w:rPr>
              <w:color w:val="808080"/>
            </w:rPr>
            <w:t>单击此处输入文字。</w:t>
          </w:r>
        </w:p>
      </w:docPartBody>
    </w:docPart>
    <w:docPart>
      <w:docPartPr>
        <w:name w:val="{d29cd4cd-9e8b-4308-a453-36beb2f5a1c7}"/>
        <w:style w:val=""/>
        <w:category>
          <w:name w:val="常规"/>
          <w:gallery w:val="placeholder"/>
        </w:category>
        <w:types>
          <w:type w:val="bbPlcHdr"/>
        </w:types>
        <w:behaviors>
          <w:behavior w:val="content"/>
        </w:behaviors>
        <w:description w:val=""/>
        <w:guid w:val="{d29cd4cd-9e8b-4308-a453-36beb2f5a1c7}"/>
      </w:docPartPr>
      <w:docPartBody>
        <w:p>
          <w:r>
            <w:rPr>
              <w:color w:val="808080"/>
            </w:rPr>
            <w:t>单击此处输入文字。</w:t>
          </w:r>
        </w:p>
      </w:docPartBody>
    </w:docPart>
    <w:docPart>
      <w:docPartPr>
        <w:name w:val="{5d8ac77b-faeb-473e-ac70-de5b730a5cbc}"/>
        <w:style w:val=""/>
        <w:category>
          <w:name w:val="常规"/>
          <w:gallery w:val="placeholder"/>
        </w:category>
        <w:types>
          <w:type w:val="bbPlcHdr"/>
        </w:types>
        <w:behaviors>
          <w:behavior w:val="content"/>
        </w:behaviors>
        <w:description w:val=""/>
        <w:guid w:val="{5d8ac77b-faeb-473e-ac70-de5b730a5cbc}"/>
      </w:docPartPr>
      <w:docPartBody>
        <w:p>
          <w:r>
            <w:rPr>
              <w:color w:val="808080"/>
            </w:rPr>
            <w:t>单击此处输入文字。</w:t>
          </w:r>
        </w:p>
      </w:docPartBody>
    </w:docPart>
    <w:docPart>
      <w:docPartPr>
        <w:name w:val="{889a7c36-df33-48d7-b566-51c24c56ddcc}"/>
        <w:style w:val=""/>
        <w:category>
          <w:name w:val="常规"/>
          <w:gallery w:val="placeholder"/>
        </w:category>
        <w:types>
          <w:type w:val="bbPlcHdr"/>
        </w:types>
        <w:behaviors>
          <w:behavior w:val="content"/>
        </w:behaviors>
        <w:description w:val=""/>
        <w:guid w:val="{889a7c36-df33-48d7-b566-51c24c56ddcc}"/>
      </w:docPartPr>
      <w:docPartBody>
        <w:p>
          <w:r>
            <w:rPr>
              <w:color w:val="808080"/>
            </w:rPr>
            <w:t>单击此处输入文字。</w:t>
          </w:r>
        </w:p>
      </w:docPartBody>
    </w:docPart>
    <w:docPart>
      <w:docPartPr>
        <w:name w:val="{6dafff5f-aa4e-420c-b829-320d5bef3009}"/>
        <w:style w:val=""/>
        <w:category>
          <w:name w:val="常规"/>
          <w:gallery w:val="placeholder"/>
        </w:category>
        <w:types>
          <w:type w:val="bbPlcHdr"/>
        </w:types>
        <w:behaviors>
          <w:behavior w:val="content"/>
        </w:behaviors>
        <w:description w:val=""/>
        <w:guid w:val="{6dafff5f-aa4e-420c-b829-320d5bef3009}"/>
      </w:docPartPr>
      <w:docPartBody>
        <w:p>
          <w:r>
            <w:rPr>
              <w:color w:val="808080"/>
            </w:rPr>
            <w:t>单击此处输入文字。</w:t>
          </w:r>
        </w:p>
      </w:docPartBody>
    </w:docPart>
    <w:docPart>
      <w:docPartPr>
        <w:name w:val="{0ab645a7-199a-44e4-92ae-b3b377ebfdc0}"/>
        <w:style w:val=""/>
        <w:category>
          <w:name w:val="常规"/>
          <w:gallery w:val="placeholder"/>
        </w:category>
        <w:types>
          <w:type w:val="bbPlcHdr"/>
        </w:types>
        <w:behaviors>
          <w:behavior w:val="content"/>
        </w:behaviors>
        <w:description w:val=""/>
        <w:guid w:val="{0ab645a7-199a-44e4-92ae-b3b377ebfdc0}"/>
      </w:docPartPr>
      <w:docPartBody>
        <w:p>
          <w:r>
            <w:rPr>
              <w:color w:val="808080"/>
            </w:rPr>
            <w:t>单击此处输入文字。</w:t>
          </w:r>
        </w:p>
      </w:docPartBody>
    </w:docPart>
    <w:docPart>
      <w:docPartPr>
        <w:name w:val="{01cd9bab-9ca7-4a5e-b828-30ecb9f4b2bb}"/>
        <w:style w:val=""/>
        <w:category>
          <w:name w:val="常规"/>
          <w:gallery w:val="placeholder"/>
        </w:category>
        <w:types>
          <w:type w:val="bbPlcHdr"/>
        </w:types>
        <w:behaviors>
          <w:behavior w:val="content"/>
        </w:behaviors>
        <w:description w:val=""/>
        <w:guid w:val="{01cd9bab-9ca7-4a5e-b828-30ecb9f4b2bb}"/>
      </w:docPartPr>
      <w:docPartBody>
        <w:p>
          <w:r>
            <w:rPr>
              <w:color w:val="808080"/>
            </w:rPr>
            <w:t>单击此处输入文字。</w:t>
          </w:r>
        </w:p>
      </w:docPartBody>
    </w:docPart>
    <w:docPart>
      <w:docPartPr>
        <w:name w:val="{a6212573-5e86-470a-a32e-52a9033acc5e}"/>
        <w:style w:val=""/>
        <w:category>
          <w:name w:val="常规"/>
          <w:gallery w:val="placeholder"/>
        </w:category>
        <w:types>
          <w:type w:val="bbPlcHdr"/>
        </w:types>
        <w:behaviors>
          <w:behavior w:val="content"/>
        </w:behaviors>
        <w:description w:val=""/>
        <w:guid w:val="{a6212573-5e86-470a-a32e-52a9033acc5e}"/>
      </w:docPartPr>
      <w:docPartBody>
        <w:p>
          <w:r>
            <w:rPr>
              <w:color w:val="808080"/>
            </w:rPr>
            <w:t>单击此处输入文字。</w:t>
          </w:r>
        </w:p>
      </w:docPartBody>
    </w:docPart>
    <w:docPart>
      <w:docPartPr>
        <w:name w:val="{7be313bb-3ce3-43eb-9f25-6f024d6adbec}"/>
        <w:style w:val=""/>
        <w:category>
          <w:name w:val="常规"/>
          <w:gallery w:val="placeholder"/>
        </w:category>
        <w:types>
          <w:type w:val="bbPlcHdr"/>
        </w:types>
        <w:behaviors>
          <w:behavior w:val="content"/>
        </w:behaviors>
        <w:description w:val=""/>
        <w:guid w:val="{7be313bb-3ce3-43eb-9f25-6f024d6adbec}"/>
      </w:docPartPr>
      <w:docPartBody>
        <w:p>
          <w:r>
            <w:rPr>
              <w:color w:val="808080"/>
            </w:rPr>
            <w:t>单击此处输入文字。</w:t>
          </w:r>
        </w:p>
      </w:docPartBody>
    </w:docPart>
    <w:docPart>
      <w:docPartPr>
        <w:name w:val="{3eb0b2f7-9177-49df-b0a5-c3fa903ac2e8}"/>
        <w:style w:val=""/>
        <w:category>
          <w:name w:val="常规"/>
          <w:gallery w:val="placeholder"/>
        </w:category>
        <w:types>
          <w:type w:val="bbPlcHdr"/>
        </w:types>
        <w:behaviors>
          <w:behavior w:val="content"/>
        </w:behaviors>
        <w:description w:val=""/>
        <w:guid w:val="{3eb0b2f7-9177-49df-b0a5-c3fa903ac2e8}"/>
      </w:docPartPr>
      <w:docPartBody>
        <w:p>
          <w:r>
            <w:rPr>
              <w:color w:val="808080"/>
            </w:rPr>
            <w:t>单击此处输入文字。</w:t>
          </w:r>
        </w:p>
      </w:docPartBody>
    </w:docPart>
    <w:docPart>
      <w:docPartPr>
        <w:name w:val="{35493194-952b-4905-9ae4-439f9f0a3b40}"/>
        <w:style w:val=""/>
        <w:category>
          <w:name w:val="常规"/>
          <w:gallery w:val="placeholder"/>
        </w:category>
        <w:types>
          <w:type w:val="bbPlcHdr"/>
        </w:types>
        <w:behaviors>
          <w:behavior w:val="content"/>
        </w:behaviors>
        <w:description w:val=""/>
        <w:guid w:val="{35493194-952b-4905-9ae4-439f9f0a3b40}"/>
      </w:docPartPr>
      <w:docPartBody>
        <w:p>
          <w:r>
            <w:rPr>
              <w:color w:val="808080"/>
            </w:rPr>
            <w:t>单击此处输入文字。</w:t>
          </w:r>
        </w:p>
      </w:docPartBody>
    </w:docPart>
    <w:docPart>
      <w:docPartPr>
        <w:name w:val="{95e34683-e875-48ed-9f36-61404b6c5fbc}"/>
        <w:style w:val=""/>
        <w:category>
          <w:name w:val="常规"/>
          <w:gallery w:val="placeholder"/>
        </w:category>
        <w:types>
          <w:type w:val="bbPlcHdr"/>
        </w:types>
        <w:behaviors>
          <w:behavior w:val="content"/>
        </w:behaviors>
        <w:description w:val=""/>
        <w:guid w:val="{95e34683-e875-48ed-9f36-61404b6c5fbc}"/>
      </w:docPartPr>
      <w:docPartBody>
        <w:p>
          <w:r>
            <w:rPr>
              <w:color w:val="808080"/>
            </w:rPr>
            <w:t>单击此处输入文字。</w:t>
          </w:r>
        </w:p>
      </w:docPartBody>
    </w:docPart>
    <w:docPart>
      <w:docPartPr>
        <w:name w:val="{fe948a1c-8259-4a92-97ef-3a4f0d07b2cb}"/>
        <w:style w:val=""/>
        <w:category>
          <w:name w:val="常规"/>
          <w:gallery w:val="placeholder"/>
        </w:category>
        <w:types>
          <w:type w:val="bbPlcHdr"/>
        </w:types>
        <w:behaviors>
          <w:behavior w:val="content"/>
        </w:behaviors>
        <w:description w:val=""/>
        <w:guid w:val="{fe948a1c-8259-4a92-97ef-3a4f0d07b2cb}"/>
      </w:docPartPr>
      <w:docPartBody>
        <w:p>
          <w:r>
            <w:rPr>
              <w:color w:val="808080"/>
            </w:rPr>
            <w:t>单击此处输入文字。</w:t>
          </w:r>
        </w:p>
      </w:docPartBody>
    </w:docPart>
    <w:docPart>
      <w:docPartPr>
        <w:name w:val="{77b21000-02b1-4097-9162-36255a195d37}"/>
        <w:style w:val=""/>
        <w:category>
          <w:name w:val="常规"/>
          <w:gallery w:val="placeholder"/>
        </w:category>
        <w:types>
          <w:type w:val="bbPlcHdr"/>
        </w:types>
        <w:behaviors>
          <w:behavior w:val="content"/>
        </w:behaviors>
        <w:description w:val=""/>
        <w:guid w:val="{77b21000-02b1-4097-9162-36255a195d37}"/>
      </w:docPartPr>
      <w:docPartBody>
        <w:p>
          <w:r>
            <w:rPr>
              <w:color w:val="808080"/>
            </w:rPr>
            <w:t>单击此处输入文字。</w:t>
          </w:r>
        </w:p>
      </w:docPartBody>
    </w:docPart>
    <w:docPart>
      <w:docPartPr>
        <w:name w:val="{98ef6133-8707-42e3-b1ec-bcb2fa76345c}"/>
        <w:style w:val=""/>
        <w:category>
          <w:name w:val="常规"/>
          <w:gallery w:val="placeholder"/>
        </w:category>
        <w:types>
          <w:type w:val="bbPlcHdr"/>
        </w:types>
        <w:behaviors>
          <w:behavior w:val="content"/>
        </w:behaviors>
        <w:description w:val=""/>
        <w:guid w:val="{98ef6133-8707-42e3-b1ec-bcb2fa76345c}"/>
      </w:docPartPr>
      <w:docPartBody>
        <w:p>
          <w:r>
            <w:rPr>
              <w:color w:val="808080"/>
            </w:rPr>
            <w:t>单击此处输入文字。</w:t>
          </w:r>
        </w:p>
      </w:docPartBody>
    </w:docPart>
    <w:docPart>
      <w:docPartPr>
        <w:name w:val="{667c725e-000a-409d-a0aa-5076d96343a1}"/>
        <w:style w:val=""/>
        <w:category>
          <w:name w:val="常规"/>
          <w:gallery w:val="placeholder"/>
        </w:category>
        <w:types>
          <w:type w:val="bbPlcHdr"/>
        </w:types>
        <w:behaviors>
          <w:behavior w:val="content"/>
        </w:behaviors>
        <w:description w:val=""/>
        <w:guid w:val="{667c725e-000a-409d-a0aa-5076d96343a1}"/>
      </w:docPartPr>
      <w:docPartBody>
        <w:p>
          <w:r>
            <w:rPr>
              <w:color w:val="808080"/>
            </w:rPr>
            <w:t>单击此处输入文字。</w:t>
          </w:r>
        </w:p>
      </w:docPartBody>
    </w:docPart>
    <w:docPart>
      <w:docPartPr>
        <w:name w:val="{422f2492-caa0-4887-9d80-fb0ec59215b6}"/>
        <w:style w:val=""/>
        <w:category>
          <w:name w:val="常规"/>
          <w:gallery w:val="placeholder"/>
        </w:category>
        <w:types>
          <w:type w:val="bbPlcHdr"/>
        </w:types>
        <w:behaviors>
          <w:behavior w:val="content"/>
        </w:behaviors>
        <w:description w:val=""/>
        <w:guid w:val="{422f2492-caa0-4887-9d80-fb0ec59215b6}"/>
      </w:docPartPr>
      <w:docPartBody>
        <w:p>
          <w:r>
            <w:rPr>
              <w:color w:val="808080"/>
            </w:rPr>
            <w:t>单击此处输入文字。</w:t>
          </w:r>
        </w:p>
      </w:docPartBody>
    </w:docPart>
    <w:docPart>
      <w:docPartPr>
        <w:name w:val="{a396e611-969f-47e8-bc02-4b20df4a38c9}"/>
        <w:style w:val=""/>
        <w:category>
          <w:name w:val="常规"/>
          <w:gallery w:val="placeholder"/>
        </w:category>
        <w:types>
          <w:type w:val="bbPlcHdr"/>
        </w:types>
        <w:behaviors>
          <w:behavior w:val="content"/>
        </w:behaviors>
        <w:description w:val=""/>
        <w:guid w:val="{a396e611-969f-47e8-bc02-4b20df4a38c9}"/>
      </w:docPartPr>
      <w:docPartBody>
        <w:p>
          <w:r>
            <w:rPr>
              <w:color w:val="808080"/>
            </w:rPr>
            <w:t>单击此处输入文字。</w:t>
          </w:r>
        </w:p>
      </w:docPartBody>
    </w:docPart>
    <w:docPart>
      <w:docPartPr>
        <w:name w:val="{96e6ab82-00ec-4795-8975-f98b013909e0}"/>
        <w:style w:val=""/>
        <w:category>
          <w:name w:val="常规"/>
          <w:gallery w:val="placeholder"/>
        </w:category>
        <w:types>
          <w:type w:val="bbPlcHdr"/>
        </w:types>
        <w:behaviors>
          <w:behavior w:val="content"/>
        </w:behaviors>
        <w:description w:val=""/>
        <w:guid w:val="{96e6ab82-00ec-4795-8975-f98b013909e0}"/>
      </w:docPartPr>
      <w:docPartBody>
        <w:p>
          <w:r>
            <w:rPr>
              <w:color w:val="808080"/>
            </w:rPr>
            <w:t>单击此处输入文字。</w:t>
          </w:r>
        </w:p>
      </w:docPartBody>
    </w:docPart>
    <w:docPart>
      <w:docPartPr>
        <w:name w:val="{bcdbda49-ae44-4d9e-b073-5c8d83f6ee16}"/>
        <w:style w:val=""/>
        <w:category>
          <w:name w:val="常规"/>
          <w:gallery w:val="placeholder"/>
        </w:category>
        <w:types>
          <w:type w:val="bbPlcHdr"/>
        </w:types>
        <w:behaviors>
          <w:behavior w:val="content"/>
        </w:behaviors>
        <w:description w:val=""/>
        <w:guid w:val="{bcdbda49-ae44-4d9e-b073-5c8d83f6ee16}"/>
      </w:docPartPr>
      <w:docPartBody>
        <w:p>
          <w:r>
            <w:rPr>
              <w:color w:val="808080"/>
            </w:rPr>
            <w:t>单击此处输入文字。</w:t>
          </w:r>
        </w:p>
      </w:docPartBody>
    </w:docPart>
    <w:docPart>
      <w:docPartPr>
        <w:name w:val="{26390178-59f6-4b58-a900-2033027655b0}"/>
        <w:style w:val=""/>
        <w:category>
          <w:name w:val="常规"/>
          <w:gallery w:val="placeholder"/>
        </w:category>
        <w:types>
          <w:type w:val="bbPlcHdr"/>
        </w:types>
        <w:behaviors>
          <w:behavior w:val="content"/>
        </w:behaviors>
        <w:description w:val=""/>
        <w:guid w:val="{26390178-59f6-4b58-a900-2033027655b0}"/>
      </w:docPartPr>
      <w:docPartBody>
        <w:p>
          <w:r>
            <w:rPr>
              <w:color w:val="808080"/>
            </w:rPr>
            <w:t>单击此处输入文字。</w:t>
          </w:r>
        </w:p>
      </w:docPartBody>
    </w:docPart>
    <w:docPart>
      <w:docPartPr>
        <w:name w:val="{cfad161f-23eb-447c-9a22-afc60e01185b}"/>
        <w:style w:val=""/>
        <w:category>
          <w:name w:val="常规"/>
          <w:gallery w:val="placeholder"/>
        </w:category>
        <w:types>
          <w:type w:val="bbPlcHdr"/>
        </w:types>
        <w:behaviors>
          <w:behavior w:val="content"/>
        </w:behaviors>
        <w:description w:val=""/>
        <w:guid w:val="{cfad161f-23eb-447c-9a22-afc60e01185b}"/>
      </w:docPartPr>
      <w:docPartBody>
        <w:p>
          <w:r>
            <w:rPr>
              <w:color w:val="808080"/>
            </w:rPr>
            <w:t>单击此处输入文字。</w:t>
          </w:r>
        </w:p>
      </w:docPartBody>
    </w:docPart>
    <w:docPart>
      <w:docPartPr>
        <w:name w:val="{26fbe3aa-495c-4287-97c1-5649710bda75}"/>
        <w:style w:val=""/>
        <w:category>
          <w:name w:val="常规"/>
          <w:gallery w:val="placeholder"/>
        </w:category>
        <w:types>
          <w:type w:val="bbPlcHdr"/>
        </w:types>
        <w:behaviors>
          <w:behavior w:val="content"/>
        </w:behaviors>
        <w:description w:val=""/>
        <w:guid w:val="{26fbe3aa-495c-4287-97c1-5649710bda75}"/>
      </w:docPartPr>
      <w:docPartBody>
        <w:p>
          <w:r>
            <w:rPr>
              <w:color w:val="808080"/>
            </w:rPr>
            <w:t>单击此处输入文字。</w:t>
          </w:r>
        </w:p>
      </w:docPartBody>
    </w:docPart>
    <w:docPart>
      <w:docPartPr>
        <w:name w:val="{6b6124cc-4afc-4b92-9496-ed73c67d7406}"/>
        <w:style w:val=""/>
        <w:category>
          <w:name w:val="常规"/>
          <w:gallery w:val="placeholder"/>
        </w:category>
        <w:types>
          <w:type w:val="bbPlcHdr"/>
        </w:types>
        <w:behaviors>
          <w:behavior w:val="content"/>
        </w:behaviors>
        <w:description w:val=""/>
        <w:guid w:val="{6b6124cc-4afc-4b92-9496-ed73c67d7406}"/>
      </w:docPartPr>
      <w:docPartBody>
        <w:p>
          <w:r>
            <w:rPr>
              <w:color w:val="808080"/>
            </w:rPr>
            <w:t>单击此处输入文字。</w:t>
          </w:r>
        </w:p>
      </w:docPartBody>
    </w:docPart>
    <w:docPart>
      <w:docPartPr>
        <w:name w:val="{9e5821b4-4894-438d-b030-b076674c67b5}"/>
        <w:style w:val=""/>
        <w:category>
          <w:name w:val="常规"/>
          <w:gallery w:val="placeholder"/>
        </w:category>
        <w:types>
          <w:type w:val="bbPlcHdr"/>
        </w:types>
        <w:behaviors>
          <w:behavior w:val="content"/>
        </w:behaviors>
        <w:description w:val=""/>
        <w:guid w:val="{9e5821b4-4894-438d-b030-b076674c67b5}"/>
      </w:docPartPr>
      <w:docPartBody>
        <w:p>
          <w:r>
            <w:rPr>
              <w:color w:val="808080"/>
            </w:rPr>
            <w:t>单击此处输入文字。</w:t>
          </w:r>
        </w:p>
      </w:docPartBody>
    </w:docPart>
    <w:docPart>
      <w:docPartPr>
        <w:name w:val="{522dfbb1-f73e-467f-af8a-25b62c436c45}"/>
        <w:style w:val=""/>
        <w:category>
          <w:name w:val="常规"/>
          <w:gallery w:val="placeholder"/>
        </w:category>
        <w:types>
          <w:type w:val="bbPlcHdr"/>
        </w:types>
        <w:behaviors>
          <w:behavior w:val="content"/>
        </w:behaviors>
        <w:description w:val=""/>
        <w:guid w:val="{522dfbb1-f73e-467f-af8a-25b62c436c45}"/>
      </w:docPartPr>
      <w:docPartBody>
        <w:p>
          <w:r>
            <w:rPr>
              <w:color w:val="808080"/>
            </w:rPr>
            <w:t>单击此处输入文字。</w:t>
          </w:r>
        </w:p>
      </w:docPartBody>
    </w:docPart>
    <w:docPart>
      <w:docPartPr>
        <w:name w:val="{2d9084d1-3546-46ba-a8f8-457ab51e0bba}"/>
        <w:style w:val=""/>
        <w:category>
          <w:name w:val="常规"/>
          <w:gallery w:val="placeholder"/>
        </w:category>
        <w:types>
          <w:type w:val="bbPlcHdr"/>
        </w:types>
        <w:behaviors>
          <w:behavior w:val="content"/>
        </w:behaviors>
        <w:description w:val=""/>
        <w:guid w:val="{2d9084d1-3546-46ba-a8f8-457ab51e0bba}"/>
      </w:docPartPr>
      <w:docPartBody>
        <w:p>
          <w:r>
            <w:rPr>
              <w:color w:val="808080"/>
            </w:rPr>
            <w:t>单击此处输入文字。</w:t>
          </w:r>
        </w:p>
      </w:docPartBody>
    </w:docPart>
    <w:docPart>
      <w:docPartPr>
        <w:name w:val="{f6b87d9c-55b4-40d6-b720-3a90a31c98cc}"/>
        <w:style w:val=""/>
        <w:category>
          <w:name w:val="常规"/>
          <w:gallery w:val="placeholder"/>
        </w:category>
        <w:types>
          <w:type w:val="bbPlcHdr"/>
        </w:types>
        <w:behaviors>
          <w:behavior w:val="content"/>
        </w:behaviors>
        <w:description w:val=""/>
        <w:guid w:val="{f6b87d9c-55b4-40d6-b720-3a90a31c98cc}"/>
      </w:docPartPr>
      <w:docPartBody>
        <w:p>
          <w:r>
            <w:rPr>
              <w:color w:val="808080"/>
            </w:rPr>
            <w:t>单击此处输入文字。</w:t>
          </w:r>
        </w:p>
      </w:docPartBody>
    </w:docPart>
    <w:docPart>
      <w:docPartPr>
        <w:name w:val="{307623eb-07d8-4b84-9c56-e552c8cf9577}"/>
        <w:style w:val=""/>
        <w:category>
          <w:name w:val="常规"/>
          <w:gallery w:val="placeholder"/>
        </w:category>
        <w:types>
          <w:type w:val="bbPlcHdr"/>
        </w:types>
        <w:behaviors>
          <w:behavior w:val="content"/>
        </w:behaviors>
        <w:description w:val=""/>
        <w:guid w:val="{307623eb-07d8-4b84-9c56-e552c8cf9577}"/>
      </w:docPartPr>
      <w:docPartBody>
        <w:p>
          <w:r>
            <w:rPr>
              <w:color w:val="808080"/>
            </w:rPr>
            <w:t>单击此处输入文字。</w:t>
          </w:r>
        </w:p>
      </w:docPartBody>
    </w:docPart>
    <w:docPart>
      <w:docPartPr>
        <w:name w:val="{48c8762d-9179-4d94-875f-25d55138b3aa}"/>
        <w:style w:val=""/>
        <w:category>
          <w:name w:val="常规"/>
          <w:gallery w:val="placeholder"/>
        </w:category>
        <w:types>
          <w:type w:val="bbPlcHdr"/>
        </w:types>
        <w:behaviors>
          <w:behavior w:val="content"/>
        </w:behaviors>
        <w:description w:val=""/>
        <w:guid w:val="{48c8762d-9179-4d94-875f-25d55138b3aa}"/>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5D93A3-FAAC-4EA2-BE86-81B6AE982A80}">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24</Pages>
  <Words>1276</Words>
  <Characters>7277</Characters>
  <Lines>60</Lines>
  <Paragraphs>17</Paragraphs>
  <TotalTime>3</TotalTime>
  <ScaleCrop>false</ScaleCrop>
  <LinksUpToDate>false</LinksUpToDate>
  <CharactersWithSpaces>8536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2020-08-04T01:49:00Z</dcterms:created>
  <dc:creator>曹颖</dc:creator>
  <cp:lastModifiedBy>何燕</cp:lastModifiedBy>
  <cp:lastPrinted>2020-07-23T02:58:00Z</cp:lastPrinted>
  <dcterms:modified xsi:type="dcterms:W3CDTF">2021-07-09T06:50:13Z</dcterms:modified>
  <dc:title>四川省***</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