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ind w:firstLine="3120" w:firstLineChars="600"/>
        <w:outlineLvl w:val="0"/>
        <w:rPr>
          <w:rFonts w:ascii="方正小标宋简体" w:hAnsi="方正小标宋简体" w:eastAsia="方正小标宋简体" w:cs="方正小标宋简体"/>
          <w:sz w:val="52"/>
          <w:szCs w:val="52"/>
        </w:rPr>
      </w:pPr>
      <w:bookmarkStart w:id="1" w:name="_Toc15377193"/>
      <w:bookmarkStart w:id="2" w:name="_Toc15396597"/>
      <w:bookmarkStart w:id="3" w:name="_Toc15396475"/>
      <w:bookmarkStart w:id="4" w:name="_Toc15377425"/>
      <w:bookmarkStart w:id="5" w:name="_Toc15378441"/>
      <w:r>
        <w:rPr>
          <w:rFonts w:hint="eastAsia" w:ascii="方正小标宋简体" w:hAnsi="方正小标宋简体" w:eastAsia="方正小标宋简体" w:cs="方正小标宋简体"/>
          <w:sz w:val="52"/>
          <w:szCs w:val="52"/>
        </w:rPr>
        <w:t>2021年度</w:t>
      </w:r>
      <w:bookmarkEnd w:id="1"/>
      <w:bookmarkEnd w:id="2"/>
      <w:bookmarkEnd w:id="3"/>
      <w:bookmarkEnd w:id="4"/>
      <w:bookmarkEnd w:id="5"/>
      <w:bookmarkStart w:id="6" w:name="_Toc15396598"/>
      <w:bookmarkStart w:id="7" w:name="_Toc15378442"/>
      <w:bookmarkStart w:id="8" w:name="_Toc15377194"/>
      <w:bookmarkStart w:id="9" w:name="_Toc15377426"/>
      <w:bookmarkStart w:id="10" w:name="_Toc15396476"/>
    </w:p>
    <w:p>
      <w:pPr>
        <w:adjustRightInd w:val="0"/>
        <w:snapToGrid w:val="0"/>
        <w:spacing w:line="360" w:lineRule="auto"/>
        <w:jc w:val="center"/>
        <w:outlineLvl w:val="0"/>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四川省</w:t>
      </w:r>
      <w:bookmarkEnd w:id="0"/>
      <w:bookmarkStart w:id="11" w:name="_Toc15306268"/>
      <w:r>
        <w:rPr>
          <w:rFonts w:hint="eastAsia" w:ascii="方正小标宋简体" w:hAnsi="方正小标宋简体" w:eastAsia="方正小标宋简体" w:cs="方正小标宋简体"/>
          <w:sz w:val="52"/>
          <w:szCs w:val="52"/>
        </w:rPr>
        <w:t>乐山市水利电力建筑勘察设计研究院单位决算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w:t>
      </w:r>
      <w:r>
        <w:t xml:space="preserve"> </w:t>
      </w:r>
      <w:r>
        <w:rPr>
          <w:rFonts w:hint="eastAsia"/>
        </w:rPr>
        <w:t>9月</w:t>
      </w:r>
      <w:r>
        <w:t xml:space="preserve"> </w:t>
      </w:r>
      <w:r>
        <w:rPr>
          <w:rFonts w:hint="eastAsia"/>
          <w:lang w:val="en-US" w:eastAsia="zh-CN"/>
        </w:rPr>
        <w:t>29</w:t>
      </w:r>
      <w:bookmarkStart w:id="67" w:name="_GoBack"/>
      <w:bookmarkEnd w:id="67"/>
      <w:r>
        <w:rPr>
          <w:rFonts w:hint="eastAsia"/>
        </w:rPr>
        <w:t>日</w:t>
      </w:r>
    </w:p>
    <w:p/>
    <w:p>
      <w:pPr>
        <w:pStyle w:val="10"/>
        <w:adjustRightInd w:val="0"/>
        <w:snapToGrid w:val="0"/>
        <w:spacing w:before="0" w:line="440" w:lineRule="exact"/>
        <w:jc w:val="left"/>
        <w:rPr>
          <w:sz w:val="24"/>
        </w:rPr>
      </w:pPr>
      <w:r>
        <w:rPr>
          <w:rFonts w:hint="eastAsia"/>
          <w:sz w:val="24"/>
        </w:rPr>
        <w:t>第一部分</w:t>
      </w:r>
      <w:r>
        <w:rPr>
          <w:sz w:val="24"/>
        </w:rPr>
        <w:t xml:space="preserve"> </w:t>
      </w:r>
      <w:r>
        <w:rPr>
          <w:rFonts w:hint="eastAsia"/>
          <w:sz w:val="24"/>
        </w:rPr>
        <w:t>单位概况</w:t>
      </w:r>
      <w:r>
        <w:ptab w:relativeTo="margin" w:alignment="right" w:leader="dot"/>
      </w:r>
      <w:r>
        <w:rPr>
          <w:rFonts w:hint="eastAsia"/>
        </w:rPr>
        <w:t>4</w:t>
      </w:r>
    </w:p>
    <w:p>
      <w:pPr>
        <w:pStyle w:val="11"/>
        <w:adjustRightInd w:val="0"/>
        <w:snapToGrid w:val="0"/>
        <w:spacing w:line="440" w:lineRule="exact"/>
        <w:jc w:val="left"/>
        <w:rPr>
          <w:sz w:val="24"/>
        </w:rPr>
      </w:pPr>
      <w:r>
        <w:rPr>
          <w:rFonts w:hint="eastAsia"/>
          <w:sz w:val="24"/>
        </w:rPr>
        <w:t>一、职能简介</w:t>
      </w:r>
      <w:r>
        <w:ptab w:relativeTo="margin" w:alignment="right" w:leader="dot"/>
      </w:r>
      <w:r>
        <w:rPr>
          <w:rFonts w:hint="eastAsia"/>
        </w:rPr>
        <w:t>4</w:t>
      </w:r>
    </w:p>
    <w:p>
      <w:pPr>
        <w:pStyle w:val="11"/>
        <w:adjustRightInd w:val="0"/>
        <w:snapToGrid w:val="0"/>
        <w:spacing w:line="44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二、2021年重点工作完成情况</w:t>
      </w:r>
      <w:r>
        <w:ptab w:relativeTo="margin" w:alignment="right" w:leader="dot"/>
      </w:r>
      <w:r>
        <w:rPr>
          <w:rFonts w:hint="eastAsia"/>
        </w:rPr>
        <w:t>4</w:t>
      </w:r>
    </w:p>
    <w:p>
      <w:pPr>
        <w:pStyle w:val="10"/>
        <w:adjustRightInd w:val="0"/>
        <w:snapToGrid w:val="0"/>
        <w:spacing w:before="0" w:line="440" w:lineRule="exact"/>
        <w:jc w:val="left"/>
        <w:rPr>
          <w:sz w:val="24"/>
          <w:szCs w:val="24"/>
        </w:rPr>
      </w:pPr>
      <w:r>
        <w:rPr>
          <w:rFonts w:hint="eastAsia"/>
          <w:sz w:val="24"/>
        </w:rPr>
        <w:t>第二部分 2021年度单位决算情况说明</w:t>
      </w:r>
      <w:r>
        <w:ptab w:relativeTo="margin" w:alignment="right" w:leader="dot"/>
      </w:r>
      <w:r>
        <w:rPr>
          <w:rFonts w:hint="eastAsia"/>
        </w:rPr>
        <w:t>9</w:t>
      </w:r>
    </w:p>
    <w:p>
      <w:pPr>
        <w:pStyle w:val="11"/>
        <w:adjustRightInd w:val="0"/>
        <w:snapToGrid w:val="0"/>
        <w:spacing w:line="440" w:lineRule="exact"/>
        <w:jc w:val="left"/>
        <w:rPr>
          <w:rFonts w:ascii="仿宋" w:hAnsi="仿宋" w:eastAsia="仿宋" w:cstheme="minorBidi"/>
          <w:sz w:val="24"/>
        </w:rPr>
      </w:pPr>
      <w:r>
        <w:rPr>
          <w:rFonts w:hint="eastAsia"/>
          <w:sz w:val="24"/>
        </w:rPr>
        <w:t>一、收入支出决算总体情况说明</w:t>
      </w:r>
      <w:r>
        <w:ptab w:relativeTo="margin" w:alignment="right" w:leader="dot"/>
      </w:r>
      <w:r>
        <w:rPr>
          <w:rFonts w:hint="eastAsia"/>
        </w:rPr>
        <w:t>9</w:t>
      </w:r>
    </w:p>
    <w:p>
      <w:pPr>
        <w:pStyle w:val="11"/>
        <w:adjustRightInd w:val="0"/>
        <w:snapToGrid w:val="0"/>
        <w:spacing w:line="440" w:lineRule="exact"/>
        <w:jc w:val="left"/>
        <w:rPr>
          <w:rFonts w:ascii="仿宋" w:hAnsi="仿宋" w:eastAsia="仿宋" w:cstheme="minorBidi"/>
          <w:sz w:val="24"/>
        </w:rPr>
      </w:pPr>
      <w:r>
        <w:rPr>
          <w:rFonts w:hint="eastAsia"/>
          <w:sz w:val="24"/>
        </w:rPr>
        <w:t>二、收入决算情况说明</w:t>
      </w:r>
      <w:r>
        <w:ptab w:relativeTo="margin" w:alignment="right" w:leader="dot"/>
      </w:r>
      <w:r>
        <w:rPr>
          <w:rFonts w:hint="eastAsia"/>
        </w:rPr>
        <w:t>9</w:t>
      </w:r>
    </w:p>
    <w:p>
      <w:pPr>
        <w:pStyle w:val="11"/>
        <w:adjustRightInd w:val="0"/>
        <w:snapToGrid w:val="0"/>
        <w:spacing w:line="440" w:lineRule="exact"/>
        <w:jc w:val="left"/>
        <w:rPr>
          <w:rFonts w:ascii="仿宋" w:hAnsi="仿宋" w:eastAsia="仿宋" w:cstheme="minorBidi"/>
          <w:sz w:val="24"/>
        </w:rPr>
      </w:pPr>
      <w:r>
        <w:rPr>
          <w:rFonts w:hint="eastAsia"/>
          <w:sz w:val="24"/>
        </w:rPr>
        <w:t>三、支出决算情况说明</w:t>
      </w:r>
      <w:r>
        <w:ptab w:relativeTo="margin" w:alignment="right" w:leader="dot"/>
      </w:r>
      <w:r>
        <w:rPr>
          <w:rFonts w:hint="eastAsia"/>
        </w:rPr>
        <w:t>10</w:t>
      </w:r>
    </w:p>
    <w:p>
      <w:pPr>
        <w:pStyle w:val="11"/>
        <w:adjustRightInd w:val="0"/>
        <w:snapToGrid w:val="0"/>
        <w:spacing w:line="440" w:lineRule="exact"/>
        <w:jc w:val="left"/>
        <w:rPr>
          <w:rFonts w:ascii="仿宋" w:hAnsi="仿宋" w:eastAsia="仿宋" w:cstheme="minorBidi"/>
          <w:sz w:val="24"/>
        </w:rPr>
      </w:pPr>
      <w:r>
        <w:rPr>
          <w:rFonts w:hint="eastAsia"/>
          <w:sz w:val="24"/>
        </w:rPr>
        <w:t>四、财政拨款收入支出决算总体情况说明</w:t>
      </w:r>
      <w:r>
        <w:ptab w:relativeTo="margin" w:alignment="right" w:leader="dot"/>
      </w:r>
      <w:r>
        <w:rPr>
          <w:rFonts w:hint="eastAsia"/>
        </w:rPr>
        <w:t>11</w:t>
      </w:r>
    </w:p>
    <w:p>
      <w:pPr>
        <w:pStyle w:val="11"/>
        <w:adjustRightInd w:val="0"/>
        <w:snapToGrid w:val="0"/>
        <w:spacing w:line="440" w:lineRule="exact"/>
        <w:jc w:val="left"/>
        <w:rPr>
          <w:rFonts w:ascii="仿宋" w:hAnsi="仿宋" w:eastAsia="仿宋" w:cstheme="minorBidi"/>
          <w:sz w:val="24"/>
        </w:rPr>
      </w:pPr>
      <w:r>
        <w:rPr>
          <w:rFonts w:hint="eastAsia"/>
          <w:sz w:val="24"/>
        </w:rPr>
        <w:t>五、一般公共预算财政拨款支出决算情况说明</w:t>
      </w:r>
      <w:r>
        <w:ptab w:relativeTo="margin" w:alignment="right" w:leader="dot"/>
      </w:r>
      <w:r>
        <w:rPr>
          <w:rFonts w:hint="eastAsia"/>
        </w:rPr>
        <w:t>12</w:t>
      </w:r>
    </w:p>
    <w:p>
      <w:pPr>
        <w:pStyle w:val="11"/>
        <w:adjustRightInd w:val="0"/>
        <w:snapToGrid w:val="0"/>
        <w:spacing w:line="440" w:lineRule="exact"/>
        <w:jc w:val="left"/>
        <w:rPr>
          <w:rFonts w:ascii="仿宋" w:hAnsi="仿宋" w:eastAsia="仿宋" w:cstheme="minorBidi"/>
          <w:sz w:val="24"/>
        </w:rPr>
      </w:pPr>
      <w:r>
        <w:rPr>
          <w:rFonts w:hint="eastAsia"/>
          <w:sz w:val="24"/>
        </w:rPr>
        <w:t>六、一般公共预算财政拨款基本支出决算情况说明</w:t>
      </w:r>
      <w:r>
        <w:ptab w:relativeTo="margin" w:alignment="right" w:leader="dot"/>
      </w:r>
      <w:r>
        <w:rPr>
          <w:rFonts w:hint="eastAsia"/>
        </w:rPr>
        <w:t>13</w:t>
      </w:r>
    </w:p>
    <w:p>
      <w:pPr>
        <w:pStyle w:val="11"/>
        <w:adjustRightInd w:val="0"/>
        <w:snapToGrid w:val="0"/>
        <w:spacing w:line="440" w:lineRule="exact"/>
        <w:jc w:val="left"/>
        <w:rPr>
          <w:rFonts w:ascii="仿宋" w:hAnsi="仿宋" w:eastAsia="仿宋" w:cstheme="minorBidi"/>
          <w:sz w:val="24"/>
        </w:rPr>
      </w:pPr>
      <w:r>
        <w:rPr>
          <w:rFonts w:hint="eastAsia"/>
          <w:sz w:val="24"/>
        </w:rPr>
        <w:t>七、“三公”经费财政拨款支出决算情况说明</w:t>
      </w:r>
      <w:r>
        <w:ptab w:relativeTo="margin" w:alignment="right" w:leader="dot"/>
      </w:r>
      <w:r>
        <w:rPr>
          <w:rFonts w:hint="eastAsia"/>
        </w:rPr>
        <w:t>13</w:t>
      </w:r>
    </w:p>
    <w:p>
      <w:pPr>
        <w:pStyle w:val="11"/>
        <w:adjustRightInd w:val="0"/>
        <w:snapToGrid w:val="0"/>
        <w:spacing w:line="440" w:lineRule="exact"/>
        <w:jc w:val="left"/>
        <w:rPr>
          <w:rFonts w:ascii="仿宋" w:hAnsi="仿宋" w:eastAsia="仿宋" w:cstheme="minorBidi"/>
          <w:sz w:val="24"/>
        </w:rPr>
      </w:pPr>
      <w:r>
        <w:rPr>
          <w:rFonts w:hint="eastAsia"/>
          <w:sz w:val="24"/>
        </w:rPr>
        <w:t>八、政府性基金预算支出决算情况说明</w:t>
      </w:r>
      <w:r>
        <w:ptab w:relativeTo="margin" w:alignment="right" w:leader="dot"/>
      </w:r>
      <w:r>
        <w:rPr>
          <w:rFonts w:hint="eastAsia"/>
        </w:rPr>
        <w:t>15</w:t>
      </w:r>
    </w:p>
    <w:p>
      <w:pPr>
        <w:pStyle w:val="11"/>
        <w:adjustRightInd w:val="0"/>
        <w:snapToGrid w:val="0"/>
        <w:spacing w:line="440" w:lineRule="exact"/>
        <w:jc w:val="left"/>
        <w:rPr>
          <w:sz w:val="24"/>
        </w:rPr>
      </w:pPr>
      <w:r>
        <w:rPr>
          <w:rFonts w:hint="eastAsia"/>
          <w:sz w:val="24"/>
        </w:rPr>
        <w:t>九、国有资本经营预算支出决算情况说明</w:t>
      </w:r>
      <w:r>
        <w:ptab w:relativeTo="margin" w:alignment="right" w:leader="dot"/>
      </w:r>
      <w:r>
        <w:rPr>
          <w:rFonts w:hint="eastAsia"/>
        </w:rPr>
        <w:t>15</w:t>
      </w:r>
    </w:p>
    <w:p>
      <w:pPr>
        <w:pStyle w:val="11"/>
        <w:adjustRightInd w:val="0"/>
        <w:snapToGrid w:val="0"/>
        <w:spacing w:line="440" w:lineRule="exact"/>
        <w:jc w:val="left"/>
        <w:rPr>
          <w:sz w:val="24"/>
        </w:rPr>
      </w:pPr>
      <w:r>
        <w:rPr>
          <w:rFonts w:hint="eastAsia"/>
          <w:sz w:val="24"/>
        </w:rPr>
        <w:t>十、其他重要事项的情况说明</w:t>
      </w:r>
      <w:r>
        <w:ptab w:relativeTo="margin" w:alignment="right" w:leader="dot"/>
      </w:r>
      <w:r>
        <w:rPr>
          <w:rFonts w:hint="eastAsia"/>
        </w:rPr>
        <w:t>15</w:t>
      </w:r>
    </w:p>
    <w:p>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ptab w:relativeTo="margin" w:alignment="right" w:leader="dot"/>
      </w:r>
      <w:r>
        <w:rPr>
          <w:rFonts w:hint="eastAsia"/>
        </w:rPr>
        <w:t>17</w:t>
      </w:r>
    </w:p>
    <w:p>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ptab w:relativeTo="margin" w:alignment="right" w:leader="dot"/>
      </w:r>
      <w:r>
        <w:rPr>
          <w:rFonts w:hint="eastAsia"/>
        </w:rPr>
        <w:t>19</w:t>
      </w:r>
    </w:p>
    <w:p>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ptab w:relativeTo="margin" w:alignment="right" w:leader="dot"/>
      </w:r>
      <w:r>
        <w:rPr>
          <w:rFonts w:hint="eastAsia"/>
        </w:rPr>
        <w:t>20</w:t>
      </w:r>
    </w:p>
    <w:p>
      <w:pPr>
        <w:pStyle w:val="11"/>
        <w:adjustRightInd w:val="0"/>
        <w:snapToGrid w:val="0"/>
        <w:spacing w:line="440" w:lineRule="exact"/>
        <w:jc w:val="left"/>
        <w:rPr>
          <w:sz w:val="24"/>
        </w:rPr>
      </w:pPr>
      <w:r>
        <w:rPr>
          <w:rFonts w:hint="eastAsia"/>
          <w:sz w:val="24"/>
        </w:rPr>
        <w:t>一、收入支出决算总表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二、收入决算表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三、支出决算表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四、财政拨款收入支出决算总表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五、财政拨款支出决算明细表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六、一般公共预算财政拨款支出决算表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七、一般公共预算财政拨款支出决算明细表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八、一般公共预算财政拨款基本支出决算表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九、一般公共预算财政拨款项目支出决算表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十、一般公共预算财政拨款“三公”经费支出决算表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十一、政府性基金预算财政拨款收入支出决算表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十二、政府性基金预算财政拨款“三公”经费支出决算表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十三、国有资本经营预算财政拨款收入支出决算表</w:t>
      </w:r>
      <w:r>
        <w:ptab w:relativeTo="margin" w:alignment="right" w:leader="dot"/>
      </w:r>
      <w:r>
        <w:rPr>
          <w:rFonts w:hint="eastAsia"/>
        </w:rPr>
        <w:t>21</w:t>
      </w:r>
    </w:p>
    <w:p>
      <w:pPr>
        <w:pStyle w:val="11"/>
        <w:adjustRightInd w:val="0"/>
        <w:snapToGrid w:val="0"/>
        <w:spacing w:line="440" w:lineRule="exact"/>
        <w:jc w:val="left"/>
        <w:rPr>
          <w:sz w:val="24"/>
        </w:rPr>
      </w:pPr>
      <w:r>
        <w:rPr>
          <w:rFonts w:hint="eastAsia"/>
          <w:sz w:val="24"/>
        </w:rPr>
        <w:t>十四、国有资本经营预算财政拨款支出决算表</w:t>
      </w:r>
      <w:r>
        <w:ptab w:relativeTo="margin" w:alignment="right" w:leader="dot"/>
      </w:r>
      <w:r>
        <w:rPr>
          <w:rFonts w:hint="eastAsia"/>
        </w:rPr>
        <w:t>21</w:t>
      </w:r>
    </w:p>
    <w:p>
      <w:pPr>
        <w:pStyle w:val="3"/>
        <w:jc w:val="center"/>
        <w:rPr>
          <w:rFonts w:ascii="黑体" w:hAnsi="黑体" w:eastAsia="黑体"/>
          <w:b w:val="0"/>
        </w:rPr>
      </w:pPr>
      <w:bookmarkStart w:id="12" w:name="_Toc15377196"/>
      <w:bookmarkStart w:id="13" w:name="_Toc15396599"/>
    </w:p>
    <w:p>
      <w:pPr>
        <w:pStyle w:val="3"/>
        <w:jc w:val="center"/>
        <w:rPr>
          <w:rFonts w:ascii="黑体" w:hAnsi="黑体" w:eastAsia="黑体"/>
          <w:b w:val="0"/>
        </w:rPr>
      </w:pPr>
    </w:p>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3"/>
        <w:jc w:val="center"/>
        <w:rPr>
          <w:rStyle w:val="25"/>
          <w:rFonts w:ascii="黑体" w:hAnsi="黑体" w:eastAsia="黑体"/>
          <w:b/>
          <w:bCs w:val="0"/>
        </w:rPr>
      </w:pPr>
      <w:r>
        <w:rPr>
          <w:rFonts w:hint="eastAsia" w:ascii="黑体" w:hAnsi="黑体" w:eastAsia="黑体"/>
          <w:b w:val="0"/>
        </w:rPr>
        <w:t>第一部分 单位</w:t>
      </w:r>
      <w:r>
        <w:rPr>
          <w:rStyle w:val="25"/>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rPr>
          <w:rStyle w:val="26"/>
          <w:rFonts w:ascii="黑体" w:hAnsi="黑体" w:eastAsia="黑体"/>
          <w:b w:val="0"/>
          <w:bCs w:val="0"/>
        </w:rPr>
      </w:pPr>
      <w:bookmarkStart w:id="14" w:name="_Toc15377197"/>
      <w:bookmarkStart w:id="15" w:name="_Toc15396600"/>
      <w:r>
        <w:rPr>
          <w:rStyle w:val="26"/>
          <w:rFonts w:hint="eastAsia" w:ascii="黑体" w:hAnsi="黑体" w:eastAsia="黑体"/>
          <w:b w:val="0"/>
          <w:bCs w:val="0"/>
        </w:rPr>
        <w:t>一、职能简介</w:t>
      </w:r>
    </w:p>
    <w:p>
      <w:pPr>
        <w:pStyle w:val="12"/>
        <w:widowControl/>
        <w:spacing w:before="93" w:beforeAutospacing="0" w:after="0" w:afterAutospacing="0" w:line="450" w:lineRule="atLeast"/>
        <w:ind w:firstLine="672"/>
        <w:jc w:val="both"/>
        <w:rPr>
          <w:rFonts w:ascii="仿宋_GB2312" w:eastAsia="仿宋_GB2312" w:cs="仿宋_GB2312"/>
          <w:color w:val="000000"/>
          <w:sz w:val="30"/>
          <w:szCs w:val="30"/>
        </w:rPr>
      </w:pPr>
      <w:r>
        <w:rPr>
          <w:rFonts w:hint="eastAsia" w:ascii="仿宋" w:hAnsi="仿宋" w:eastAsia="仿宋" w:cs="仿宋"/>
          <w:color w:val="000000"/>
          <w:sz w:val="32"/>
          <w:szCs w:val="32"/>
        </w:rPr>
        <w:t>乐山市水利电力建筑勘察设计研究院是国家乙级水利电力建筑勘察设计研究单位，也是目前乐山市水务系统唯一一家设计单位。单位具有水利行业乙级、水利发电行业乙级、工程勘察专业乙级、水利水电工程监理乙级、水土保持方案编制监测乙级、水土保持监测乙级、水资源论证乙级、水资源调查评价乙级、送变电丙级等资格证书。具备水利水电工程、工程地质、水文与水资源、电气、测量、水机、施工、水保、移民、建筑、环评、造价管理及各种配套专业的技术人才。</w:t>
      </w:r>
    </w:p>
    <w:p/>
    <w:p>
      <w:pPr>
        <w:pStyle w:val="4"/>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snapToGrid w:val="0"/>
        <w:spacing w:line="600" w:lineRule="exact"/>
        <w:rPr>
          <w:rFonts w:ascii="仿宋" w:hAnsi="仿宋" w:eastAsia="仿宋" w:cs="仿宋"/>
          <w:b/>
          <w:bCs/>
          <w:sz w:val="32"/>
          <w:szCs w:val="32"/>
        </w:rPr>
      </w:pPr>
      <w:r>
        <w:rPr>
          <w:rFonts w:hint="eastAsia" w:ascii="仿宋" w:hAnsi="仿宋" w:eastAsia="仿宋" w:cs="仿宋"/>
          <w:b/>
          <w:bCs/>
          <w:sz w:val="32"/>
          <w:szCs w:val="32"/>
        </w:rPr>
        <w:t>1、加强管理、保持现有资质</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我院按照资质申报新标准，配置各项专业技术人员，顺利保持现有水利行业乙级、电力行业乙级、水土保持监测评价二星级、水土保持方案编制评价三星级、水资源论证乙级、水资源调查评价乙级、工程咨询单位预评价资信证书等资质。获得ISO9001质量管理体系认证证书、ISO14001环境管理体系认证证书、ISO45001职业健康安全管理体系认证证书。</w:t>
      </w:r>
    </w:p>
    <w:p>
      <w:pPr>
        <w:snapToGrid w:val="0"/>
        <w:spacing w:line="60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2、开拓市场、保证院经营收入不减</w:t>
      </w:r>
    </w:p>
    <w:p>
      <w:pPr>
        <w:snapToGrid w:val="0"/>
        <w:spacing w:line="600" w:lineRule="exact"/>
        <w:ind w:firstLine="420"/>
        <w:rPr>
          <w:rFonts w:ascii="仿宋" w:hAnsi="仿宋" w:eastAsia="仿宋" w:cs="仿宋"/>
          <w:sz w:val="32"/>
          <w:szCs w:val="32"/>
        </w:rPr>
      </w:pPr>
      <w:r>
        <w:rPr>
          <w:rFonts w:hint="eastAsia" w:ascii="仿宋" w:hAnsi="仿宋" w:eastAsia="仿宋" w:cs="仿宋"/>
          <w:sz w:val="32"/>
          <w:szCs w:val="32"/>
        </w:rPr>
        <w:t>（1）坚持以优质的服务、精湛的技术、诚信的态度，营造良好的市场环境，赢得市场的认可和好评。积极抓好投标工作，落实领导专门抓，充实人员具体抓，全年参加投标项目158项，中标项目38项，合同金额达2364.12余万元。</w:t>
      </w:r>
    </w:p>
    <w:p>
      <w:pPr>
        <w:snapToGrid w:val="0"/>
        <w:spacing w:line="600" w:lineRule="exact"/>
        <w:ind w:firstLine="420"/>
        <w:rPr>
          <w:rFonts w:ascii="仿宋" w:hAnsi="仿宋" w:eastAsia="仿宋" w:cs="仿宋"/>
          <w:sz w:val="32"/>
          <w:szCs w:val="32"/>
        </w:rPr>
      </w:pPr>
      <w:r>
        <w:rPr>
          <w:rFonts w:hint="eastAsia" w:ascii="仿宋" w:hAnsi="仿宋" w:eastAsia="仿宋" w:cs="仿宋"/>
          <w:sz w:val="32"/>
          <w:szCs w:val="32"/>
        </w:rPr>
        <w:t>（2）通过不懈努力，全院在2021年共签订水利水电项目设计合同90余项，合同总额约3000万元 ，实现到账收入2200万元。</w:t>
      </w:r>
    </w:p>
    <w:p>
      <w:pPr>
        <w:snapToGrid w:val="0"/>
        <w:spacing w:line="600" w:lineRule="exact"/>
        <w:ind w:firstLine="321" w:firstLineChars="100"/>
        <w:rPr>
          <w:rFonts w:ascii="仿宋" w:hAnsi="仿宋" w:eastAsia="仿宋" w:cs="仿宋"/>
          <w:b/>
          <w:bCs/>
          <w:sz w:val="32"/>
          <w:szCs w:val="32"/>
        </w:rPr>
      </w:pPr>
      <w:r>
        <w:rPr>
          <w:rFonts w:hint="eastAsia" w:ascii="仿宋" w:hAnsi="仿宋" w:eastAsia="仿宋" w:cs="仿宋"/>
          <w:b/>
          <w:bCs/>
          <w:sz w:val="32"/>
          <w:szCs w:val="32"/>
        </w:rPr>
        <w:t>3、积极参与防汛督导，用实际行动彰显水利人的使命与担当</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2021年汛期，为落实“人民至上、生命至上”的理念和“防灾胜于救灾”的要求，乐山市水电设计院作为市水务局技术支撑单位，面对乐山青衣江、岷江流域出现的险情，迅速成立院防汛减灾技术支撑领导小组，对市中区、五通桥、夹江、犍为等各河流河心洲堤坝、防洪工程进行安全隐患排查，落实各项防洪减灾措施，有力的保障了人民群众的生命财产安全。整个汛期，我院累计派出技术人员120余人次、派车20余车次，参与防汛督导和隐患排查，用实际行动践行着水务人的担当与使命，诠释了“忠诚、干净、担当，科学、求实、创新”的新时代水利精神,为乐山安全度汛做出积极贡献。</w:t>
      </w:r>
    </w:p>
    <w:p>
      <w:pPr>
        <w:snapToGrid w:val="0"/>
        <w:spacing w:line="600" w:lineRule="exact"/>
        <w:ind w:firstLine="420"/>
        <w:rPr>
          <w:rFonts w:ascii="仿宋" w:hAnsi="仿宋" w:eastAsia="仿宋" w:cs="仿宋"/>
          <w:color w:val="000000"/>
          <w:sz w:val="32"/>
          <w:szCs w:val="32"/>
        </w:rPr>
      </w:pPr>
      <w:r>
        <w:rPr>
          <w:rFonts w:hint="eastAsia" w:ascii="仿宋" w:hAnsi="仿宋" w:eastAsia="仿宋" w:cs="仿宋"/>
          <w:color w:val="000000"/>
          <w:sz w:val="32"/>
          <w:szCs w:val="32"/>
        </w:rPr>
        <w:t>（2）我院在“8.18”水毁修复工程建设中，累计派出80余人次为工程建设提供现场技术服务，及时解决施工中遇到的技术问题，确保工程如期完成。</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4、高质量完成节水型单位建设</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我院按照水利行业节水型单位建设的统一部署，投入9万余元，完成节水终端器具、用水计量设施、雨水和空调水回收设施等硬件改造，建立了健全的节水管理规章制度，开展了多种形式的节水宣传教育，全面完成《四川省水利行业节水型单位建设标准》的标准要求，顺利通过验收。</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5、扎实完成扶贫攻坚工作</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我院自2015年8月起对口帮扶马边县石梁乡永宁村，从产业扶贫、集体经济和基础设施建设等多个方面对永宁村开展对口帮扶工作，经过驻村工作队近五年的努力，全面完成永宁村脱贫攻坚各项任务，驻村工作队于2021年7月撤离永宁村，返回单位。</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6、全力配合做好“全国文明城市”创建工作</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为全力做好“全国文明城市”创建工作，按照乐山市委市政府“全国文明城市”创建工作要求，我院组织安排了5个文明劝导员小组，全员参与到文明城市的创建工作中，劝导市民不乱丢烟头、垃圾，不走人行道等不文明行为，持续对院内公区卫生及住户楼道堆放的杂物和墙上的小广告进行彻底清理，为创建“全国文明城市”创造良好氛围。</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7、认真落实新型冠状病毒感染肺炎疫情防疫工作</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成立疫情防控组织领导。院领导高度重视，第一时间成立以院主要领导为组长的疫情防控工作领导小组，组织全院职工全面开展疫情防控。严格落实24小时值班制度，做到院主要领导、科室主要负责同志在岗在位，值班人员认真履行工作职责，加强疫情统计、上报，做到一有疫情及时反应、快速处置。</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做好宣传，营造良好的社会氛围。通过院职工微信群、QQ工作群等渠道，密集推送官媒关于新型冠状病毒感染的肺炎防护知识，正确引导职工从自我做起，保持清醒头脑，提高辨别能力，相信科学的力量，不造谣、不信谣、不传谣，共同营造科学防治、理性应对的社会氛围。积极组织全员在职职工注射新冠疫苗，疫苗注射率达到99%。</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8、狠抓培训、提高队伍综合实力</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为提高我院技术水平，满足资质申报、延续的需要，确保我院能始终保持市场竞争力，在今年先后派出多人参加全国、省、市组织的各种技术培训、继续教育等培训。全年有2人晋升为高级工程师。</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9、健全保密制度，维护国家秘密</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完善关于国家秘密地形图管理、使用的规章制度，与使用者、管理者签订保密协议，预防和杜绝失密泄密事件发生。</w:t>
      </w:r>
    </w:p>
    <w:p>
      <w:pPr>
        <w:snapToGrid w:val="0"/>
        <w:spacing w:line="600" w:lineRule="exact"/>
        <w:ind w:left="420" w:leftChars="200"/>
        <w:rPr>
          <w:rFonts w:ascii="仿宋" w:hAnsi="仿宋" w:eastAsia="仿宋" w:cs="仿宋"/>
          <w:b/>
          <w:bCs/>
          <w:sz w:val="32"/>
          <w:szCs w:val="32"/>
        </w:rPr>
      </w:pPr>
      <w:r>
        <w:rPr>
          <w:rFonts w:hint="eastAsia" w:ascii="仿宋" w:hAnsi="仿宋" w:eastAsia="仿宋" w:cs="仿宋"/>
          <w:b/>
          <w:bCs/>
          <w:sz w:val="32"/>
          <w:szCs w:val="32"/>
        </w:rPr>
        <w:t>10、切实关心职工，构建和谐单位</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保证单位全年无群体事件及异常上访，无刑事、治安案件发生，无重大安全事故和灾害事故发生，维护了单位的稳定。</w:t>
      </w:r>
    </w:p>
    <w:p>
      <w:pPr>
        <w:numPr>
          <w:ilvl w:val="0"/>
          <w:numId w:val="1"/>
        </w:num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关心单位退休职工，确保退休职工每月叁次的活动经费；每逢重大节日，院领导都要组织慰问退休职工；定期召开座谈会，向退休职工通报工作情况，并听取老同志们的意见，争取他们的理解和支持。</w:t>
      </w:r>
    </w:p>
    <w:p>
      <w:pPr>
        <w:spacing w:line="360" w:lineRule="auto"/>
        <w:ind w:firstLine="640" w:firstLineChars="200"/>
        <w:rPr>
          <w:rFonts w:ascii="仿宋" w:hAnsi="仿宋" w:eastAsia="仿宋_GB2312" w:cs="仿宋"/>
          <w:color w:val="000000"/>
          <w:kern w:val="0"/>
          <w:sz w:val="32"/>
          <w:szCs w:val="32"/>
        </w:rPr>
      </w:pPr>
      <w:r>
        <w:rPr>
          <w:rFonts w:hint="eastAsia" w:ascii="仿宋" w:hAnsi="仿宋" w:eastAsia="仿宋" w:cs="仿宋"/>
          <w:sz w:val="32"/>
          <w:szCs w:val="32"/>
        </w:rPr>
        <w:t>（2）加强群团建设，营造和谐氛围。慰问生病、困难职工。6月29日，建党百年来临之际，党支部书记钟友胜与支委一道走访慰困难退休党员，给他们送上慰问品，了解家庭生活状况并向他</w:t>
      </w:r>
      <w:r>
        <w:rPr>
          <w:rFonts w:hint="eastAsia" w:ascii="仿宋" w:hAnsi="仿宋" w:eastAsia="仿宋" w:cs="仿宋"/>
          <w:color w:val="000000"/>
          <w:sz w:val="32"/>
          <w:szCs w:val="32"/>
        </w:rPr>
        <w:t>们致以节日的问候。</w:t>
      </w:r>
      <w:r>
        <w:rPr>
          <w:rFonts w:hint="eastAsia" w:ascii="仿宋" w:hAnsi="仿宋" w:eastAsia="仿宋" w:cs="仿宋"/>
          <w:sz w:val="32"/>
          <w:szCs w:val="32"/>
        </w:rPr>
        <w:t>10月14日，院工会组织60余名退休干部职工共度重阳佳节，向退休职工致以诚挚的问候和美好的祝愿，祝他们身体健康、晚年幸福。</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（3）完善招聘人员各种保险、福利，所有考取职称、资格证的招聘人员都享受编内人员同等待遇。</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（4）提升员工食堂菜品质量，确保员工吃饱、吃好。</w:t>
      </w:r>
    </w:p>
    <w:p>
      <w:pPr>
        <w:snapToGrid w:val="0"/>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（5）积极参与社区卫生、综合治理创优活动；“创文”期间，全院职工轮流巡街、清除牛皮癣、小广告，劝导市明不文明行为，为乐山“创文”尽力。</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5"/>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5"/>
          <w:rFonts w:hint="eastAsia" w:ascii="黑体" w:hAnsi="黑体" w:eastAsia="黑体"/>
          <w:b w:val="0"/>
          <w:bCs/>
        </w:rPr>
        <w:t>单位决算情况说明</w:t>
      </w:r>
      <w:bookmarkEnd w:id="16"/>
      <w:bookmarkEnd w:id="17"/>
    </w:p>
    <w:p/>
    <w:p>
      <w:pPr>
        <w:pStyle w:val="24"/>
        <w:numPr>
          <w:ilvl w:val="0"/>
          <w:numId w:val="2"/>
        </w:numPr>
        <w:spacing w:line="600" w:lineRule="exact"/>
        <w:ind w:firstLineChars="0"/>
        <w:outlineLvl w:val="1"/>
        <w:rPr>
          <w:rStyle w:val="26"/>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6"/>
          <w:rFonts w:hint="eastAsia" w:ascii="黑体" w:hAnsi="黑体" w:eastAsia="黑体"/>
          <w:b w:val="0"/>
        </w:rPr>
        <w:t>入支出决算总体情况说明</w:t>
      </w:r>
      <w:bookmarkEnd w:id="18"/>
      <w:bookmarkEnd w:id="19"/>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2021年度收、支总计3587.47万元。与2020年相比，收、支总计各增加1324.35万元，增长58.52</w:t>
      </w:r>
      <w:r>
        <w:rPr>
          <w:rFonts w:ascii="仿宋" w:hAnsi="仿宋" w:eastAsia="仿宋"/>
          <w:sz w:val="32"/>
          <w:szCs w:val="32"/>
        </w:rPr>
        <w:t>%</w:t>
      </w:r>
      <w:r>
        <w:rPr>
          <w:rFonts w:hint="eastAsia" w:ascii="仿宋" w:hAnsi="仿宋" w:eastAsia="仿宋"/>
          <w:sz w:val="32"/>
          <w:szCs w:val="32"/>
        </w:rPr>
        <w:t>。主要变动原因是2021年经营收入增加。</w:t>
      </w:r>
    </w:p>
    <w:p>
      <w:pPr>
        <w:spacing w:line="600" w:lineRule="exact"/>
        <w:ind w:firstLine="640" w:firstLineChars="200"/>
        <w:jc w:val="left"/>
        <w:rPr>
          <w:rFonts w:ascii="仿宋_GB2312" w:eastAsia="仿宋_GB2312"/>
          <w:sz w:val="32"/>
          <w:szCs w:val="32"/>
        </w:rPr>
      </w:pPr>
      <w:r>
        <w:rPr>
          <w:rFonts w:hint="eastAsia" w:ascii="仿宋_GB2312" w:eastAsia="仿宋_GB2312"/>
          <w:sz w:val="32"/>
          <w:szCs w:val="32"/>
        </w:rPr>
        <w:drawing>
          <wp:anchor distT="0" distB="0" distL="114300" distR="114300" simplePos="0" relativeHeight="251659264" behindDoc="0" locked="0" layoutInCell="1" allowOverlap="1">
            <wp:simplePos x="0" y="0"/>
            <wp:positionH relativeFrom="column">
              <wp:posOffset>19050</wp:posOffset>
            </wp:positionH>
            <wp:positionV relativeFrom="paragraph">
              <wp:posOffset>458470</wp:posOffset>
            </wp:positionV>
            <wp:extent cx="5219700" cy="3585210"/>
            <wp:effectExtent l="19050" t="0" r="0" b="0"/>
            <wp:wrapTopAndBottom/>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noChangeArrowheads="1"/>
                    </pic:cNvPicPr>
                  </pic:nvPicPr>
                  <pic:blipFill>
                    <a:blip r:embed="rId6"/>
                    <a:srcRect/>
                    <a:stretch>
                      <a:fillRect/>
                    </a:stretch>
                  </pic:blipFill>
                  <pic:spPr>
                    <a:xfrm>
                      <a:off x="0" y="0"/>
                      <a:ext cx="5219700" cy="3585210"/>
                    </a:xfrm>
                    <a:prstGeom prst="rect">
                      <a:avLst/>
                    </a:prstGeom>
                    <a:noFill/>
                  </pic:spPr>
                </pic:pic>
              </a:graphicData>
            </a:graphic>
          </wp:anchor>
        </w:drawing>
      </w:r>
    </w:p>
    <w:p>
      <w:pPr>
        <w:pStyle w:val="2"/>
        <w:spacing w:before="93"/>
      </w:pPr>
    </w:p>
    <w:p>
      <w:pPr>
        <w:pStyle w:val="24"/>
        <w:numPr>
          <w:ilvl w:val="0"/>
          <w:numId w:val="2"/>
        </w:numPr>
        <w:spacing w:line="600" w:lineRule="exact"/>
        <w:ind w:firstLineChars="0"/>
        <w:outlineLvl w:val="1"/>
        <w:rPr>
          <w:rStyle w:val="26"/>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6"/>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21年本年收入合计3587.47万元，其中：一般公共预算财政拨款收入0万元，占0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；经营收入3587.47万元，占100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1"/>
        <w:rPr>
          <w:rFonts w:ascii="仿宋" w:hAnsi="仿宋" w:eastAsia="仿宋"/>
          <w:sz w:val="32"/>
          <w:szCs w:val="32"/>
        </w:rPr>
      </w:pPr>
    </w:p>
    <w:p>
      <w:pPr>
        <w:pStyle w:val="2"/>
        <w:spacing w:before="93"/>
      </w:pPr>
      <w:r>
        <w:drawing>
          <wp:inline distT="0" distB="0" distL="0" distR="0">
            <wp:extent cx="5274310" cy="3428365"/>
            <wp:effectExtent l="19050" t="0" r="21590" b="229"/>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24"/>
        <w:numPr>
          <w:ilvl w:val="0"/>
          <w:numId w:val="2"/>
        </w:numPr>
        <w:spacing w:line="600" w:lineRule="exact"/>
        <w:ind w:firstLineChars="0"/>
        <w:outlineLvl w:val="1"/>
        <w:rPr>
          <w:rStyle w:val="26"/>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6"/>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21年本年支出合计3552.41万元，其中：基本支出0万元，占0</w:t>
      </w:r>
      <w:r>
        <w:rPr>
          <w:rFonts w:ascii="仿宋" w:hAnsi="仿宋" w:eastAsia="仿宋"/>
          <w:sz w:val="32"/>
          <w:szCs w:val="32"/>
        </w:rPr>
        <w:t>%</w:t>
      </w:r>
      <w:r>
        <w:rPr>
          <w:rFonts w:hint="eastAsia" w:ascii="仿宋" w:hAnsi="仿宋" w:eastAsia="仿宋"/>
          <w:sz w:val="32"/>
          <w:szCs w:val="32"/>
        </w:rPr>
        <w:t>；项目支出0万元，占0</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；经营支出3552.41万元，占100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ascii="仿宋" w:hAnsi="仿宋" w:eastAsia="仿宋"/>
          <w:sz w:val="32"/>
          <w:szCs w:val="32"/>
          <w:shd w:val="pct10" w:color="auto" w:fill="FFFFFF"/>
        </w:rPr>
      </w:pPr>
    </w:p>
    <w:p>
      <w:pPr>
        <w:pStyle w:val="2"/>
        <w:spacing w:before="93"/>
      </w:pPr>
      <w:r>
        <w:drawing>
          <wp:inline distT="0" distB="0" distL="0" distR="0">
            <wp:extent cx="4943475" cy="2952750"/>
            <wp:effectExtent l="19050" t="0" r="9525" b="0"/>
            <wp:docPr id="11"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spacing w:before="93"/>
      </w:pPr>
    </w:p>
    <w:p>
      <w:pPr>
        <w:spacing w:line="600" w:lineRule="exact"/>
        <w:ind w:firstLine="640" w:firstLineChars="200"/>
        <w:outlineLvl w:val="1"/>
        <w:rPr>
          <w:rStyle w:val="26"/>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24"/>
      <w:bookmarkEnd w:id="2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21年财政拨款收、支总计0万元。与</w:t>
      </w:r>
      <w:r>
        <w:rPr>
          <w:rFonts w:ascii="仿宋" w:hAnsi="仿宋" w:eastAsia="仿宋"/>
          <w:sz w:val="32"/>
          <w:szCs w:val="32"/>
        </w:rPr>
        <w:t>20</w:t>
      </w:r>
      <w:r>
        <w:rPr>
          <w:rFonts w:hint="eastAsia" w:ascii="仿宋" w:hAnsi="仿宋" w:eastAsia="仿宋"/>
          <w:sz w:val="32"/>
          <w:szCs w:val="32"/>
        </w:rPr>
        <w:t>20年相比，财政拨款收、支总计各减少300.86万元，下降100</w:t>
      </w:r>
      <w:r>
        <w:rPr>
          <w:rFonts w:ascii="仿宋" w:hAnsi="仿宋" w:eastAsia="仿宋"/>
          <w:sz w:val="32"/>
          <w:szCs w:val="32"/>
        </w:rPr>
        <w:t>%</w:t>
      </w:r>
      <w:r>
        <w:rPr>
          <w:rFonts w:hint="eastAsia" w:ascii="仿宋" w:hAnsi="仿宋" w:eastAsia="仿宋"/>
          <w:sz w:val="32"/>
          <w:szCs w:val="32"/>
        </w:rPr>
        <w:t>。主要变动原因是2021年无财政拨款项目。</w:t>
      </w:r>
    </w:p>
    <w:p>
      <w:pPr>
        <w:spacing w:line="600" w:lineRule="exact"/>
        <w:rPr>
          <w:rFonts w:ascii="仿宋" w:hAnsi="仿宋" w:eastAsia="仿宋"/>
          <w:sz w:val="32"/>
          <w:szCs w:val="32"/>
        </w:rPr>
      </w:pPr>
    </w:p>
    <w:p>
      <w:pPr>
        <w:pStyle w:val="2"/>
        <w:spacing w:before="93"/>
      </w:pPr>
      <w:r>
        <w:drawing>
          <wp:inline distT="0" distB="0" distL="0" distR="0">
            <wp:extent cx="5162550" cy="3181350"/>
            <wp:effectExtent l="19050" t="0" r="19050" b="0"/>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firstLineChars="200"/>
        <w:outlineLvl w:val="1"/>
        <w:rPr>
          <w:rStyle w:val="26"/>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21年一般公共预算财政拨款支出0万元，占本年支出合计的0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20年相比，一般公共预算财政拨款支出减少300.86万元，下降100</w:t>
      </w:r>
      <w:r>
        <w:rPr>
          <w:rFonts w:ascii="仿宋" w:hAnsi="仿宋" w:eastAsia="仿宋"/>
          <w:sz w:val="32"/>
          <w:szCs w:val="32"/>
        </w:rPr>
        <w:t>%</w:t>
      </w:r>
      <w:r>
        <w:rPr>
          <w:rFonts w:hint="eastAsia" w:ascii="仿宋" w:hAnsi="仿宋" w:eastAsia="仿宋"/>
          <w:sz w:val="32"/>
          <w:szCs w:val="32"/>
        </w:rPr>
        <w:t>。主要变动原因是2021年无财政拨款项目。</w:t>
      </w:r>
    </w:p>
    <w:p>
      <w:pPr>
        <w:spacing w:line="600" w:lineRule="exact"/>
        <w:ind w:firstLine="640" w:firstLineChars="200"/>
        <w:rPr>
          <w:rFonts w:ascii="仿宋" w:hAnsi="仿宋" w:eastAsia="仿宋"/>
          <w:sz w:val="32"/>
          <w:szCs w:val="32"/>
        </w:rPr>
      </w:pPr>
    </w:p>
    <w:p>
      <w:pPr>
        <w:pStyle w:val="2"/>
        <w:spacing w:before="93"/>
      </w:pPr>
      <w:r>
        <w:drawing>
          <wp:inline distT="0" distB="0" distL="0" distR="0">
            <wp:extent cx="5274310" cy="3081020"/>
            <wp:effectExtent l="19050" t="0" r="21590" b="4536"/>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
        <w:spacing w:before="93"/>
      </w:pP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21年一般公共预算财政拨款支出0万元，主要用于以下方面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；住房保障支出0万元，占0</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Style w:val="15"/>
          <w:rFonts w:ascii="仿宋" w:hAnsi="仿宋" w:eastAsia="仿宋"/>
          <w:b w:val="0"/>
          <w:bCs/>
          <w:sz w:val="32"/>
          <w:szCs w:val="32"/>
        </w:rPr>
      </w:pPr>
      <w:bookmarkStart w:id="31" w:name="_Toc15378460"/>
      <w:bookmarkStart w:id="32" w:name="_Toc15377213"/>
      <w:bookmarkStart w:id="33" w:name="_Toc15377444"/>
      <w:r>
        <w:rPr>
          <w:rFonts w:hint="eastAsia" w:ascii="仿宋" w:hAnsi="仿宋" w:eastAsia="仿宋"/>
          <w:b/>
          <w:sz w:val="32"/>
          <w:szCs w:val="32"/>
        </w:rPr>
        <w:t>2021年一般公共预算支出决算数为0</w:t>
      </w:r>
      <w:r>
        <w:rPr>
          <w:rFonts w:hint="eastAsia" w:ascii="仿宋" w:hAnsi="仿宋" w:eastAsia="仿宋"/>
          <w:sz w:val="32"/>
          <w:szCs w:val="32"/>
        </w:rPr>
        <w:t>，</w:t>
      </w:r>
      <w:r>
        <w:rPr>
          <w:rStyle w:val="15"/>
          <w:rFonts w:hint="eastAsia" w:ascii="仿宋" w:hAnsi="仿宋" w:eastAsia="仿宋"/>
          <w:bCs/>
          <w:sz w:val="32"/>
          <w:szCs w:val="32"/>
        </w:rPr>
        <w:t>完成预算0</w:t>
      </w:r>
      <w:r>
        <w:rPr>
          <w:rStyle w:val="15"/>
          <w:rFonts w:ascii="仿宋" w:hAnsi="仿宋" w:eastAsia="仿宋"/>
          <w:bCs/>
          <w:sz w:val="32"/>
          <w:szCs w:val="32"/>
        </w:rPr>
        <w:t>%</w:t>
      </w:r>
      <w:r>
        <w:rPr>
          <w:rStyle w:val="15"/>
          <w:rFonts w:hint="eastAsia" w:ascii="仿宋" w:hAnsi="仿宋" w:eastAsia="仿宋"/>
          <w:bCs/>
          <w:sz w:val="32"/>
          <w:szCs w:val="32"/>
        </w:rPr>
        <w:t>。</w:t>
      </w:r>
      <w:bookmarkEnd w:id="31"/>
      <w:bookmarkEnd w:id="32"/>
      <w:bookmarkEnd w:id="33"/>
    </w:p>
    <w:p>
      <w:pPr>
        <w:tabs>
          <w:tab w:val="right" w:pos="8306"/>
        </w:tabs>
        <w:spacing w:line="600" w:lineRule="exact"/>
        <w:ind w:firstLine="640"/>
        <w:outlineLvl w:val="1"/>
        <w:rPr>
          <w:rStyle w:val="26"/>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34"/>
      <w:bookmarkEnd w:id="35"/>
      <w:r>
        <w:rPr>
          <w:rStyle w:val="26"/>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21年一般公共预算财政拨款基本支出0万元，其中：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0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0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Fonts w:ascii="仿宋" w:hAnsi="仿宋" w:eastAsia="仿宋"/>
          <w:b/>
          <w:sz w:val="32"/>
          <w:szCs w:val="32"/>
        </w:rPr>
      </w:pPr>
      <w:bookmarkStart w:id="36" w:name="_Toc15377215"/>
      <w:bookmarkStart w:id="37" w:name="_Toc15396609"/>
    </w:p>
    <w:p>
      <w:pPr>
        <w:spacing w:line="600" w:lineRule="exact"/>
        <w:ind w:firstLine="640"/>
        <w:outlineLvl w:val="1"/>
        <w:rPr>
          <w:rStyle w:val="26"/>
          <w:rFonts w:ascii="黑体" w:hAnsi="黑体" w:eastAsia="黑体"/>
          <w:b w:val="0"/>
        </w:rPr>
      </w:pPr>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21年“三公”经费财政拨款支出决算为0万元，完成预算0</w:t>
      </w:r>
      <w:r>
        <w:rPr>
          <w:rFonts w:ascii="仿宋" w:hAnsi="仿宋" w:eastAsia="仿宋"/>
          <w:sz w:val="32"/>
          <w:szCs w:val="32"/>
        </w:rPr>
        <w:t>%</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20年减少0万元，下降0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0万元,</w:t>
      </w:r>
      <w:r>
        <w:rPr>
          <w:rStyle w:val="15"/>
          <w:rFonts w:hint="eastAsia" w:ascii="仿宋" w:hAnsi="仿宋" w:eastAsia="仿宋"/>
          <w:b w:val="0"/>
          <w:bCs/>
          <w:sz w:val="32"/>
          <w:szCs w:val="32"/>
        </w:rPr>
        <w:t>完成预算0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 xml:space="preserve"> %</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0万元。</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0万元，完成预算0</w:t>
      </w:r>
      <w:r>
        <w:rPr>
          <w:rFonts w:ascii="仿宋_GB2312" w:eastAsia="仿宋_GB2312"/>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w:t>
      </w:r>
      <w:r>
        <w:rPr>
          <w:rFonts w:hint="eastAsia" w:ascii="仿宋_GB2312" w:eastAsia="仿宋_GB2312"/>
          <w:sz w:val="32"/>
          <w:szCs w:val="32"/>
        </w:rPr>
        <w:t>万元。国内公务接待0批次，0人次（不包括陪同人员），共计支出0万元。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p>
    <w:p>
      <w:pPr>
        <w:spacing w:line="600" w:lineRule="exact"/>
        <w:ind w:firstLine="640"/>
        <w:outlineLvl w:val="1"/>
        <w:rPr>
          <w:rFonts w:ascii="黑体" w:eastAsia="黑体"/>
          <w:sz w:val="32"/>
          <w:szCs w:val="32"/>
        </w:rPr>
      </w:pPr>
      <w:bookmarkStart w:id="40" w:name="_Toc15377218"/>
      <w:bookmarkStart w:id="41" w:name="_Toc15396610"/>
    </w:p>
    <w:p>
      <w:pPr>
        <w:spacing w:line="600" w:lineRule="exact"/>
        <w:ind w:firstLine="640"/>
        <w:outlineLvl w:val="1"/>
        <w:rPr>
          <w:rStyle w:val="26"/>
          <w:rFonts w:ascii="黑体" w:hAnsi="黑体" w:eastAsia="黑体"/>
        </w:rPr>
      </w:pPr>
      <w:r>
        <w:rPr>
          <w:rFonts w:hint="eastAsia" w:ascii="黑体" w:eastAsia="黑体"/>
          <w:sz w:val="32"/>
          <w:szCs w:val="32"/>
        </w:rPr>
        <w:t>八、</w:t>
      </w:r>
      <w:r>
        <w:rPr>
          <w:rStyle w:val="26"/>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26"/>
          <w:rFonts w:ascii="黑体" w:hAnsi="黑体" w:eastAsia="黑体"/>
          <w:b w:val="0"/>
        </w:rPr>
      </w:pPr>
      <w:bookmarkStart w:id="42" w:name="_Toc15377219"/>
      <w:bookmarkStart w:id="43" w:name="_Toc15396611"/>
      <w:r>
        <w:rPr>
          <w:rStyle w:val="26"/>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26"/>
          <w:rFonts w:ascii="黑体" w:hAnsi="黑体" w:eastAsia="黑体"/>
          <w:b w:val="0"/>
        </w:rPr>
      </w:pPr>
      <w:bookmarkStart w:id="44" w:name="_Toc15396612"/>
      <w:bookmarkStart w:id="45" w:name="_Toc15377221"/>
      <w:r>
        <w:rPr>
          <w:rStyle w:val="26"/>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21年，乐山市水利电力建筑勘察设计研究院机关运行经费支出0万元，比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21年，乐山市水利电力建筑勘察设计研究院政府采购支出总额0万元，其中：政府采购货物支出0万元、政府采购工程支出0万元、政府采购服务支出0万元。。授予中小企业合同金额0万元，占政府采购支出总额的0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日，乐山市水利电力建筑勘察设计研究院共有车辆0辆，其中：主要领导干部用车0辆、机要通信用车0辆、应急保障用车0辆、其他用车0辆。单价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rPr>
          <w:rFonts w:ascii="仿宋" w:hAnsi="仿宋" w:eastAsia="仿宋"/>
          <w:b/>
          <w:sz w:val="32"/>
          <w:szCs w:val="32"/>
        </w:rPr>
      </w:pP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highlight w:val="yellow"/>
        </w:rPr>
      </w:pPr>
      <w:r>
        <w:rPr>
          <w:rFonts w:hint="eastAsia" w:ascii="仿宋_GB2312" w:hAnsi="仿宋_GB2312" w:eastAsia="仿宋_GB2312" w:cs="仿宋_GB2312"/>
          <w:sz w:val="32"/>
          <w:szCs w:val="32"/>
        </w:rPr>
        <w:t>根据预算绩效管理要求，本单位在2021年度无预算编制，没有开展预算事前绩效评估。</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5"/>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5"/>
          <w:rFonts w:hint="eastAsia" w:ascii="黑体" w:hAnsi="黑体" w:eastAsia="黑体"/>
          <w:b w:val="0"/>
        </w:rPr>
        <w:t>词解释</w:t>
      </w:r>
      <w:bookmarkEnd w:id="49"/>
      <w:bookmarkEnd w:id="50"/>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1.财政拨款收入：指单位从同级财政部门取得的财政预算资金。</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2.事业收入：指事业单位开展专业业务活动及辅助活动取得的收入。如财政专户中安排的支出。</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3.经营收入：指事业单位在专业业务活动及其辅助活动之外开展非独立核算经营活动取得的收入。如勘察设计收入。</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4.其他收入：指单位取得的除上述收入以外的各项收入。主要是利息等其他收入。</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6.年初结转和结余：指以前年度尚未完成、结转到本年按有关规定继续使用的资金。</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7.结余分配：指事业单位按照事业单位会计制度的规定从非财政补助结余中分配的事业基金和职工福利基金等。</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8、年末结转和结余：指单位按有关规定结转到下年或以后年度继续使用的资金。</w:t>
      </w:r>
    </w:p>
    <w:p>
      <w:pPr>
        <w:pStyle w:val="12"/>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9.农林水支出（类）水利（款）其他水利支出治（项）：指其他用于水利方面的支出。</w:t>
      </w:r>
    </w:p>
    <w:p>
      <w:pPr>
        <w:pStyle w:val="12"/>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10.基本支出：指为保障机构正常运转、完成日常工作任务而发生的人员支出和公用支出。</w:t>
      </w:r>
    </w:p>
    <w:p>
      <w:pPr>
        <w:pStyle w:val="12"/>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11.项目支出：指在基本支出之外为完成特定行政任务和事业发展目标所发生的支出。</w:t>
      </w:r>
    </w:p>
    <w:p>
      <w:pPr>
        <w:pStyle w:val="12"/>
        <w:widowControl/>
        <w:spacing w:before="0" w:beforeAutospacing="0" w:after="0" w:afterAutospacing="0"/>
        <w:ind w:firstLine="640"/>
        <w:jc w:val="both"/>
        <w:rPr>
          <w:rFonts w:ascii="仿宋_GB2312" w:eastAsia="仿宋_GB2312" w:cs="仿宋"/>
          <w:sz w:val="32"/>
          <w:szCs w:val="32"/>
        </w:rPr>
      </w:pPr>
      <w:r>
        <w:rPr>
          <w:rFonts w:hint="eastAsia" w:ascii="仿宋_GB2312" w:eastAsia="仿宋_GB2312" w:cs="仿宋"/>
          <w:sz w:val="32"/>
          <w:szCs w:val="32"/>
        </w:rPr>
        <w:t>12.经营支出：指事业单位在专业业务活动及其辅助活动之外开展非独立核算经营活动发生的支出。</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13.“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2"/>
        <w:widowControl/>
        <w:spacing w:before="0" w:beforeAutospacing="0" w:after="0" w:afterAutospacing="0" w:line="560" w:lineRule="atLeast"/>
        <w:ind w:firstLine="640"/>
        <w:rPr>
          <w:rFonts w:ascii="仿宋_GB2312" w:eastAsia="仿宋_GB2312" w:cs="仿宋"/>
          <w:sz w:val="32"/>
          <w:szCs w:val="32"/>
        </w:rPr>
      </w:pPr>
      <w:r>
        <w:rPr>
          <w:rFonts w:hint="eastAsia" w:ascii="仿宋_GB2312" w:eastAsia="仿宋_GB2312" w:cs="仿宋"/>
          <w:sz w:val="32"/>
          <w:szCs w:val="32"/>
        </w:rPr>
        <w:t>14.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2"/>
        <w:widowControl/>
        <w:spacing w:before="93" w:beforeAutospacing="0" w:after="0" w:afterAutospacing="0"/>
        <w:ind w:firstLine="880"/>
        <w:jc w:val="both"/>
        <w:rPr>
          <w:rFonts w:ascii="仿宋_GB2312" w:eastAsia="仿宋_GB2312" w:cs="仿宋"/>
          <w:sz w:val="32"/>
          <w:szCs w:val="32"/>
        </w:rPr>
      </w:pPr>
      <w:r>
        <w:rPr>
          <w:rFonts w:ascii="仿宋_GB2312" w:eastAsia="仿宋_GB2312" w:cs="仿宋"/>
          <w:sz w:val="32"/>
          <w:szCs w:val="32"/>
        </w:rPr>
        <w:t> </w:t>
      </w:r>
    </w:p>
    <w:p>
      <w:pPr>
        <w:pStyle w:val="23"/>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5"/>
          <w:rFonts w:ascii="黑体" w:hAnsi="黑体" w:eastAsia="黑体"/>
          <w:b w:val="0"/>
        </w:rPr>
      </w:pPr>
      <w:bookmarkStart w:id="51" w:name="_Toc15396614"/>
      <w:bookmarkStart w:id="52" w:name="_Toc15377226"/>
      <w:r>
        <w:rPr>
          <w:rFonts w:hint="eastAsia" w:ascii="黑体" w:hAnsi="黑体" w:eastAsia="黑体"/>
          <w:sz w:val="44"/>
          <w:szCs w:val="44"/>
        </w:rPr>
        <w:t>第</w:t>
      </w:r>
      <w:r>
        <w:rPr>
          <w:rStyle w:val="25"/>
          <w:rFonts w:hint="eastAsia" w:ascii="黑体" w:hAnsi="黑体" w:eastAsia="黑体"/>
          <w:b w:val="0"/>
        </w:rPr>
        <w:t>四部分 附件</w:t>
      </w:r>
      <w:bookmarkEnd w:id="51"/>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p>
    <w:tbl>
      <w:tblPr>
        <w:tblStyle w:val="13"/>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7" w:type="dxa"/>
            <w:gridSpan w:val="6"/>
            <w:tcBorders>
              <w:top w:val="nil"/>
              <w:left w:val="nil"/>
              <w:bottom w:val="nil"/>
              <w:right w:val="nil"/>
            </w:tcBorders>
            <w:shd w:val="clear" w:color="auto" w:fill="auto"/>
            <w:vAlign w:val="center"/>
          </w:tcPr>
          <w:p>
            <w:pPr>
              <w:widowControl/>
              <w:jc w:val="center"/>
              <w:textAlignment w:val="center"/>
              <w:rPr>
                <w:rFonts w:ascii="宋体" w:hAnsi="宋体" w:cs="宋体"/>
                <w:b/>
                <w:sz w:val="32"/>
                <w:szCs w:val="32"/>
              </w:rPr>
            </w:pPr>
            <w:bookmarkStart w:id="53" w:name="_Toc15396618"/>
            <w:r>
              <w:rPr>
                <w:rFonts w:hint="eastAsia" w:ascii="宋体" w:hAnsi="宋体" w:cs="宋体"/>
                <w:b/>
                <w:sz w:val="32"/>
                <w:szCs w:val="32"/>
              </w:rPr>
              <w:t>2021年特定目标类部门预算项目绩效目标自评</w:t>
            </w:r>
          </w:p>
        </w:tc>
        <w:tc>
          <w:tcPr>
            <w:tcW w:w="234"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4" w:type="dxa"/>
          <w:trHeight w:val="254" w:hRule="atLeast"/>
        </w:trPr>
        <w:tc>
          <w:tcPr>
            <w:tcW w:w="3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555"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341" w:hRule="atLeast"/>
        </w:trPr>
        <w:tc>
          <w:tcPr>
            <w:tcW w:w="3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4" w:type="dxa"/>
          <w:trHeight w:val="217" w:hRule="atLeast"/>
        </w:trPr>
        <w:tc>
          <w:tcPr>
            <w:tcW w:w="19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4" w:type="dxa"/>
          <w:trHeight w:val="797" w:hRule="atLeast"/>
        </w:trPr>
        <w:tc>
          <w:tcPr>
            <w:tcW w:w="19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c>
          <w:tcPr>
            <w:tcW w:w="3634"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p>
        </w:tc>
      </w:tr>
      <w:tr>
        <w:tblPrEx>
          <w:tblCellMar>
            <w:top w:w="0" w:type="dxa"/>
            <w:left w:w="108" w:type="dxa"/>
            <w:bottom w:w="0" w:type="dxa"/>
            <w:right w:w="108" w:type="dxa"/>
          </w:tblCellMar>
        </w:tblPrEx>
        <w:trPr>
          <w:gridAfter w:val="1"/>
          <w:wAfter w:w="234" w:type="dxa"/>
          <w:trHeight w:val="693" w:hRule="atLeast"/>
        </w:trPr>
        <w:tc>
          <w:tcPr>
            <w:tcW w:w="19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15"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577"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480" w:hRule="atLeast"/>
        </w:trPr>
        <w:tc>
          <w:tcPr>
            <w:tcW w:w="1977"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4" w:type="dxa"/>
          <w:trHeight w:val="530" w:hRule="atLeast"/>
        </w:trPr>
        <w:tc>
          <w:tcPr>
            <w:tcW w:w="1977"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bl>
    <w:p>
      <w:pPr>
        <w:spacing w:line="600" w:lineRule="exact"/>
        <w:jc w:val="center"/>
        <w:outlineLvl w:val="0"/>
        <w:rPr>
          <w:rFonts w:ascii="黑体" w:hAnsi="黑体" w:eastAsia="黑体"/>
          <w:sz w:val="44"/>
          <w:szCs w:val="44"/>
        </w:rPr>
      </w:pPr>
    </w:p>
    <w:p>
      <w:pPr>
        <w:widowControl/>
        <w:adjustRightInd w:val="0"/>
        <w:snapToGrid w:val="0"/>
        <w:spacing w:line="580" w:lineRule="exact"/>
        <w:contextualSpacing/>
        <w:jc w:val="left"/>
      </w:pPr>
      <w:r>
        <w:rPr>
          <w:rFonts w:hint="eastAsia" w:ascii="仿宋_GB2312" w:hAnsi="宋体" w:eastAsia="仿宋_GB2312" w:cs="宋体"/>
          <w:color w:val="000000"/>
          <w:kern w:val="0"/>
          <w:sz w:val="32"/>
          <w:szCs w:val="32"/>
          <w:shd w:val="clear" w:color="auto" w:fill="FFFFFF"/>
        </w:rPr>
        <w:t>（注：有两个及以上特定目标类部门预算项目的，需分别开展绩效目标自评并填写附表）</w:t>
      </w: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5"/>
          <w:rFonts w:hint="eastAsia" w:ascii="黑体" w:hAnsi="黑体" w:eastAsia="黑体"/>
          <w:b w:val="0"/>
        </w:rPr>
        <w:t>五部分 附表</w:t>
      </w:r>
      <w:bookmarkEnd w:id="52"/>
      <w:bookmarkEnd w:id="53"/>
      <w:bookmarkStart w:id="54" w:name="_Toc15396619"/>
    </w:p>
    <w:p>
      <w:pPr>
        <w:pStyle w:val="4"/>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6"/>
          <w:rFonts w:hint="eastAsia" w:ascii="仿宋" w:hAnsi="仿宋" w:eastAsia="仿宋"/>
          <w:b w:val="0"/>
          <w:bCs w:val="0"/>
        </w:rPr>
        <w:t>入决算表</w:t>
      </w:r>
      <w:bookmarkEnd w:id="55"/>
    </w:p>
    <w:p>
      <w:pPr>
        <w:pStyle w:val="4"/>
        <w:rPr>
          <w:rFonts w:ascii="仿宋" w:hAnsi="仿宋" w:eastAsia="仿宋"/>
        </w:rPr>
      </w:pPr>
      <w:bookmarkStart w:id="56"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57"/>
    </w:p>
    <w:p>
      <w:pPr>
        <w:pStyle w:val="4"/>
        <w:rPr>
          <w:rStyle w:val="26"/>
          <w:rFonts w:ascii="仿宋" w:hAnsi="仿宋" w:eastAsia="仿宋"/>
          <w:b w:val="0"/>
          <w:bCs w:val="0"/>
        </w:rPr>
      </w:pPr>
      <w:bookmarkStart w:id="58"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65"/>
    </w:p>
    <w:p>
      <w:pPr>
        <w:pStyle w:val="4"/>
        <w:rPr>
          <w:rStyle w:val="26"/>
          <w:rFonts w:ascii="仿宋" w:hAnsi="仿宋" w:eastAsia="仿宋"/>
          <w:b w:val="0"/>
          <w:bCs w:val="0"/>
        </w:rPr>
      </w:pPr>
      <w:bookmarkStart w:id="66"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66"/>
    </w:p>
    <w:p>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50BF0"/>
    <w:multiLevelType w:val="singleLevel"/>
    <w:tmpl w:val="BE850BF0"/>
    <w:lvl w:ilvl="0" w:tentative="0">
      <w:start w:val="1"/>
      <w:numFmt w:val="decimal"/>
      <w:suff w:val="nothing"/>
      <w:lvlText w:val="（%1）"/>
      <w:lvlJc w:val="left"/>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Y5YmI5MjA5YWNjZDFiZWRjNTQ5NWFjZWVkMjUzYjMifQ=="/>
    <w:docVar w:name="KGWebUrl" w:val="http://10.72.121.4:10001/oa/official/file"/>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526D9"/>
    <w:rsid w:val="00260C38"/>
    <w:rsid w:val="002616C0"/>
    <w:rsid w:val="00265372"/>
    <w:rsid w:val="002662AA"/>
    <w:rsid w:val="00280496"/>
    <w:rsid w:val="00294DC9"/>
    <w:rsid w:val="00295495"/>
    <w:rsid w:val="002A31DE"/>
    <w:rsid w:val="002B2613"/>
    <w:rsid w:val="002D6D05"/>
    <w:rsid w:val="002F1818"/>
    <w:rsid w:val="002F567B"/>
    <w:rsid w:val="003216A9"/>
    <w:rsid w:val="00331155"/>
    <w:rsid w:val="003359F7"/>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085A"/>
    <w:rsid w:val="00406254"/>
    <w:rsid w:val="004113FC"/>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3A80"/>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E54C0"/>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1B59"/>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0AFD"/>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17372"/>
    <w:rsid w:val="008253BB"/>
    <w:rsid w:val="0083706E"/>
    <w:rsid w:val="008408F6"/>
    <w:rsid w:val="008423A5"/>
    <w:rsid w:val="00850625"/>
    <w:rsid w:val="00853718"/>
    <w:rsid w:val="00855221"/>
    <w:rsid w:val="00860645"/>
    <w:rsid w:val="008609F9"/>
    <w:rsid w:val="00871F71"/>
    <w:rsid w:val="00872FD8"/>
    <w:rsid w:val="00885AF4"/>
    <w:rsid w:val="008939CD"/>
    <w:rsid w:val="008A6CDF"/>
    <w:rsid w:val="008B768C"/>
    <w:rsid w:val="008C4DB1"/>
    <w:rsid w:val="008C4EAF"/>
    <w:rsid w:val="008C5176"/>
    <w:rsid w:val="008C7FD0"/>
    <w:rsid w:val="008D3F38"/>
    <w:rsid w:val="008E1DE7"/>
    <w:rsid w:val="008E707C"/>
    <w:rsid w:val="00900B08"/>
    <w:rsid w:val="00902155"/>
    <w:rsid w:val="00902FA3"/>
    <w:rsid w:val="00923564"/>
    <w:rsid w:val="0092392E"/>
    <w:rsid w:val="009315F9"/>
    <w:rsid w:val="00933499"/>
    <w:rsid w:val="00935C98"/>
    <w:rsid w:val="00937F3A"/>
    <w:rsid w:val="00946945"/>
    <w:rsid w:val="00951248"/>
    <w:rsid w:val="0095152F"/>
    <w:rsid w:val="00954C49"/>
    <w:rsid w:val="00955E37"/>
    <w:rsid w:val="00963E7F"/>
    <w:rsid w:val="0097099F"/>
    <w:rsid w:val="00971997"/>
    <w:rsid w:val="00971FFC"/>
    <w:rsid w:val="0098660A"/>
    <w:rsid w:val="009931C3"/>
    <w:rsid w:val="009B1DD1"/>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17A2E"/>
    <w:rsid w:val="00A237D8"/>
    <w:rsid w:val="00A268C4"/>
    <w:rsid w:val="00A307CD"/>
    <w:rsid w:val="00A331C8"/>
    <w:rsid w:val="00A40A00"/>
    <w:rsid w:val="00A4142F"/>
    <w:rsid w:val="00A422EB"/>
    <w:rsid w:val="00A45BB7"/>
    <w:rsid w:val="00A56DF2"/>
    <w:rsid w:val="00A56E6E"/>
    <w:rsid w:val="00A57CE8"/>
    <w:rsid w:val="00A67AB5"/>
    <w:rsid w:val="00A733B2"/>
    <w:rsid w:val="00A741C2"/>
    <w:rsid w:val="00A774A1"/>
    <w:rsid w:val="00A91760"/>
    <w:rsid w:val="00A93B00"/>
    <w:rsid w:val="00A93C21"/>
    <w:rsid w:val="00A93E50"/>
    <w:rsid w:val="00AB64C9"/>
    <w:rsid w:val="00AC3C6A"/>
    <w:rsid w:val="00AD5620"/>
    <w:rsid w:val="00AD656B"/>
    <w:rsid w:val="00AD7C1B"/>
    <w:rsid w:val="00AE16BA"/>
    <w:rsid w:val="00AE1EBE"/>
    <w:rsid w:val="00AF3BB5"/>
    <w:rsid w:val="00AF3ED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A6A66"/>
    <w:rsid w:val="00CB4E70"/>
    <w:rsid w:val="00CC09B6"/>
    <w:rsid w:val="00CC666F"/>
    <w:rsid w:val="00CD1E3F"/>
    <w:rsid w:val="00CE44F6"/>
    <w:rsid w:val="00CE49DA"/>
    <w:rsid w:val="00CE7B61"/>
    <w:rsid w:val="00D00095"/>
    <w:rsid w:val="00D114F0"/>
    <w:rsid w:val="00D11D5A"/>
    <w:rsid w:val="00D20620"/>
    <w:rsid w:val="00D212F6"/>
    <w:rsid w:val="00D254F7"/>
    <w:rsid w:val="00D26091"/>
    <w:rsid w:val="00D2685C"/>
    <w:rsid w:val="00D34E7C"/>
    <w:rsid w:val="00D35489"/>
    <w:rsid w:val="00D36AFE"/>
    <w:rsid w:val="00D51276"/>
    <w:rsid w:val="00D5450D"/>
    <w:rsid w:val="00D7035F"/>
    <w:rsid w:val="00DA634F"/>
    <w:rsid w:val="00DA65AC"/>
    <w:rsid w:val="00DB1913"/>
    <w:rsid w:val="00DC410D"/>
    <w:rsid w:val="00DC5A81"/>
    <w:rsid w:val="00DC68CA"/>
    <w:rsid w:val="00DC7CBA"/>
    <w:rsid w:val="00DD73B7"/>
    <w:rsid w:val="00DF28BC"/>
    <w:rsid w:val="00DF34B9"/>
    <w:rsid w:val="00E01053"/>
    <w:rsid w:val="00E07ACF"/>
    <w:rsid w:val="00E12E59"/>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57D7"/>
    <w:rsid w:val="00F602DF"/>
    <w:rsid w:val="00F754A1"/>
    <w:rsid w:val="00F81FD9"/>
    <w:rsid w:val="00F841AA"/>
    <w:rsid w:val="00F84A94"/>
    <w:rsid w:val="00F87E96"/>
    <w:rsid w:val="00FA23E8"/>
    <w:rsid w:val="00FD3CC1"/>
    <w:rsid w:val="00FF1E02"/>
    <w:rsid w:val="00FF30B4"/>
    <w:rsid w:val="0A2032A3"/>
    <w:rsid w:val="0B8A37D8"/>
    <w:rsid w:val="10C055FF"/>
    <w:rsid w:val="118107EC"/>
    <w:rsid w:val="11DD6519"/>
    <w:rsid w:val="136C026A"/>
    <w:rsid w:val="16BB723D"/>
    <w:rsid w:val="18015F3F"/>
    <w:rsid w:val="1BE8440E"/>
    <w:rsid w:val="1D155CEE"/>
    <w:rsid w:val="20F57F95"/>
    <w:rsid w:val="240371BF"/>
    <w:rsid w:val="25C741E6"/>
    <w:rsid w:val="27842671"/>
    <w:rsid w:val="29FD04D3"/>
    <w:rsid w:val="2ABE7A3E"/>
    <w:rsid w:val="2EFA178C"/>
    <w:rsid w:val="30B46D73"/>
    <w:rsid w:val="319F7F4E"/>
    <w:rsid w:val="39AE70AB"/>
    <w:rsid w:val="3C0C0783"/>
    <w:rsid w:val="3F9F3A96"/>
    <w:rsid w:val="493C27E9"/>
    <w:rsid w:val="496F39ED"/>
    <w:rsid w:val="49FF41D3"/>
    <w:rsid w:val="4BE068DB"/>
    <w:rsid w:val="4BF6002B"/>
    <w:rsid w:val="4ECE2238"/>
    <w:rsid w:val="51DB4B86"/>
    <w:rsid w:val="55333C3E"/>
    <w:rsid w:val="64CA39A1"/>
    <w:rsid w:val="6C4A05C8"/>
    <w:rsid w:val="72734D90"/>
    <w:rsid w:val="79E7B28D"/>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uiPriority w:val="0"/>
    <w:pPr>
      <w:spacing w:before="100" w:beforeAutospacing="1" w:after="100" w:afterAutospacing="1"/>
      <w:jc w:val="left"/>
    </w:pPr>
    <w:rPr>
      <w:rFonts w:ascii="Calibri" w:hAnsi="Calibri"/>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TOC Heading"/>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2"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2</a:t>
            </a:r>
            <a:r>
              <a:rPr lang="zh-CN" altLang="en-US"/>
              <a:t>：收入决算结构图</a:t>
            </a:r>
            <a:endParaRPr lang="zh-CN" altLang="en-US"/>
          </a:p>
        </c:rich>
      </c:tx>
      <c:layout/>
      <c:overlay val="0"/>
    </c:title>
    <c:autoTitleDeleted val="0"/>
    <c:plotArea>
      <c:layout/>
      <c:pieChart>
        <c:varyColors val="1"/>
        <c:ser>
          <c:idx val="0"/>
          <c:order val="0"/>
          <c:explosion val="0"/>
          <c:dPt>
            <c:idx val="0"/>
            <c:bubble3D val="0"/>
          </c:dPt>
          <c:dPt>
            <c:idx val="1"/>
            <c:bubble3D val="0"/>
          </c:dPt>
          <c:dLbls>
            <c:dLbl>
              <c:idx val="1"/>
              <c:layout>
                <c:manualLayout>
                  <c:x val="0.00451290463692038"/>
                  <c:y val="-0.307870370370371"/>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经营收入</a:t>
                    </a:r>
                    <a:endParaRPr lang="en-US" altLang="zh-CN"/>
                  </a:p>
                  <a:p>
                    <a:pPr>
                      <a:defRPr lang="zh-CN" sz="1000" b="0" i="0" u="none" strike="noStrike" kern="1200" baseline="0">
                        <a:solidFill>
                          <a:schemeClr val="tx1"/>
                        </a:solidFill>
                        <a:latin typeface="+mn-lt"/>
                        <a:ea typeface="+mn-ea"/>
                        <a:cs typeface="+mn-cs"/>
                      </a:defRPr>
                    </a:pPr>
                    <a:r>
                      <a:rPr lang="zh-CN" altLang="en-US"/>
                      <a:t>
</a:t>
                    </a:r>
                    <a:r>
                      <a:rPr lang="en-US" altLang="zh-CN"/>
                      <a:t>3587.47</a:t>
                    </a:r>
                    <a:r>
                      <a:rPr lang="zh-CN" altLang="en-US"/>
                      <a:t>万元</a:t>
                    </a:r>
                    <a:endParaRPr lang="en-US" altLang="zh-CN"/>
                  </a:p>
                </c:rich>
              </c:tx>
              <c:dLblPos val="bestFi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Sheet1!$N$16:$N$17</c:f>
              <c:strCache>
                <c:ptCount val="2"/>
                <c:pt idx="0">
                  <c:v>图2：收入决算结构图</c:v>
                </c:pt>
                <c:pt idx="1">
                  <c:v>经营收入</c:v>
                </c:pt>
              </c:strCache>
            </c:strRef>
          </c:cat>
          <c:val>
            <c:numRef>
              <c:f>Sheet1!$O$16:$O$17</c:f>
              <c:numCache>
                <c:formatCode>General</c:formatCode>
                <c:ptCount val="2"/>
                <c:pt idx="1">
                  <c:v>3587.47</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3</a:t>
            </a:r>
            <a:r>
              <a:rPr lang="zh-CN" altLang="en-US"/>
              <a:t>：支出决算结构图</a:t>
            </a:r>
            <a:endParaRPr lang="zh-CN" altLang="en-US"/>
          </a:p>
        </c:rich>
      </c:tx>
      <c:layout/>
      <c:overlay val="0"/>
    </c:title>
    <c:autoTitleDeleted val="0"/>
    <c:plotArea>
      <c:layout/>
      <c:pieChart>
        <c:varyColors val="1"/>
        <c:ser>
          <c:idx val="0"/>
          <c:order val="0"/>
          <c:tx>
            <c:strRef>
              <c:f>Sheet1!$N$24</c:f>
              <c:strCache>
                <c:ptCount val="1"/>
                <c:pt idx="0">
                  <c:v>经营支出</c:v>
                </c:pt>
              </c:strCache>
            </c:strRef>
          </c:tx>
          <c:explosion val="0"/>
          <c:dPt>
            <c:idx val="0"/>
            <c:bubble3D val="0"/>
          </c:dPt>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zh-CN" altLang="en-US"/>
                      <a:t>经营支出</a:t>
                    </a:r>
                    <a:endParaRPr lang="en-US" altLang="zh-CN"/>
                  </a:p>
                  <a:p>
                    <a:pPr>
                      <a:defRPr lang="zh-CN" sz="1000" b="0" i="0" u="none" strike="noStrike" kern="1200" baseline="0">
                        <a:solidFill>
                          <a:schemeClr val="tx1"/>
                        </a:solidFill>
                        <a:latin typeface="+mn-lt"/>
                        <a:ea typeface="+mn-ea"/>
                        <a:cs typeface="+mn-cs"/>
                      </a:defRPr>
                    </a:pPr>
                    <a:endParaRPr lang="en-US" altLang="zh-CN"/>
                  </a:p>
                  <a:p>
                    <a:pPr>
                      <a:defRPr lang="zh-CN" sz="1000" b="0" i="0" u="none" strike="noStrike" kern="1200" baseline="0">
                        <a:solidFill>
                          <a:schemeClr val="tx1"/>
                        </a:solidFill>
                        <a:latin typeface="+mn-lt"/>
                        <a:ea typeface="+mn-ea"/>
                        <a:cs typeface="+mn-cs"/>
                      </a:defRPr>
                    </a:pPr>
                    <a:r>
                      <a:rPr lang="en-US" altLang="zh-CN"/>
                      <a:t>3552.41</a:t>
                    </a:r>
                    <a:r>
                      <a:rPr lang="zh-CN" altLang="en-US"/>
                      <a:t>万元</a:t>
                    </a:r>
                    <a:r>
                      <a:rPr lang="en-US" altLang="zh-CN"/>
                      <a:t> </a:t>
                    </a:r>
                    <a:endParaRPr lang="en-US" altLang="zh-CN"/>
                  </a:p>
                </c:rich>
              </c:tx>
              <c:dLblPos val="bestFit"/>
              <c:showLegendKey val="0"/>
              <c:showVal val="1"/>
              <c:showCatName val="1"/>
              <c:showSerName val="0"/>
              <c:showPercent val="1"/>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val>
            <c:numRef>
              <c:f>Sheet1!$O$24</c:f>
              <c:numCache>
                <c:formatCode>General</c:formatCode>
                <c:ptCount val="1"/>
                <c:pt idx="0">
                  <c:v>3552.41</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4</a:t>
            </a:r>
            <a:r>
              <a:rPr lang="zh-CN" altLang="en-US"/>
              <a:t>：财政拨款收、支决算总计变动情况</a:t>
            </a:r>
            <a:endParaRPr lang="zh-CN" altLang="en-US"/>
          </a:p>
        </c:rich>
      </c:tx>
      <c:layout/>
      <c:overlay val="0"/>
    </c:title>
    <c:autoTitleDeleted val="0"/>
    <c:plotArea>
      <c:layout/>
      <c:barChart>
        <c:barDir val="col"/>
        <c:grouping val="clustered"/>
        <c:varyColors val="0"/>
        <c:ser>
          <c:idx val="0"/>
          <c:order val="0"/>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300.86</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0</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Sheet1!$D$63:$D$64</c:f>
              <c:strCache>
                <c:ptCount val="2"/>
                <c:pt idx="0">
                  <c:v>2020年一般公共预算财政拨款支出</c:v>
                </c:pt>
                <c:pt idx="1">
                  <c:v>2021年一般公共预算财政拨款支出</c:v>
                </c:pt>
              </c:strCache>
            </c:strRef>
          </c:cat>
          <c:val>
            <c:numRef>
              <c:f>Sheet1!$E$63:$E$64</c:f>
              <c:numCache>
                <c:formatCode>General</c:formatCode>
                <c:ptCount val="2"/>
                <c:pt idx="0">
                  <c:v>300.86</c:v>
                </c:pt>
                <c:pt idx="1">
                  <c:v>0</c:v>
                </c:pt>
              </c:numCache>
            </c:numRef>
          </c:val>
        </c:ser>
        <c:dLbls>
          <c:showLegendKey val="0"/>
          <c:showVal val="1"/>
          <c:showCatName val="0"/>
          <c:showSerName val="0"/>
          <c:showPercent val="0"/>
          <c:showBubbleSize val="0"/>
        </c:dLbls>
        <c:gapWidth val="150"/>
        <c:axId val="136029312"/>
        <c:axId val="136030848"/>
      </c:barChart>
      <c:catAx>
        <c:axId val="136029312"/>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030848"/>
        <c:crosses val="autoZero"/>
        <c:auto val="1"/>
        <c:lblAlgn val="ctr"/>
        <c:lblOffset val="100"/>
        <c:noMultiLvlLbl val="0"/>
      </c:catAx>
      <c:valAx>
        <c:axId val="13603084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029312"/>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图</a:t>
            </a:r>
            <a:r>
              <a:rPr lang="en-US" altLang="zh-CN"/>
              <a:t>5</a:t>
            </a:r>
            <a:r>
              <a:rPr lang="zh-CN" altLang="en-US"/>
              <a:t>：一般公共预算财政拨款支出决算变动情况</a:t>
            </a:r>
            <a:endParaRPr lang="zh-CN" altLang="en-US"/>
          </a:p>
        </c:rich>
      </c:tx>
      <c:layout/>
      <c:overlay val="0"/>
    </c:title>
    <c:autoTitleDeleted val="0"/>
    <c:plotArea>
      <c:layout/>
      <c:barChart>
        <c:barDir val="col"/>
        <c:grouping val="clustered"/>
        <c:varyColors val="0"/>
        <c:ser>
          <c:idx val="0"/>
          <c:order val="0"/>
          <c:invertIfNegative val="0"/>
          <c:dLbls>
            <c:dLbl>
              <c:idx val="0"/>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300.86</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rPr lang="en-US" altLang="en-US"/>
                      <a:t>0</a:t>
                    </a:r>
                    <a:r>
                      <a:rPr lang="zh-CN" altLang="en-US"/>
                      <a:t>万元</a:t>
                    </a:r>
                    <a:endParaRPr lang="en-US" altLang="en-US"/>
                  </a:p>
                </c:rich>
              </c:tx>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Sheet1!$D$63:$D$64</c:f>
              <c:strCache>
                <c:ptCount val="2"/>
                <c:pt idx="0">
                  <c:v>2020年一般公共预算财政拨款支出</c:v>
                </c:pt>
                <c:pt idx="1">
                  <c:v>2021年一般公共预算财政拨款支出</c:v>
                </c:pt>
              </c:strCache>
            </c:strRef>
          </c:cat>
          <c:val>
            <c:numRef>
              <c:f>Sheet1!$E$63:$E$64</c:f>
              <c:numCache>
                <c:formatCode>General</c:formatCode>
                <c:ptCount val="2"/>
                <c:pt idx="0">
                  <c:v>300.86</c:v>
                </c:pt>
                <c:pt idx="1">
                  <c:v>0</c:v>
                </c:pt>
              </c:numCache>
            </c:numRef>
          </c:val>
        </c:ser>
        <c:dLbls>
          <c:showLegendKey val="0"/>
          <c:showVal val="1"/>
          <c:showCatName val="0"/>
          <c:showSerName val="0"/>
          <c:showPercent val="0"/>
          <c:showBubbleSize val="0"/>
        </c:dLbls>
        <c:gapWidth val="150"/>
        <c:axId val="136050944"/>
        <c:axId val="136069120"/>
      </c:barChart>
      <c:catAx>
        <c:axId val="136050944"/>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069120"/>
        <c:crosses val="autoZero"/>
        <c:auto val="1"/>
        <c:lblAlgn val="ctr"/>
        <c:lblOffset val="100"/>
        <c:noMultiLvlLbl val="0"/>
      </c:catAx>
      <c:valAx>
        <c:axId val="136069120"/>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6050944"/>
        <c:crosses val="autoZero"/>
        <c:crossBetween val="between"/>
      </c:valAx>
    </c:plotArea>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D8B4BD9-2EB6-440D-82DC-D46390BA76F8}">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20</Pages>
  <Words>6180</Words>
  <Characters>6494</Characters>
  <Lines>48</Lines>
  <Paragraphs>13</Paragraphs>
  <TotalTime>1</TotalTime>
  <ScaleCrop>false</ScaleCrop>
  <LinksUpToDate>false</LinksUpToDate>
  <CharactersWithSpaces>6551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2022-09-29T07:23:00Z</dcterms:created>
  <dc:creator>曹颖</dc:creator>
  <cp:lastModifiedBy>   Des Souvenir.</cp:lastModifiedBy>
  <cp:lastPrinted>2022-09-29T07:13:00Z</cp:lastPrinted>
  <dcterms:modified xsi:type="dcterms:W3CDTF">2022-09-29T07:52:25Z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7D369F3211654D859C844076148CEF7A</vt:lpwstr>
  </property>
</Properties>
</file>