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36" w:lineRule="exact"/>
        <w:ind w:firstLine="1760" w:firstLineChars="400"/>
        <w:jc w:val="left"/>
        <w:textAlignment w:val="auto"/>
        <w:rPr>
          <w:rFonts w:hint="default"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736" w:lineRule="exact"/>
        <w:ind w:firstLine="1760" w:firstLineChars="400"/>
        <w:jc w:val="left"/>
        <w:textAlignment w:val="auto"/>
        <w:rPr>
          <w:rFonts w:hint="default"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736" w:lineRule="exact"/>
        <w:ind w:firstLine="1760" w:firstLineChars="400"/>
        <w:jc w:val="left"/>
        <w:textAlignment w:val="auto"/>
        <w:rPr>
          <w:rFonts w:hint="default"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736" w:lineRule="exact"/>
        <w:ind w:firstLine="1760" w:firstLineChars="400"/>
        <w:jc w:val="left"/>
        <w:textAlignment w:val="auto"/>
        <w:rPr>
          <w:rFonts w:hint="default"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736" w:lineRule="exact"/>
        <w:ind w:firstLine="1760" w:firstLineChars="400"/>
        <w:jc w:val="left"/>
        <w:textAlignment w:val="auto"/>
        <w:rPr>
          <w:rFonts w:hint="default"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736" w:lineRule="exact"/>
        <w:ind w:firstLine="1760" w:firstLineChars="400"/>
        <w:jc w:val="left"/>
        <w:textAlignment w:val="auto"/>
        <w:rPr>
          <w:rFonts w:hint="default" w:ascii="方正小标宋简体" w:hAnsi="方正小标宋简体" w:eastAsia="方正小标宋简体" w:cs="方正小标宋简体"/>
          <w:b w:val="0"/>
          <w:bCs w:val="0"/>
          <w:i w:val="0"/>
          <w:iCs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r>
        <w:rPr>
          <w:rFonts w:hint="eastAsia" w:ascii="仿宋_GB2312" w:hAnsi="仿宋_GB2312" w:eastAsia="仿宋_GB2312" w:cs="仿宋_GB2312"/>
          <w:b w:val="0"/>
          <w:bCs w:val="0"/>
          <w:i w:val="0"/>
          <w:iCs w:val="0"/>
          <w:caps w:val="0"/>
          <w:color w:val="auto"/>
          <w:spacing w:val="0"/>
          <w:sz w:val="32"/>
          <w:szCs w:val="32"/>
          <w:shd w:val="clear" w:fill="FFFFFF"/>
          <w:lang w:val="en-US" w:eastAsia="zh-CN"/>
        </w:rPr>
        <w:t>乐卫发〔2023〕4号</w:t>
      </w:r>
    </w:p>
    <w:p>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仿宋_GB2312" w:hAnsi="仿宋_GB2312" w:eastAsia="仿宋_GB2312" w:cs="仿宋_GB2312"/>
          <w:b w:val="0"/>
          <w:bCs w:val="0"/>
          <w:i w:val="0"/>
          <w:iCs w:val="0"/>
          <w:caps w:val="0"/>
          <w:color w:val="auto"/>
          <w:spacing w:val="0"/>
          <w:sz w:val="32"/>
          <w:szCs w:val="32"/>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ind w:firstLine="2200" w:firstLineChars="500"/>
        <w:jc w:val="left"/>
        <w:textAlignment w:val="auto"/>
        <w:rPr>
          <w:rFonts w:hint="eastAsia" w:ascii="方正小标宋简体" w:hAnsi="方正小标宋简体" w:eastAsia="方正小标宋简体" w:cs="方正小标宋简体"/>
          <w:b w:val="0"/>
          <w:bCs w:val="0"/>
          <w:i w:val="0"/>
          <w:iCs w:val="0"/>
          <w:caps w:val="0"/>
          <w:color w:val="auto"/>
          <w:spacing w:val="0"/>
          <w:w w:val="100"/>
          <w:sz w:val="44"/>
          <w:szCs w:val="44"/>
          <w:shd w:val="clear" w:fill="FFFFFF"/>
          <w:lang w:val="en-US" w:eastAsia="zh-CN"/>
        </w:rPr>
      </w:pPr>
      <w:r>
        <w:rPr>
          <w:rFonts w:hint="eastAsia" w:ascii="方正小标宋简体" w:hAnsi="方正小标宋简体" w:eastAsia="方正小标宋简体" w:cs="方正小标宋简体"/>
          <w:b w:val="0"/>
          <w:bCs w:val="0"/>
          <w:i w:val="0"/>
          <w:iCs w:val="0"/>
          <w:caps w:val="0"/>
          <w:color w:val="auto"/>
          <w:spacing w:val="0"/>
          <w:w w:val="100"/>
          <w:sz w:val="44"/>
          <w:szCs w:val="44"/>
          <w:shd w:val="clear" w:fill="FFFFFF"/>
          <w:lang w:val="en-US" w:eastAsia="zh-CN"/>
        </w:rPr>
        <w:t>乐山市卫生健康委员会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i w:val="0"/>
          <w:iCs w:val="0"/>
          <w:caps w:val="0"/>
          <w:color w:val="auto"/>
          <w:spacing w:val="0"/>
          <w:w w:val="100"/>
          <w:sz w:val="44"/>
          <w:szCs w:val="44"/>
          <w:shd w:val="clear" w:fill="FFFFFF"/>
          <w:lang w:val="en-US" w:eastAsia="zh-CN"/>
        </w:rPr>
      </w:pPr>
      <w:r>
        <w:rPr>
          <w:rFonts w:hint="eastAsia" w:ascii="方正小标宋简体" w:hAnsi="方正小标宋简体" w:eastAsia="方正小标宋简体" w:cs="方正小标宋简体"/>
          <w:b w:val="0"/>
          <w:bCs w:val="0"/>
          <w:i w:val="0"/>
          <w:iCs w:val="0"/>
          <w:caps w:val="0"/>
          <w:color w:val="auto"/>
          <w:spacing w:val="0"/>
          <w:w w:val="100"/>
          <w:sz w:val="44"/>
          <w:szCs w:val="44"/>
          <w:shd w:val="clear" w:fill="FFFFFF"/>
        </w:rPr>
        <w:t>关于</w:t>
      </w:r>
      <w:r>
        <w:rPr>
          <w:rFonts w:hint="eastAsia" w:ascii="方正小标宋简体" w:hAnsi="方正小标宋简体" w:eastAsia="方正小标宋简体" w:cs="方正小标宋简体"/>
          <w:b w:val="0"/>
          <w:bCs w:val="0"/>
          <w:i w:val="0"/>
          <w:iCs w:val="0"/>
          <w:caps w:val="0"/>
          <w:color w:val="auto"/>
          <w:spacing w:val="0"/>
          <w:w w:val="100"/>
          <w:sz w:val="44"/>
          <w:szCs w:val="44"/>
          <w:shd w:val="clear" w:fill="FFFFFF"/>
          <w:lang w:val="en-US" w:eastAsia="zh-CN"/>
        </w:rPr>
        <w:t>印发《乐山市护理事业发展规划</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i w:val="0"/>
          <w:iCs w:val="0"/>
          <w:caps w:val="0"/>
          <w:color w:val="auto"/>
          <w:spacing w:val="0"/>
          <w:w w:val="100"/>
          <w:sz w:val="44"/>
          <w:szCs w:val="44"/>
          <w:shd w:val="clear" w:fill="FFFFFF"/>
          <w:lang w:val="en-US" w:eastAsia="zh-CN"/>
        </w:rPr>
      </w:pPr>
      <w:r>
        <w:rPr>
          <w:rFonts w:hint="eastAsia" w:ascii="方正小标宋简体" w:hAnsi="方正小标宋简体" w:eastAsia="方正小标宋简体" w:cs="方正小标宋简体"/>
          <w:b w:val="0"/>
          <w:bCs w:val="0"/>
          <w:i w:val="0"/>
          <w:iCs w:val="0"/>
          <w:caps w:val="0"/>
          <w:color w:val="auto"/>
          <w:spacing w:val="0"/>
          <w:w w:val="100"/>
          <w:sz w:val="44"/>
          <w:szCs w:val="44"/>
          <w:shd w:val="clear" w:fill="FFFFFF"/>
          <w:lang w:val="en-US" w:eastAsia="zh-CN"/>
        </w:rPr>
        <w:t>（2023—2025年）》的通知</w:t>
      </w:r>
    </w:p>
    <w:p>
      <w:pPr>
        <w:pStyle w:val="2"/>
        <w:keepNext/>
        <w:keepLines/>
        <w:pageBreakBefore w:val="0"/>
        <w:widowControl/>
        <w:kinsoku/>
        <w:wordWrap/>
        <w:overflowPunct/>
        <w:topLinePunct w:val="0"/>
        <w:autoSpaceDE/>
        <w:autoSpaceDN/>
        <w:bidi w:val="0"/>
        <w:adjustRightInd/>
        <w:snapToGrid/>
        <w:spacing w:before="0" w:after="0" w:line="560" w:lineRule="exact"/>
        <w:textAlignment w:val="baseline"/>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50" w:lineRule="exact"/>
        <w:textAlignment w:val="auto"/>
        <w:rPr>
          <w:rFonts w:hint="eastAsia" w:ascii="仿宋_GB2312" w:hAnsi="仿宋_GB2312" w:eastAsia="仿宋_GB2312" w:cs="仿宋_GB2312"/>
          <w:color w:val="auto"/>
          <w:w w:val="96"/>
          <w:sz w:val="32"/>
          <w:szCs w:val="32"/>
        </w:rPr>
      </w:pPr>
      <w:r>
        <w:rPr>
          <w:rFonts w:hint="eastAsia" w:ascii="仿宋_GB2312" w:hAnsi="仿宋_GB2312" w:eastAsia="仿宋_GB2312" w:cs="仿宋_GB2312"/>
          <w:color w:val="auto"/>
          <w:w w:val="96"/>
          <w:sz w:val="32"/>
          <w:szCs w:val="32"/>
          <w:lang w:val="en-US" w:eastAsia="zh-CN"/>
        </w:rPr>
        <w:t>各区、市、县、自治县卫生健康局，委直属相关单位</w:t>
      </w:r>
      <w:r>
        <w:rPr>
          <w:rFonts w:hint="eastAsia" w:ascii="仿宋_GB2312" w:hAnsi="仿宋_GB2312" w:eastAsia="仿宋_GB2312" w:cs="仿宋_GB2312"/>
          <w:color w:val="auto"/>
          <w:w w:val="96"/>
          <w:sz w:val="32"/>
          <w:szCs w:val="32"/>
        </w:rPr>
        <w:t>：</w:t>
      </w:r>
    </w:p>
    <w:p>
      <w:pPr>
        <w:keepNext w:val="0"/>
        <w:keepLines w:val="0"/>
        <w:pageBreakBefore w:val="0"/>
        <w:widowControl w:val="0"/>
        <w:kinsoku/>
        <w:wordWrap/>
        <w:overflowPunct/>
        <w:topLinePunct w:val="0"/>
        <w:autoSpaceDE/>
        <w:autoSpaceDN/>
        <w:bidi w:val="0"/>
        <w:adjustRightInd/>
        <w:snapToGrid/>
        <w:spacing w:line="550" w:lineRule="exact"/>
        <w:ind w:firstLine="614" w:firstLineChars="200"/>
        <w:textAlignment w:val="auto"/>
        <w:rPr>
          <w:rFonts w:hint="eastAsia" w:ascii="仿宋_GB2312" w:hAnsi="仿宋_GB2312" w:eastAsia="仿宋_GB2312" w:cs="仿宋_GB2312"/>
          <w:color w:val="auto"/>
          <w:w w:val="96"/>
          <w:sz w:val="32"/>
          <w:szCs w:val="32"/>
        </w:rPr>
      </w:pPr>
      <w:r>
        <w:rPr>
          <w:rFonts w:hint="eastAsia" w:ascii="仿宋_GB2312" w:hAnsi="仿宋_GB2312" w:eastAsia="仿宋_GB2312" w:cs="仿宋_GB2312"/>
          <w:color w:val="auto"/>
          <w:w w:val="96"/>
          <w:sz w:val="32"/>
          <w:szCs w:val="32"/>
          <w:lang w:eastAsia="zh-CN"/>
        </w:rPr>
        <w:t>为切实做好“十四五”时期我市护理工作，</w:t>
      </w:r>
      <w:r>
        <w:rPr>
          <w:rFonts w:hint="eastAsia" w:ascii="仿宋_GB2312" w:hAnsi="仿宋_GB2312" w:eastAsia="仿宋_GB2312" w:cs="仿宋_GB2312"/>
          <w:color w:val="auto"/>
          <w:w w:val="96"/>
          <w:sz w:val="32"/>
          <w:szCs w:val="32"/>
        </w:rPr>
        <w:t>促进我市护理事业持续高质量发展</w:t>
      </w:r>
      <w:r>
        <w:rPr>
          <w:rFonts w:hint="eastAsia" w:ascii="仿宋_GB2312" w:hAnsi="仿宋_GB2312" w:eastAsia="仿宋_GB2312" w:cs="仿宋_GB2312"/>
          <w:color w:val="auto"/>
          <w:w w:val="96"/>
          <w:sz w:val="32"/>
          <w:szCs w:val="32"/>
          <w:lang w:eastAsia="zh-CN"/>
        </w:rPr>
        <w:t>，进一步提高</w:t>
      </w:r>
      <w:r>
        <w:rPr>
          <w:rFonts w:hint="eastAsia" w:ascii="仿宋_GB2312" w:hAnsi="仿宋_GB2312" w:eastAsia="仿宋_GB2312" w:cs="仿宋_GB2312"/>
          <w:color w:val="auto"/>
          <w:w w:val="96"/>
          <w:sz w:val="32"/>
          <w:szCs w:val="32"/>
        </w:rPr>
        <w:t>人民群众健康</w:t>
      </w:r>
      <w:r>
        <w:rPr>
          <w:rFonts w:hint="eastAsia" w:ascii="仿宋_GB2312" w:hAnsi="仿宋_GB2312" w:eastAsia="仿宋_GB2312" w:cs="仿宋_GB2312"/>
          <w:color w:val="auto"/>
          <w:w w:val="96"/>
          <w:sz w:val="32"/>
          <w:szCs w:val="32"/>
          <w:lang w:eastAsia="zh-CN"/>
        </w:rPr>
        <w:t>水平</w:t>
      </w:r>
      <w:r>
        <w:rPr>
          <w:rFonts w:hint="eastAsia" w:ascii="仿宋_GB2312" w:hAnsi="仿宋_GB2312" w:eastAsia="仿宋_GB2312" w:cs="仿宋_GB2312"/>
          <w:color w:val="auto"/>
          <w:w w:val="96"/>
          <w:sz w:val="32"/>
          <w:szCs w:val="32"/>
        </w:rPr>
        <w:t>，根据</w:t>
      </w:r>
      <w:r>
        <w:rPr>
          <w:rFonts w:hint="eastAsia" w:ascii="仿宋_GB2312" w:hAnsi="仿宋_GB2312" w:eastAsia="仿宋_GB2312" w:cs="仿宋_GB2312"/>
          <w:color w:val="auto"/>
          <w:w w:val="96"/>
          <w:sz w:val="32"/>
          <w:szCs w:val="32"/>
          <w:lang w:eastAsia="zh-CN"/>
        </w:rPr>
        <w:t>《</w:t>
      </w:r>
      <w:r>
        <w:rPr>
          <w:rFonts w:hint="eastAsia" w:ascii="仿宋_GB2312" w:hAnsi="仿宋_GB2312" w:eastAsia="仿宋_GB2312" w:cs="仿宋_GB2312"/>
          <w:color w:val="auto"/>
          <w:w w:val="96"/>
          <w:sz w:val="32"/>
          <w:szCs w:val="32"/>
          <w:lang w:val="en-US" w:eastAsia="zh-CN"/>
        </w:rPr>
        <w:t>全国护理事业发展规划（2021—2025年）</w:t>
      </w:r>
      <w:r>
        <w:rPr>
          <w:rFonts w:hint="eastAsia" w:ascii="仿宋_GB2312" w:hAnsi="仿宋_GB2312" w:eastAsia="仿宋_GB2312" w:cs="仿宋_GB2312"/>
          <w:color w:val="auto"/>
          <w:w w:val="96"/>
          <w:sz w:val="32"/>
          <w:szCs w:val="32"/>
          <w:lang w:eastAsia="zh-CN"/>
        </w:rPr>
        <w:t>》</w:t>
      </w:r>
      <w:r>
        <w:rPr>
          <w:rFonts w:hint="eastAsia" w:ascii="仿宋_GB2312" w:hAnsi="仿宋_GB2312" w:eastAsia="仿宋_GB2312" w:cs="仿宋_GB2312"/>
          <w:color w:val="auto"/>
          <w:w w:val="96"/>
          <w:sz w:val="32"/>
          <w:szCs w:val="32"/>
        </w:rPr>
        <w:t>《</w:t>
      </w:r>
      <w:r>
        <w:rPr>
          <w:rFonts w:hint="eastAsia" w:ascii="仿宋_GB2312" w:hAnsi="仿宋_GB2312" w:eastAsia="仿宋_GB2312" w:cs="仿宋_GB2312"/>
          <w:color w:val="auto"/>
          <w:w w:val="96"/>
          <w:sz w:val="32"/>
          <w:szCs w:val="32"/>
          <w:lang w:val="en-US" w:eastAsia="zh-CN"/>
        </w:rPr>
        <w:t>四川</w:t>
      </w:r>
      <w:r>
        <w:rPr>
          <w:rFonts w:hint="eastAsia" w:ascii="仿宋_GB2312" w:hAnsi="仿宋_GB2312" w:eastAsia="仿宋_GB2312" w:cs="仿宋_GB2312"/>
          <w:color w:val="auto"/>
          <w:w w:val="96"/>
          <w:sz w:val="32"/>
          <w:szCs w:val="32"/>
        </w:rPr>
        <w:t>省</w:t>
      </w:r>
      <w:r>
        <w:rPr>
          <w:rFonts w:hint="eastAsia" w:ascii="仿宋_GB2312" w:hAnsi="仿宋_GB2312" w:eastAsia="仿宋_GB2312" w:cs="仿宋_GB2312"/>
          <w:color w:val="auto"/>
          <w:w w:val="96"/>
          <w:sz w:val="32"/>
          <w:szCs w:val="32"/>
          <w:lang w:val="en-US" w:eastAsia="zh-CN"/>
        </w:rPr>
        <w:t>护理事业发展规划（2022—2025年）</w:t>
      </w:r>
      <w:r>
        <w:rPr>
          <w:rFonts w:hint="eastAsia" w:ascii="仿宋_GB2312" w:hAnsi="仿宋_GB2312" w:eastAsia="仿宋_GB2312" w:cs="仿宋_GB2312"/>
          <w:color w:val="auto"/>
          <w:w w:val="96"/>
          <w:sz w:val="32"/>
          <w:szCs w:val="32"/>
        </w:rPr>
        <w:t>》</w:t>
      </w:r>
      <w:r>
        <w:rPr>
          <w:rFonts w:hint="eastAsia" w:ascii="仿宋_GB2312" w:hAnsi="仿宋_GB2312" w:eastAsia="仿宋_GB2312" w:cs="仿宋_GB2312"/>
          <w:color w:val="auto"/>
          <w:w w:val="96"/>
          <w:sz w:val="32"/>
          <w:szCs w:val="32"/>
          <w:lang w:val="en-US" w:eastAsia="zh-CN"/>
        </w:rPr>
        <w:t>等文件精神</w:t>
      </w:r>
      <w:r>
        <w:rPr>
          <w:rFonts w:hint="eastAsia" w:ascii="仿宋_GB2312" w:hAnsi="仿宋_GB2312" w:eastAsia="仿宋_GB2312" w:cs="仿宋_GB2312"/>
          <w:color w:val="auto"/>
          <w:w w:val="96"/>
          <w:sz w:val="32"/>
          <w:szCs w:val="32"/>
        </w:rPr>
        <w:t>，</w:t>
      </w:r>
      <w:r>
        <w:rPr>
          <w:rFonts w:hint="eastAsia" w:ascii="仿宋_GB2312" w:hAnsi="仿宋_GB2312" w:eastAsia="仿宋_GB2312" w:cs="仿宋_GB2312"/>
          <w:color w:val="auto"/>
          <w:w w:val="96"/>
          <w:sz w:val="32"/>
          <w:szCs w:val="32"/>
          <w:lang w:val="en-US" w:eastAsia="zh-CN"/>
        </w:rPr>
        <w:t>结合我市实际，研究并</w:t>
      </w:r>
      <w:r>
        <w:rPr>
          <w:rFonts w:hint="eastAsia" w:ascii="仿宋_GB2312" w:hAnsi="仿宋_GB2312" w:eastAsia="仿宋_GB2312" w:cs="仿宋_GB2312"/>
          <w:color w:val="auto"/>
          <w:w w:val="96"/>
          <w:sz w:val="32"/>
          <w:szCs w:val="32"/>
        </w:rPr>
        <w:t>制定了《</w:t>
      </w:r>
      <w:r>
        <w:rPr>
          <w:rFonts w:hint="eastAsia" w:ascii="仿宋_GB2312" w:hAnsi="仿宋_GB2312" w:eastAsia="仿宋_GB2312" w:cs="仿宋_GB2312"/>
          <w:color w:val="auto"/>
          <w:w w:val="96"/>
          <w:sz w:val="32"/>
          <w:szCs w:val="32"/>
          <w:lang w:val="en-US" w:eastAsia="zh-CN"/>
        </w:rPr>
        <w:t>乐山</w:t>
      </w:r>
      <w:r>
        <w:rPr>
          <w:rFonts w:hint="eastAsia" w:ascii="仿宋_GB2312" w:hAnsi="仿宋_GB2312" w:eastAsia="仿宋_GB2312" w:cs="仿宋_GB2312"/>
          <w:color w:val="auto"/>
          <w:w w:val="96"/>
          <w:sz w:val="32"/>
          <w:szCs w:val="32"/>
        </w:rPr>
        <w:t>市</w:t>
      </w:r>
      <w:r>
        <w:rPr>
          <w:rFonts w:hint="eastAsia" w:ascii="仿宋_GB2312" w:hAnsi="仿宋_GB2312" w:eastAsia="仿宋_GB2312" w:cs="仿宋_GB2312"/>
          <w:color w:val="auto"/>
          <w:w w:val="96"/>
          <w:sz w:val="32"/>
          <w:szCs w:val="32"/>
          <w:lang w:val="en-US" w:eastAsia="zh-CN"/>
        </w:rPr>
        <w:t>护理事业发展规划（2023—2025年）</w:t>
      </w:r>
      <w:r>
        <w:rPr>
          <w:rFonts w:hint="eastAsia" w:ascii="仿宋_GB2312" w:hAnsi="仿宋_GB2312" w:eastAsia="仿宋_GB2312" w:cs="仿宋_GB2312"/>
          <w:color w:val="auto"/>
          <w:w w:val="96"/>
          <w:sz w:val="32"/>
          <w:szCs w:val="32"/>
        </w:rPr>
        <w:t>》</w:t>
      </w:r>
      <w:r>
        <w:rPr>
          <w:rFonts w:hint="eastAsia" w:ascii="仿宋_GB2312" w:hAnsi="仿宋_GB2312" w:eastAsia="仿宋_GB2312" w:cs="仿宋_GB2312"/>
          <w:color w:val="auto"/>
          <w:w w:val="96"/>
          <w:sz w:val="32"/>
          <w:szCs w:val="32"/>
          <w:lang w:eastAsia="zh-CN"/>
        </w:rPr>
        <w:t>，</w:t>
      </w:r>
      <w:r>
        <w:rPr>
          <w:rFonts w:hint="eastAsia" w:ascii="仿宋_GB2312" w:hAnsi="仿宋_GB2312" w:eastAsia="仿宋_GB2312" w:cs="仿宋_GB2312"/>
          <w:color w:val="auto"/>
          <w:w w:val="96"/>
          <w:sz w:val="32"/>
          <w:szCs w:val="32"/>
        </w:rPr>
        <w:t>现</w:t>
      </w:r>
      <w:r>
        <w:rPr>
          <w:rFonts w:hint="eastAsia" w:ascii="仿宋_GB2312" w:hAnsi="仿宋_GB2312" w:eastAsia="仿宋_GB2312" w:cs="仿宋_GB2312"/>
          <w:color w:val="auto"/>
          <w:w w:val="96"/>
          <w:sz w:val="32"/>
          <w:szCs w:val="32"/>
          <w:lang w:val="en-US" w:eastAsia="zh-CN"/>
        </w:rPr>
        <w:t>将规划印发你们，请各地各单位结合实际，认真贯彻落实。</w:t>
      </w:r>
    </w:p>
    <w:p>
      <w:pPr>
        <w:keepNext w:val="0"/>
        <w:keepLines w:val="0"/>
        <w:pageBreakBefore w:val="0"/>
        <w:widowControl w:val="0"/>
        <w:kinsoku/>
        <w:wordWrap/>
        <w:overflowPunct/>
        <w:topLinePunct w:val="0"/>
        <w:autoSpaceDE/>
        <w:autoSpaceDN/>
        <w:bidi w:val="0"/>
        <w:adjustRightInd/>
        <w:snapToGrid/>
        <w:spacing w:line="8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                 </w:t>
      </w:r>
      <w:r>
        <w:rPr>
          <w:rFonts w:hint="eastAsia" w:ascii="仿宋_GB2312" w:hAnsi="仿宋_GB2312" w:eastAsia="仿宋_GB2312" w:cs="仿宋_GB2312"/>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800" w:firstLineChars="15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乐山</w:t>
      </w:r>
      <w:r>
        <w:rPr>
          <w:rFonts w:hint="eastAsia" w:ascii="仿宋_GB2312" w:hAnsi="仿宋_GB2312" w:eastAsia="仿宋_GB2312" w:cs="仿宋_GB2312"/>
          <w:color w:val="auto"/>
          <w:sz w:val="32"/>
          <w:szCs w:val="32"/>
        </w:rPr>
        <w:t>市卫生健康委员会</w:t>
      </w:r>
    </w:p>
    <w:p>
      <w:pPr>
        <w:keepNext w:val="0"/>
        <w:keepLines w:val="0"/>
        <w:pageBreakBefore w:val="0"/>
        <w:widowControl w:val="0"/>
        <w:kinsoku/>
        <w:wordWrap/>
        <w:overflowPunct/>
        <w:topLinePunct w:val="0"/>
        <w:autoSpaceDE/>
        <w:autoSpaceDN/>
        <w:bidi w:val="0"/>
        <w:adjustRightInd/>
        <w:snapToGrid/>
        <w:spacing w:line="440" w:lineRule="exact"/>
        <w:ind w:firstLine="5440" w:firstLineChars="1700"/>
        <w:textAlignment w:val="auto"/>
        <w:rPr>
          <w:rFonts w:hint="eastAsia"/>
          <w:lang w:val="en-US" w:eastAsia="zh-CN"/>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29</w:t>
      </w:r>
      <w:r>
        <w:rPr>
          <w:rFonts w:hint="eastAsia" w:ascii="仿宋_GB2312" w:hAnsi="仿宋_GB2312" w:eastAsia="仿宋_GB2312" w:cs="仿宋_GB2312"/>
          <w:color w:val="auto"/>
          <w:sz w:val="32"/>
          <w:szCs w:val="32"/>
        </w:rPr>
        <w:t>日</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乐山</w:t>
      </w:r>
      <w:r>
        <w:rPr>
          <w:rFonts w:hint="eastAsia" w:ascii="方正小标宋简体" w:hAnsi="方正小标宋简体" w:eastAsia="方正小标宋简体" w:cs="方正小标宋简体"/>
          <w:i w:val="0"/>
          <w:iCs w:val="0"/>
          <w:caps w:val="0"/>
          <w:color w:val="auto"/>
          <w:spacing w:val="0"/>
          <w:sz w:val="44"/>
          <w:szCs w:val="44"/>
          <w:shd w:val="clear" w:fill="FFFFFF"/>
        </w:rPr>
        <w:t>市</w:t>
      </w: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护理事业发展规划（2023—2025年）</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护理工作是卫生健康事业的重要组成部分，对全面推进健康中国建设、积极应对人口老龄化具有重要意义。为适应人民群众不断增长的健康需求和经济社会发展对护理事业发展的新形势新要求，根据《国家卫生健康委关于印发〈全国护理事业发展规划（2021—2025年）〉的通知》（国卫医发〔2022〕15号）《</w:t>
      </w:r>
      <w:r>
        <w:rPr>
          <w:rFonts w:hint="eastAsia" w:ascii="仿宋_GB2312" w:hAnsi="仿宋_GB2312" w:eastAsia="仿宋_GB2312" w:cs="仿宋_GB2312"/>
          <w:i w:val="0"/>
          <w:iCs w:val="0"/>
          <w:caps w:val="0"/>
          <w:color w:val="auto"/>
          <w:spacing w:val="0"/>
          <w:sz w:val="32"/>
          <w:szCs w:val="32"/>
          <w:shd w:val="clear" w:fill="FFFFFF"/>
          <w:lang w:val="en-US" w:eastAsia="zh-CN"/>
        </w:rPr>
        <w:t>四川省卫生健康委员会</w:t>
      </w:r>
      <w:r>
        <w:rPr>
          <w:rFonts w:hint="eastAsia" w:ascii="仿宋_GB2312" w:hAnsi="仿宋_GB2312" w:eastAsia="仿宋_GB2312" w:cs="仿宋_GB2312"/>
          <w:i w:val="0"/>
          <w:iCs w:val="0"/>
          <w:caps w:val="0"/>
          <w:color w:val="auto"/>
          <w:spacing w:val="0"/>
          <w:sz w:val="32"/>
          <w:szCs w:val="32"/>
          <w:shd w:val="clear" w:fill="FFFFFF"/>
        </w:rPr>
        <w:t>关于印发</w:t>
      </w:r>
      <w:r>
        <w:rPr>
          <w:rFonts w:hint="eastAsia" w:ascii="仿宋_GB2312" w:hAnsi="仿宋_GB2312" w:eastAsia="仿宋_GB2312" w:cs="仿宋_GB2312"/>
          <w:i w:val="0"/>
          <w:iCs w:val="0"/>
          <w:caps w:val="0"/>
          <w:color w:val="auto"/>
          <w:spacing w:val="0"/>
          <w:sz w:val="32"/>
          <w:szCs w:val="32"/>
          <w:shd w:val="clear" w:fill="FFFFFF"/>
          <w:lang w:val="en-US" w:eastAsia="zh-CN"/>
        </w:rPr>
        <w:t>四川省护理事业发展规划（2022—2025年）的通知</w:t>
      </w:r>
      <w:r>
        <w:rPr>
          <w:rFonts w:hint="eastAsia" w:ascii="仿宋_GB2312" w:hAnsi="仿宋_GB2312" w:eastAsia="仿宋_GB2312" w:cs="仿宋_GB2312"/>
          <w:i w:val="0"/>
          <w:iCs w:val="0"/>
          <w:caps w:val="0"/>
          <w:color w:val="auto"/>
          <w:spacing w:val="0"/>
          <w:sz w:val="32"/>
          <w:szCs w:val="32"/>
          <w:shd w:val="clear" w:fill="FFFFFF"/>
        </w:rPr>
        <w:t>》</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川卫发</w:t>
      </w:r>
      <w:r>
        <w:rPr>
          <w:rFonts w:hint="eastAsia" w:ascii="仿宋_GB2312" w:hAnsi="仿宋_GB2312" w:eastAsia="仿宋_GB2312" w:cs="仿宋_GB2312"/>
          <w:i w:val="0"/>
          <w:iCs w:val="0"/>
          <w:caps w:val="0"/>
          <w:color w:val="auto"/>
          <w:spacing w:val="0"/>
          <w:sz w:val="32"/>
          <w:szCs w:val="32"/>
          <w:shd w:val="clear" w:fill="FFFFFF"/>
        </w:rPr>
        <w:t>〔2022〕</w:t>
      </w:r>
      <w:r>
        <w:rPr>
          <w:rFonts w:hint="eastAsia" w:ascii="仿宋_GB2312" w:hAnsi="仿宋_GB2312" w:eastAsia="仿宋_GB2312" w:cs="仿宋_GB2312"/>
          <w:i w:val="0"/>
          <w:iCs w:val="0"/>
          <w:caps w:val="0"/>
          <w:color w:val="auto"/>
          <w:spacing w:val="0"/>
          <w:sz w:val="32"/>
          <w:szCs w:val="32"/>
          <w:shd w:val="clear" w:fill="FFFFFF"/>
          <w:lang w:val="en-US" w:eastAsia="zh-CN"/>
        </w:rPr>
        <w:t>20</w:t>
      </w:r>
      <w:r>
        <w:rPr>
          <w:rFonts w:hint="eastAsia" w:ascii="仿宋_GB2312" w:hAnsi="仿宋_GB2312" w:eastAsia="仿宋_GB2312" w:cs="仿宋_GB2312"/>
          <w:i w:val="0"/>
          <w:iCs w:val="0"/>
          <w:caps w:val="0"/>
          <w:color w:val="auto"/>
          <w:spacing w:val="0"/>
          <w:sz w:val="32"/>
          <w:szCs w:val="32"/>
          <w:shd w:val="clear" w:fill="FFFFFF"/>
        </w:rPr>
        <w:t>号</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i w:val="0"/>
          <w:iCs w:val="0"/>
          <w:caps w:val="0"/>
          <w:color w:val="auto"/>
          <w:spacing w:val="0"/>
          <w:sz w:val="32"/>
          <w:szCs w:val="32"/>
          <w:shd w:val="clear" w:fill="FFFFFF"/>
          <w:lang w:val="en-US" w:eastAsia="zh-CN"/>
        </w:rPr>
        <w:t>等</w:t>
      </w:r>
      <w:r>
        <w:rPr>
          <w:rFonts w:hint="eastAsia" w:ascii="仿宋_GB2312" w:hAnsi="仿宋_GB2312" w:eastAsia="仿宋_GB2312" w:cs="仿宋_GB2312"/>
          <w:i w:val="0"/>
          <w:iCs w:val="0"/>
          <w:caps w:val="0"/>
          <w:color w:val="auto"/>
          <w:spacing w:val="0"/>
          <w:sz w:val="32"/>
          <w:szCs w:val="32"/>
          <w:shd w:val="clear" w:fill="FFFFFF"/>
        </w:rPr>
        <w:t>要求，制定本规划。</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b/>
          <w:bCs/>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规划背景</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（一）“十三五”时期全市护理事业发展情况</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i w:val="0"/>
          <w:iCs w:val="0"/>
          <w:caps w:val="0"/>
          <w:color w:val="auto"/>
          <w:spacing w:val="0"/>
          <w:sz w:val="32"/>
          <w:szCs w:val="32"/>
          <w:shd w:val="clear" w:fill="FFFFFF"/>
          <w:lang w:eastAsia="zh-CN"/>
        </w:rPr>
      </w:pPr>
      <w:r>
        <w:rPr>
          <w:rFonts w:hint="eastAsia" w:ascii="仿宋_GB2312" w:hAnsi="仿宋_GB2312" w:eastAsia="仿宋_GB2312" w:cs="仿宋_GB2312"/>
          <w:i w:val="0"/>
          <w:iCs w:val="0"/>
          <w:caps w:val="0"/>
          <w:color w:val="auto"/>
          <w:spacing w:val="0"/>
          <w:sz w:val="32"/>
          <w:szCs w:val="32"/>
          <w:shd w:val="clear" w:fill="FFFFFF"/>
        </w:rPr>
        <w:t>“十三五”期间，</w:t>
      </w:r>
      <w:r>
        <w:rPr>
          <w:rFonts w:hint="eastAsia" w:ascii="仿宋_GB2312" w:hAnsi="仿宋_GB2312" w:eastAsia="仿宋_GB2312" w:cs="仿宋_GB2312"/>
          <w:i w:val="0"/>
          <w:iCs w:val="0"/>
          <w:caps w:val="0"/>
          <w:color w:val="auto"/>
          <w:spacing w:val="0"/>
          <w:sz w:val="32"/>
          <w:szCs w:val="32"/>
          <w:shd w:val="clear" w:fill="FFFFFF"/>
          <w:lang w:eastAsia="zh-CN"/>
        </w:rPr>
        <w:t>各地</w:t>
      </w:r>
      <w:r>
        <w:rPr>
          <w:rFonts w:hint="eastAsia" w:ascii="仿宋_GB2312" w:hAnsi="仿宋_GB2312" w:eastAsia="仿宋_GB2312" w:cs="仿宋_GB2312"/>
          <w:i w:val="0"/>
          <w:iCs w:val="0"/>
          <w:caps w:val="0"/>
          <w:color w:val="auto"/>
          <w:spacing w:val="0"/>
          <w:sz w:val="32"/>
          <w:szCs w:val="32"/>
          <w:shd w:val="clear" w:fill="FFFFFF"/>
        </w:rPr>
        <w:t>卫生健康行政部门和医疗机构认真贯彻国家、省市有关决策部署，将护理事业发展纳入卫生健康事业发展和医药卫生体制改革全局，以提升护理质量、增强群众获得感为重点，完善护理管理机制，深化优质护理服务，丰富护理专业内涵，拓展护理服务领域，全市护理事业发展取得显著成效</w:t>
      </w:r>
      <w:r>
        <w:rPr>
          <w:rFonts w:hint="eastAsia" w:ascii="仿宋_GB2312" w:hAnsi="仿宋_GB2312" w:eastAsia="仿宋_GB2312" w:cs="仿宋_GB2312"/>
          <w:i w:val="0"/>
          <w:iCs w:val="0"/>
          <w:caps w:val="0"/>
          <w:color w:val="auto"/>
          <w:spacing w:val="0"/>
          <w:sz w:val="32"/>
          <w:szCs w:val="32"/>
          <w:shd w:val="clear" w:fill="FFFFFF"/>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Chars="0" w:firstLine="643" w:firstLineChars="200"/>
        <w:jc w:val="left"/>
        <w:textAlignment w:val="auto"/>
        <w:rPr>
          <w:rFonts w:hint="eastAsia" w:ascii="仿宋_GB2312" w:hAnsi="仿宋_GB2312" w:eastAsia="仿宋_GB2312" w:cs="仿宋_GB2312"/>
          <w:i w:val="0"/>
          <w:iCs w:val="0"/>
          <w:caps w:val="0"/>
          <w:color w:val="auto"/>
          <w:spacing w:val="0"/>
          <w:sz w:val="32"/>
          <w:szCs w:val="32"/>
          <w:highlight w:val="none"/>
          <w:shd w:val="clear" w:fill="FFFFFF"/>
          <w:lang w:val="en-US" w:eastAsia="zh-CN"/>
        </w:rPr>
      </w:pPr>
      <w:r>
        <w:rPr>
          <w:rFonts w:hint="eastAsia" w:ascii="仿宋_GB2312" w:hAnsi="仿宋_GB2312" w:eastAsia="仿宋_GB2312" w:cs="仿宋_GB2312"/>
          <w:b/>
          <w:bCs/>
          <w:i w:val="0"/>
          <w:iCs w:val="0"/>
          <w:caps w:val="0"/>
          <w:color w:val="auto"/>
          <w:spacing w:val="0"/>
          <w:sz w:val="32"/>
          <w:szCs w:val="32"/>
          <w:highlight w:val="none"/>
          <w:shd w:val="clear" w:fill="FFFFFF"/>
          <w:lang w:val="en-US" w:eastAsia="zh-CN"/>
        </w:rPr>
        <w:t>1.护士队伍持续发展壮大。</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截至2020年底，我市注册护士总数1.0572万人，较2015年底的0.7507万人增加了0.3065万人，增幅达28.99%；每千人口注册护士数从2015年的1.28增加到2020年的3.</w:t>
      </w:r>
      <w:bookmarkStart w:id="0" w:name="OLE_LINK36"/>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35；执业（助理）医师与注册护士比略有</w:t>
      </w:r>
      <w:r>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上升</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，由</w:t>
      </w:r>
      <w:r>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1:</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1</w:t>
      </w:r>
      <w:r>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.05</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升</w:t>
      </w:r>
      <w:r>
        <w:rPr>
          <w:rFonts w:hint="default"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至</w:t>
      </w:r>
      <w:r>
        <w:rPr>
          <w:rFonts w:hint="default" w:ascii="仿宋_GB2312" w:hAnsi="仿宋_GB2312" w:eastAsia="仿宋_GB2312" w:cs="仿宋_GB2312"/>
          <w:i w:val="0"/>
          <w:iCs w:val="0"/>
          <w:caps w:val="0"/>
          <w:color w:val="000000" w:themeColor="text1"/>
          <w:spacing w:val="0"/>
          <w:sz w:val="32"/>
          <w:szCs w:val="32"/>
          <w:highlight w:val="none"/>
          <w:shd w:val="clear"/>
          <w:lang w:val="en-US" w:eastAsia="zh-CN"/>
          <w14:textFill>
            <w14:solidFill>
              <w14:schemeClr w14:val="tx1"/>
            </w14:solidFill>
          </w14:textFill>
        </w:rPr>
        <w:t>1:</w:t>
      </w:r>
      <w:r>
        <w:rPr>
          <w:rFonts w:hint="eastAsia" w:ascii="仿宋_GB2312" w:hAnsi="仿宋_GB2312" w:eastAsia="仿宋_GB2312" w:cs="仿宋_GB2312"/>
          <w:i w:val="0"/>
          <w:iCs w:val="0"/>
          <w:caps w:val="0"/>
          <w:color w:val="000000" w:themeColor="text1"/>
          <w:spacing w:val="0"/>
          <w:sz w:val="32"/>
          <w:szCs w:val="32"/>
          <w:highlight w:val="none"/>
          <w:shd w:val="clear"/>
          <w:lang w:val="en-US" w:eastAsia="zh-CN"/>
          <w14:textFill>
            <w14:solidFill>
              <w14:schemeClr w14:val="tx1"/>
            </w14:solidFill>
          </w14:textFill>
        </w:rPr>
        <w:t>1</w:t>
      </w:r>
      <w:r>
        <w:rPr>
          <w:rFonts w:hint="default" w:ascii="仿宋_GB2312" w:hAnsi="仿宋_GB2312" w:eastAsia="仿宋_GB2312" w:cs="仿宋_GB2312"/>
          <w:i w:val="0"/>
          <w:iCs w:val="0"/>
          <w:caps w:val="0"/>
          <w:color w:val="000000" w:themeColor="text1"/>
          <w:spacing w:val="0"/>
          <w:sz w:val="32"/>
          <w:szCs w:val="32"/>
          <w:highlight w:val="none"/>
          <w:shd w:val="clear"/>
          <w:lang w:val="en-US" w:eastAsia="zh-CN"/>
          <w14:textFill>
            <w14:solidFill>
              <w14:schemeClr w14:val="tx1"/>
            </w14:solidFill>
          </w14:textFill>
        </w:rPr>
        <w:t>.23</w:t>
      </w:r>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w:t>
      </w:r>
      <w:bookmarkEnd w:id="0"/>
      <w:r>
        <w:rPr>
          <w:rFonts w:hint="eastAsia" w:ascii="仿宋_GB2312" w:hAnsi="仿宋_GB2312" w:eastAsia="仿宋_GB2312" w:cs="仿宋_GB2312"/>
          <w:i w:val="0"/>
          <w:iCs w:val="0"/>
          <w:caps w:val="0"/>
          <w:color w:val="000000" w:themeColor="text1"/>
          <w:spacing w:val="0"/>
          <w:sz w:val="32"/>
          <w:szCs w:val="32"/>
          <w:highlight w:val="none"/>
          <w:shd w:val="clear" w:fill="FFFFFF"/>
          <w:lang w:val="en-US" w:eastAsia="zh-CN"/>
          <w14:textFill>
            <w14:solidFill>
              <w14:schemeClr w14:val="tx1"/>
            </w14:solidFill>
          </w14:textFill>
        </w:rPr>
        <w:t>2020年底，全市</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基层医疗机构护士总数为2473人，较2015年增长28.7%，基层护理队伍不断壮大；具有大专以上学历的护士占比达7</w:t>
      </w:r>
      <w:r>
        <w:rPr>
          <w:rFonts w:hint="default" w:ascii="仿宋_GB2312" w:hAnsi="仿宋_GB2312" w:eastAsia="仿宋_GB2312" w:cs="仿宋_GB2312"/>
          <w:i w:val="0"/>
          <w:iCs w:val="0"/>
          <w:caps w:val="0"/>
          <w:color w:val="auto"/>
          <w:spacing w:val="0"/>
          <w:sz w:val="32"/>
          <w:szCs w:val="32"/>
          <w:highlight w:val="none"/>
          <w:shd w:val="clear" w:fill="FFFFFF"/>
          <w:lang w:val="en-US" w:eastAsia="zh-CN"/>
        </w:rPr>
        <w:t>4</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w:t>
      </w:r>
      <w:r>
        <w:rPr>
          <w:rFonts w:hint="default" w:ascii="仿宋_GB2312" w:hAnsi="仿宋_GB2312" w:eastAsia="仿宋_GB2312" w:cs="仿宋_GB2312"/>
          <w:i w:val="0"/>
          <w:iCs w:val="0"/>
          <w:caps w:val="0"/>
          <w:color w:val="auto"/>
          <w:spacing w:val="0"/>
          <w:sz w:val="32"/>
          <w:szCs w:val="32"/>
          <w:highlight w:val="none"/>
          <w:shd w:val="clear" w:fill="FFFFFF"/>
          <w:lang w:val="en-US" w:eastAsia="zh-CN"/>
        </w:rPr>
        <w:t>2</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9%，</w:t>
      </w:r>
      <w:r>
        <w:rPr>
          <w:rFonts w:hint="eastAsia" w:ascii="仿宋_GB2312" w:hAnsi="宋体" w:eastAsia="仿宋_GB2312" w:cs="仿宋_GB2312"/>
          <w:color w:val="auto"/>
          <w:sz w:val="32"/>
          <w:szCs w:val="44"/>
          <w:highlight w:val="none"/>
          <w:lang w:eastAsia="zh-CN" w:bidi="ar"/>
        </w:rPr>
        <w:t>护理队伍的整体素质逐渐提高</w:t>
      </w:r>
      <w:r>
        <w:rPr>
          <w:rFonts w:hint="eastAsia" w:ascii="仿宋_GB2312" w:hAnsi="宋体" w:eastAsia="仿宋_GB2312" w:cs="仿宋_GB2312"/>
          <w:color w:val="auto"/>
          <w:sz w:val="32"/>
          <w:szCs w:val="44"/>
          <w:highlight w:val="none"/>
          <w:lang w:bidi="ar"/>
        </w:rPr>
        <w:t>，为我</w:t>
      </w:r>
      <w:r>
        <w:rPr>
          <w:rFonts w:hint="eastAsia" w:ascii="仿宋_GB2312" w:hAnsi="宋体" w:eastAsia="仿宋_GB2312" w:cs="仿宋_GB2312"/>
          <w:color w:val="auto"/>
          <w:sz w:val="32"/>
          <w:szCs w:val="44"/>
          <w:highlight w:val="none"/>
          <w:lang w:val="en-US" w:eastAsia="zh-CN" w:bidi="ar"/>
        </w:rPr>
        <w:t>市</w:t>
      </w:r>
      <w:r>
        <w:rPr>
          <w:rFonts w:hint="eastAsia" w:ascii="仿宋_GB2312" w:hAnsi="宋体" w:eastAsia="仿宋_GB2312" w:cs="仿宋_GB2312"/>
          <w:color w:val="auto"/>
          <w:sz w:val="32"/>
          <w:szCs w:val="44"/>
          <w:highlight w:val="none"/>
          <w:lang w:bidi="ar"/>
        </w:rPr>
        <w:t>护理事业长远发展奠定了坚实基础</w:t>
      </w:r>
      <w:r>
        <w:rPr>
          <w:rFonts w:hint="eastAsia" w:ascii="仿宋_GB2312" w:hAnsi="宋体" w:eastAsia="仿宋_GB2312" w:cs="仿宋_GB2312"/>
          <w:color w:val="auto"/>
          <w:sz w:val="32"/>
          <w:szCs w:val="44"/>
          <w:highlight w:val="none"/>
          <w:lang w:eastAsia="zh-CN" w:bidi="ar"/>
        </w:rPr>
        <w:t>。</w:t>
      </w:r>
    </w:p>
    <w:p>
      <w:pPr>
        <w:keepNext w:val="0"/>
        <w:keepLines w:val="0"/>
        <w:pageBreakBefore w:val="0"/>
        <w:widowControl w:val="0"/>
        <w:tabs>
          <w:tab w:val="left" w:pos="6918"/>
        </w:tabs>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b/>
          <w:bCs/>
          <w:i w:val="0"/>
          <w:iCs w:val="0"/>
          <w:caps w:val="0"/>
          <w:color w:val="auto"/>
          <w:spacing w:val="0"/>
          <w:sz w:val="32"/>
          <w:szCs w:val="32"/>
          <w:shd w:val="clear" w:fill="FFFFFF"/>
          <w:lang w:val="en-US" w:eastAsia="zh-CN"/>
        </w:rPr>
        <w:t>2.</w:t>
      </w:r>
      <w:r>
        <w:rPr>
          <w:rFonts w:hint="eastAsia" w:ascii="仿宋_GB2312" w:hAnsi="仿宋_GB2312" w:eastAsia="仿宋_GB2312" w:cs="仿宋_GB2312"/>
          <w:b/>
          <w:bCs/>
          <w:i w:val="0"/>
          <w:iCs w:val="0"/>
          <w:caps w:val="0"/>
          <w:color w:val="auto"/>
          <w:spacing w:val="0"/>
          <w:sz w:val="32"/>
          <w:szCs w:val="32"/>
          <w:shd w:val="clear" w:fill="FFFFFF"/>
        </w:rPr>
        <w:t>护理服务质量持续提高。</w:t>
      </w:r>
      <w:r>
        <w:rPr>
          <w:rFonts w:hint="eastAsia" w:ascii="仿宋_GB2312" w:hAnsi="仿宋_GB2312" w:eastAsia="仿宋_GB2312" w:cs="仿宋_GB2312"/>
          <w:i w:val="0"/>
          <w:iCs w:val="0"/>
          <w:caps w:val="0"/>
          <w:color w:val="auto"/>
          <w:spacing w:val="0"/>
          <w:sz w:val="32"/>
          <w:szCs w:val="32"/>
          <w:shd w:val="clear" w:fill="FFFFFF"/>
        </w:rPr>
        <w:t>各级各类医疗机构成立护理质量与安全管理委员会，完善医疗机构</w:t>
      </w:r>
      <w:r>
        <w:rPr>
          <w:rFonts w:hint="eastAsia" w:ascii="仿宋_GB2312" w:hAnsi="仿宋_GB2312" w:eastAsia="仿宋_GB2312" w:cs="仿宋_GB2312"/>
          <w:i w:val="0"/>
          <w:iCs w:val="0"/>
          <w:caps w:val="0"/>
          <w:color w:val="auto"/>
          <w:spacing w:val="0"/>
          <w:sz w:val="32"/>
          <w:szCs w:val="32"/>
          <w:shd w:val="clear" w:fill="FFFFFF"/>
          <w:lang w:eastAsia="zh-CN"/>
        </w:rPr>
        <w:t>分</w:t>
      </w:r>
      <w:r>
        <w:rPr>
          <w:rFonts w:hint="eastAsia" w:ascii="仿宋_GB2312" w:hAnsi="仿宋_GB2312" w:eastAsia="仿宋_GB2312" w:cs="仿宋_GB2312"/>
          <w:i w:val="0"/>
          <w:iCs w:val="0"/>
          <w:caps w:val="0"/>
          <w:color w:val="auto"/>
          <w:spacing w:val="0"/>
          <w:sz w:val="32"/>
          <w:szCs w:val="32"/>
          <w:shd w:val="clear" w:fill="FFFFFF"/>
        </w:rPr>
        <w:t>级护理质量管理体系，设专职人员负责护理质量管理。完善护理不良事件报告系统，鼓励护理人员主动报告不良事件，鼓励患者参与安全管理，营造良好的安全文化氛围。充分发挥</w:t>
      </w:r>
      <w:r>
        <w:rPr>
          <w:rFonts w:hint="eastAsia" w:ascii="仿宋_GB2312" w:hAnsi="仿宋_GB2312" w:eastAsia="仿宋_GB2312" w:cs="仿宋_GB2312"/>
          <w:i w:val="0"/>
          <w:iCs w:val="0"/>
          <w:caps w:val="0"/>
          <w:color w:val="auto"/>
          <w:spacing w:val="0"/>
          <w:sz w:val="32"/>
          <w:szCs w:val="32"/>
          <w:shd w:val="clear" w:fill="FFFFFF"/>
          <w:lang w:val="en-US" w:eastAsia="zh-CN"/>
        </w:rPr>
        <w:t>乐山市</w:t>
      </w:r>
      <w:r>
        <w:rPr>
          <w:rFonts w:hint="eastAsia" w:ascii="仿宋_GB2312" w:hAnsi="仿宋_GB2312" w:eastAsia="仿宋_GB2312" w:cs="仿宋_GB2312"/>
          <w:i w:val="0"/>
          <w:iCs w:val="0"/>
          <w:caps w:val="0"/>
          <w:color w:val="auto"/>
          <w:spacing w:val="0"/>
          <w:sz w:val="32"/>
          <w:szCs w:val="32"/>
          <w:shd w:val="clear" w:fill="FFFFFF"/>
        </w:rPr>
        <w:t>各级护理质量控制中心作用，以敏感指标为抓手，加强护理质量分析与评价。通过持续开展优质护理服务，实施护士服务能力提升工程，护理服务质量持续提高，中医护理特色逐步凸显，基层护理服务能力显著提升。</w:t>
      </w:r>
    </w:p>
    <w:p>
      <w:pPr>
        <w:keepNext w:val="0"/>
        <w:keepLines w:val="0"/>
        <w:pageBreakBefore w:val="0"/>
        <w:widowControl w:val="0"/>
        <w:tabs>
          <w:tab w:val="left" w:pos="6918"/>
        </w:tabs>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b/>
          <w:bCs/>
          <w:i w:val="0"/>
          <w:iCs w:val="0"/>
          <w:caps w:val="0"/>
          <w:color w:val="auto"/>
          <w:spacing w:val="0"/>
          <w:sz w:val="32"/>
          <w:szCs w:val="32"/>
          <w:shd w:val="clear" w:fill="FFFFFF"/>
          <w:lang w:val="en-US" w:eastAsia="zh-CN"/>
        </w:rPr>
        <w:t>3.</w:t>
      </w:r>
      <w:r>
        <w:rPr>
          <w:rFonts w:hint="eastAsia" w:ascii="仿宋_GB2312" w:hAnsi="仿宋_GB2312" w:eastAsia="仿宋_GB2312" w:cs="仿宋_GB2312"/>
          <w:b/>
          <w:bCs/>
          <w:i w:val="0"/>
          <w:iCs w:val="0"/>
          <w:caps w:val="0"/>
          <w:color w:val="auto"/>
          <w:spacing w:val="0"/>
          <w:sz w:val="32"/>
          <w:szCs w:val="32"/>
          <w:shd w:val="clear" w:fill="FFFFFF"/>
        </w:rPr>
        <w:t>护理服务领域不断拓展。</w:t>
      </w:r>
      <w:r>
        <w:rPr>
          <w:rFonts w:hint="eastAsia" w:ascii="仿宋_GB2312" w:hAnsi="仿宋_GB2312" w:eastAsia="仿宋_GB2312" w:cs="仿宋_GB2312"/>
          <w:i w:val="0"/>
          <w:iCs w:val="0"/>
          <w:caps w:val="0"/>
          <w:color w:val="auto"/>
          <w:spacing w:val="0"/>
          <w:sz w:val="32"/>
          <w:szCs w:val="32"/>
          <w:shd w:val="clear" w:fill="FFFFFF"/>
        </w:rPr>
        <w:t>以信息化和“智慧医疗”为载体，积极开展“互联网+护理服务”试点工作，实施老年护理服务发展工程，探索推进老年居家医疗护理服务、社区护理服务和延续性护理服务，将护理延伸到社区及家庭。护理服务模式持续优化更新，护理方式更加多元，护理覆盖面进一步扩大，惠及更多高龄或失能老年人、出院后患者等行动不便的人群，在疾病预防、治疗、护理和康复、安宁疗护等领域作用强化。全</w:t>
      </w:r>
      <w:r>
        <w:rPr>
          <w:rFonts w:hint="default" w:ascii="仿宋_GB2312" w:hAnsi="仿宋_GB2312" w:eastAsia="仿宋_GB2312" w:cs="仿宋_GB2312"/>
          <w:i w:val="0"/>
          <w:iCs w:val="0"/>
          <w:caps w:val="0"/>
          <w:color w:val="auto"/>
          <w:spacing w:val="0"/>
          <w:sz w:val="32"/>
          <w:szCs w:val="32"/>
          <w:shd w:val="clear" w:fill="FFFFFF"/>
          <w:lang w:val="en-US"/>
        </w:rPr>
        <w:t>市</w:t>
      </w:r>
      <w:r>
        <w:rPr>
          <w:rFonts w:hint="eastAsia" w:ascii="仿宋_GB2312" w:hAnsi="仿宋_GB2312" w:eastAsia="仿宋_GB2312" w:cs="仿宋_GB2312"/>
          <w:i w:val="0"/>
          <w:iCs w:val="0"/>
          <w:caps w:val="0"/>
          <w:color w:val="auto"/>
          <w:spacing w:val="0"/>
          <w:sz w:val="32"/>
          <w:szCs w:val="32"/>
          <w:shd w:val="clear" w:fill="FFFFFF"/>
        </w:rPr>
        <w:t>二级及以上公立医疗机构开展优质护理服务占比</w:t>
      </w:r>
      <w:r>
        <w:rPr>
          <w:rFonts w:hint="default" w:ascii="仿宋_GB2312" w:hAnsi="仿宋_GB2312" w:eastAsia="仿宋_GB2312" w:cs="仿宋_GB2312"/>
          <w:i w:val="0"/>
          <w:iCs w:val="0"/>
          <w:caps w:val="0"/>
          <w:color w:val="auto"/>
          <w:spacing w:val="0"/>
          <w:sz w:val="32"/>
          <w:szCs w:val="32"/>
          <w:shd w:val="clear" w:fill="FFFFFF"/>
          <w:lang w:val="en-US"/>
        </w:rPr>
        <w:t>达100</w:t>
      </w:r>
      <w:r>
        <w:rPr>
          <w:rFonts w:hint="eastAsia" w:ascii="仿宋_GB2312" w:hAnsi="仿宋_GB2312" w:eastAsia="仿宋_GB2312" w:cs="仿宋_GB2312"/>
          <w:i w:val="0"/>
          <w:iCs w:val="0"/>
          <w:caps w:val="0"/>
          <w:color w:val="auto"/>
          <w:spacing w:val="0"/>
          <w:sz w:val="32"/>
          <w:szCs w:val="32"/>
          <w:shd w:val="clear" w:fill="FFFFFF"/>
        </w:rPr>
        <w:t>%，护理工作更加贴近患者、贴近临床、贴近社会。</w:t>
      </w:r>
    </w:p>
    <w:p>
      <w:pPr>
        <w:keepNext w:val="0"/>
        <w:keepLines w:val="0"/>
        <w:pageBreakBefore w:val="0"/>
        <w:widowControl w:val="0"/>
        <w:tabs>
          <w:tab w:val="left" w:pos="6918"/>
        </w:tabs>
        <w:kinsoku/>
        <w:wordWrap/>
        <w:overflowPunct/>
        <w:topLinePunct w:val="0"/>
        <w:autoSpaceDE/>
        <w:autoSpaceDN/>
        <w:bidi w:val="0"/>
        <w:adjustRightInd/>
        <w:snapToGrid/>
        <w:spacing w:line="580" w:lineRule="exact"/>
        <w:ind w:firstLine="643"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bCs/>
          <w:i w:val="0"/>
          <w:iCs w:val="0"/>
          <w:caps w:val="0"/>
          <w:color w:val="auto"/>
          <w:spacing w:val="0"/>
          <w:sz w:val="32"/>
          <w:szCs w:val="32"/>
          <w:shd w:val="clear" w:fill="FFFFFF"/>
          <w:lang w:val="en-US" w:eastAsia="zh-CN"/>
        </w:rPr>
        <w:t>4.</w:t>
      </w:r>
      <w:r>
        <w:rPr>
          <w:rFonts w:hint="eastAsia" w:ascii="仿宋_GB2312" w:hAnsi="仿宋_GB2312" w:eastAsia="仿宋_GB2312" w:cs="仿宋_GB2312"/>
          <w:b/>
          <w:bCs/>
          <w:i w:val="0"/>
          <w:iCs w:val="0"/>
          <w:caps w:val="0"/>
          <w:color w:val="auto"/>
          <w:spacing w:val="0"/>
          <w:sz w:val="32"/>
          <w:szCs w:val="32"/>
          <w:shd w:val="clear" w:fill="FFFFFF"/>
        </w:rPr>
        <w:t>护理管理水平稳步提升。</w:t>
      </w:r>
      <w:r>
        <w:rPr>
          <w:rFonts w:hint="eastAsia" w:ascii="仿宋_GB2312" w:hAnsi="仿宋_GB2312" w:eastAsia="仿宋_GB2312" w:cs="仿宋_GB2312"/>
          <w:i w:val="0"/>
          <w:iCs w:val="0"/>
          <w:caps w:val="0"/>
          <w:color w:val="auto"/>
          <w:spacing w:val="0"/>
          <w:sz w:val="32"/>
          <w:szCs w:val="32"/>
          <w:shd w:val="clear" w:fill="FFFFFF"/>
        </w:rPr>
        <w:t>贯彻落实《中华人民共和国基本医疗卫生与健康促进法》《护士条例》等法律法规要求，采取有效措施防控和减少护理职业危险，切实保障护士合法权益。全面启动电子化注册后，注册进度接近100%，电子证照申领工作有序推进，护士执业管理更加便捷高效。医疗机构护理管理组织体系和规章制度健全完善，逐步建立护理岗位管理制度，实施基于护理岗位的护士人力配置、培训、考核等，绩效考核与岗位管理相结合，体现多劳多得、优绩优酬，充分调动护士工作积极性。</w:t>
      </w:r>
    </w:p>
    <w:p>
      <w:pPr>
        <w:keepNext w:val="0"/>
        <w:keepLines w:val="0"/>
        <w:pageBreakBefore w:val="0"/>
        <w:widowControl w:val="0"/>
        <w:tabs>
          <w:tab w:val="left" w:pos="6918"/>
        </w:tabs>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default" w:ascii="仿宋_GB2312" w:hAnsi="仿宋_GB2312" w:eastAsia="仿宋_GB2312" w:cs="仿宋_GB2312"/>
          <w:i w:val="0"/>
          <w:iCs w:val="0"/>
          <w:caps w:val="0"/>
          <w:color w:val="auto"/>
          <w:spacing w:val="0"/>
          <w:sz w:val="32"/>
          <w:szCs w:val="32"/>
          <w:highlight w:val="none"/>
          <w:shd w:val="clear" w:fill="FFFFFF"/>
          <w:lang w:eastAsia="zh-CN"/>
        </w:rPr>
        <w:t>在“十三五”期间我市护理事业取得一系列成绩的同时，</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我市的护理事业发展与经济社会发展水平、卫生健康事业发展和人民群众健康需求相比，也还存在</w:t>
      </w:r>
      <w:r>
        <w:rPr>
          <w:rFonts w:hint="default" w:ascii="仿宋_GB2312" w:hAnsi="仿宋_GB2312" w:eastAsia="仿宋_GB2312" w:cs="仿宋_GB2312"/>
          <w:i w:val="0"/>
          <w:iCs w:val="0"/>
          <w:caps w:val="0"/>
          <w:color w:val="auto"/>
          <w:spacing w:val="0"/>
          <w:sz w:val="32"/>
          <w:szCs w:val="32"/>
          <w:highlight w:val="none"/>
          <w:shd w:val="clear" w:fill="FFFFFF"/>
          <w:lang w:eastAsia="zh-CN"/>
        </w:rPr>
        <w:t>一定</w:t>
      </w:r>
      <w:r>
        <w:rPr>
          <w:rFonts w:hint="eastAsia" w:ascii="仿宋_GB2312" w:hAnsi="仿宋_GB2312" w:eastAsia="仿宋_GB2312" w:cs="仿宋_GB2312"/>
          <w:i w:val="0"/>
          <w:iCs w:val="0"/>
          <w:caps w:val="0"/>
          <w:color w:val="auto"/>
          <w:spacing w:val="0"/>
          <w:sz w:val="32"/>
          <w:szCs w:val="32"/>
          <w:highlight w:val="none"/>
          <w:shd w:val="clear" w:fill="FFFFFF"/>
          <w:lang w:val="en-US" w:eastAsia="zh-CN"/>
        </w:rPr>
        <w:t>差距。主要</w:t>
      </w:r>
      <w:r>
        <w:rPr>
          <w:rFonts w:hint="eastAsia" w:ascii="仿宋_GB2312" w:hAnsi="仿宋_GB2312" w:eastAsia="仿宋_GB2312" w:cs="仿宋_GB2312"/>
          <w:i w:val="0"/>
          <w:iCs w:val="0"/>
          <w:caps w:val="0"/>
          <w:color w:val="auto"/>
          <w:spacing w:val="0"/>
          <w:sz w:val="32"/>
          <w:szCs w:val="32"/>
          <w:shd w:val="clear" w:fill="FFFFFF"/>
          <w:lang w:val="en-US" w:eastAsia="zh-CN"/>
        </w:rPr>
        <w:t>表现在：一是护士队伍数量相对不足、分布不均；二是护理服务供给与群众多样化、差异化的需求存在一定差距；三是护理服务内涵需要进一步丰富和拓展；四是护理学术水平与卫生健康高质量发展存在差距，护理学科建设需要进一步推进。</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b w:val="0"/>
          <w:bCs w:val="0"/>
          <w:i w:val="0"/>
          <w:iCs w:val="0"/>
          <w:caps w:val="0"/>
          <w:color w:val="auto"/>
          <w:spacing w:val="0"/>
          <w:sz w:val="32"/>
          <w:szCs w:val="32"/>
          <w:shd w:val="clear" w:fill="FFFFFF"/>
          <w:lang w:val="en-US" w:eastAsia="zh-CN"/>
        </w:rPr>
      </w:pPr>
      <w:r>
        <w:rPr>
          <w:rFonts w:hint="eastAsia" w:ascii="楷体_GB2312" w:hAnsi="楷体_GB2312" w:eastAsia="楷体_GB2312" w:cs="楷体_GB2312"/>
          <w:b w:val="0"/>
          <w:bCs w:val="0"/>
          <w:i w:val="0"/>
          <w:iCs w:val="0"/>
          <w:caps w:val="0"/>
          <w:color w:val="auto"/>
          <w:spacing w:val="0"/>
          <w:sz w:val="32"/>
          <w:szCs w:val="32"/>
          <w:shd w:val="clear" w:fill="FFFFFF"/>
          <w:lang w:val="en-US" w:eastAsia="zh-CN"/>
        </w:rPr>
        <w:t>（二）“十四五”时期护理事业的</w:t>
      </w:r>
      <w:r>
        <w:rPr>
          <w:rFonts w:hint="eastAsia" w:ascii="楷体_GB2312" w:hAnsi="楷体_GB2312" w:eastAsia="楷体_GB2312" w:cs="楷体_GB2312"/>
          <w:b w:val="0"/>
          <w:bCs w:val="0"/>
          <w:color w:val="auto"/>
          <w:kern w:val="0"/>
          <w:sz w:val="32"/>
          <w:szCs w:val="32"/>
          <w:lang w:val="en-US" w:eastAsia="zh-CN"/>
        </w:rPr>
        <w:t>机遇挑战</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43" w:firstLineChars="200"/>
        <w:textAlignment w:val="auto"/>
        <w:rPr>
          <w:rFonts w:hint="eastAsia" w:ascii="仿宋_GB2312" w:eastAsia="仿宋_GB2312" w:cs="仿宋_GB2312" w:hAnsiTheme="minorHAnsi"/>
          <w:b w:val="0"/>
          <w:color w:val="auto"/>
          <w:kern w:val="0"/>
          <w:sz w:val="32"/>
          <w:szCs w:val="32"/>
          <w:lang w:val="en-US" w:eastAsia="zh-CN" w:bidi="ar"/>
        </w:rPr>
      </w:pPr>
      <w:r>
        <w:rPr>
          <w:rFonts w:hint="eastAsia" w:ascii="仿宋_GB2312" w:hAnsi="宋体" w:cs="仿宋_GB2312"/>
          <w:b/>
          <w:bCs/>
          <w:color w:val="auto"/>
          <w:kern w:val="2"/>
          <w:sz w:val="32"/>
          <w:szCs w:val="44"/>
          <w:lang w:val="en-US" w:eastAsia="zh-CN" w:bidi="ar"/>
        </w:rPr>
        <w:t>1.</w:t>
      </w:r>
      <w:r>
        <w:rPr>
          <w:rFonts w:hint="eastAsia" w:ascii="仿宋_GB2312" w:hAnsi="宋体" w:eastAsia="仿宋_GB2312" w:cs="仿宋_GB2312"/>
          <w:b/>
          <w:bCs/>
          <w:color w:val="auto"/>
          <w:kern w:val="2"/>
          <w:sz w:val="32"/>
          <w:szCs w:val="44"/>
          <w:lang w:val="en-US" w:eastAsia="zh-CN" w:bidi="ar"/>
        </w:rPr>
        <w:t>“十四五”时期全面推进健康中国对护理事业发展提出了新要求。</w:t>
      </w:r>
      <w:r>
        <w:rPr>
          <w:rFonts w:hint="eastAsia" w:ascii="仿宋_GB2312" w:eastAsia="仿宋_GB2312" w:cs="仿宋_GB2312" w:hAnsiTheme="minorHAnsi"/>
          <w:b w:val="0"/>
          <w:color w:val="auto"/>
          <w:kern w:val="0"/>
          <w:sz w:val="32"/>
          <w:szCs w:val="32"/>
          <w:lang w:val="en-US" w:eastAsia="zh-CN" w:bidi="ar"/>
        </w:rPr>
        <w:t>党中央、国务院作出全面推进健康中国建设的重要部署，要求以人民</w:t>
      </w:r>
      <w:r>
        <w:rPr>
          <w:rFonts w:hint="eastAsia" w:ascii="仿宋_GB2312" w:cs="仿宋_GB2312"/>
          <w:b w:val="0"/>
          <w:color w:val="auto"/>
          <w:kern w:val="0"/>
          <w:szCs w:val="32"/>
        </w:rPr>
        <w:t>健康</w:t>
      </w:r>
      <w:r>
        <w:rPr>
          <w:rFonts w:hint="eastAsia" w:ascii="仿宋_GB2312" w:eastAsia="仿宋_GB2312" w:cs="仿宋_GB2312" w:hAnsiTheme="minorHAnsi"/>
          <w:b w:val="0"/>
          <w:color w:val="auto"/>
          <w:kern w:val="0"/>
          <w:sz w:val="32"/>
          <w:szCs w:val="32"/>
          <w:lang w:val="en-US" w:eastAsia="zh-CN" w:bidi="ar"/>
        </w:rPr>
        <w:t>为中心，为人民</w:t>
      </w:r>
      <w:r>
        <w:rPr>
          <w:rFonts w:hint="eastAsia" w:ascii="仿宋_GB2312" w:cs="仿宋_GB2312"/>
          <w:b w:val="0"/>
          <w:color w:val="auto"/>
          <w:kern w:val="0"/>
          <w:szCs w:val="32"/>
        </w:rPr>
        <w:t>群众</w:t>
      </w:r>
      <w:r>
        <w:rPr>
          <w:rFonts w:hint="eastAsia" w:ascii="仿宋_GB2312" w:eastAsia="仿宋_GB2312" w:cs="仿宋_GB2312" w:hAnsiTheme="minorHAnsi"/>
          <w:b w:val="0"/>
          <w:color w:val="auto"/>
          <w:kern w:val="0"/>
          <w:sz w:val="32"/>
          <w:szCs w:val="32"/>
          <w:lang w:val="en-US" w:eastAsia="zh-CN" w:bidi="ar"/>
        </w:rPr>
        <w:t>提供全方位全周期健康服务。</w:t>
      </w:r>
      <w:r>
        <w:rPr>
          <w:rFonts w:hint="eastAsia" w:ascii="仿宋_GB2312" w:cs="仿宋_GB2312"/>
          <w:b w:val="0"/>
          <w:color w:val="auto"/>
          <w:kern w:val="0"/>
          <w:sz w:val="32"/>
          <w:szCs w:val="32"/>
          <w:highlight w:val="none"/>
          <w:lang w:val="en-US" w:eastAsia="zh-CN" w:bidi="ar"/>
        </w:rPr>
        <w:t>省</w:t>
      </w:r>
      <w:r>
        <w:rPr>
          <w:rFonts w:hint="default" w:ascii="仿宋_GB2312" w:cs="仿宋_GB2312"/>
          <w:b w:val="0"/>
          <w:color w:val="auto"/>
          <w:kern w:val="0"/>
          <w:sz w:val="32"/>
          <w:szCs w:val="32"/>
          <w:highlight w:val="none"/>
          <w:lang w:eastAsia="zh-CN" w:bidi="ar"/>
        </w:rPr>
        <w:t>、市两级党委政府</w:t>
      </w:r>
      <w:r>
        <w:rPr>
          <w:rFonts w:hint="eastAsia" w:ascii="仿宋_GB2312" w:cs="仿宋_GB2312"/>
          <w:b w:val="0"/>
          <w:color w:val="auto"/>
          <w:kern w:val="0"/>
          <w:sz w:val="32"/>
          <w:szCs w:val="32"/>
          <w:lang w:val="en-US" w:eastAsia="zh-CN" w:bidi="ar"/>
        </w:rPr>
        <w:t>高度重视人民群众健康保障工作。</w:t>
      </w:r>
      <w:r>
        <w:rPr>
          <w:rFonts w:hint="eastAsia" w:ascii="仿宋_GB2312" w:eastAsia="仿宋_GB2312" w:cs="仿宋_GB2312" w:hAnsiTheme="minorHAnsi"/>
          <w:b w:val="0"/>
          <w:color w:val="auto"/>
          <w:kern w:val="0"/>
          <w:sz w:val="32"/>
          <w:szCs w:val="32"/>
          <w:lang w:val="en-US" w:eastAsia="zh-CN" w:bidi="ar"/>
        </w:rPr>
        <w:t>护理事业需要紧紧围绕人民健康需求，构建全面全程、优质高效的护理服务体系，不断满足群众差异化的护理服务需求。</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43" w:firstLineChars="200"/>
        <w:textAlignment w:val="auto"/>
        <w:rPr>
          <w:rFonts w:hint="default" w:ascii="仿宋_GB2312" w:eastAsia="仿宋_GB2312" w:cs="仿宋_GB2312" w:hAnsiTheme="minorHAnsi"/>
          <w:b w:val="0"/>
          <w:color w:val="auto"/>
          <w:kern w:val="0"/>
          <w:sz w:val="32"/>
          <w:szCs w:val="32"/>
          <w:lang w:val="en-US" w:eastAsia="zh-CN" w:bidi="ar"/>
        </w:rPr>
      </w:pPr>
      <w:r>
        <w:rPr>
          <w:rFonts w:hint="eastAsia" w:ascii="仿宋_GB2312" w:hAnsi="宋体" w:cs="仿宋_GB2312"/>
          <w:b/>
          <w:bCs/>
          <w:color w:val="auto"/>
          <w:kern w:val="2"/>
          <w:sz w:val="32"/>
          <w:szCs w:val="44"/>
          <w:lang w:val="en-US" w:eastAsia="zh-CN" w:bidi="ar"/>
        </w:rPr>
        <w:t>2.</w:t>
      </w:r>
      <w:r>
        <w:rPr>
          <w:rFonts w:hint="eastAsia" w:ascii="仿宋_GB2312" w:hAnsi="宋体" w:eastAsia="仿宋_GB2312" w:cs="仿宋_GB2312"/>
          <w:b/>
          <w:bCs/>
          <w:color w:val="auto"/>
          <w:kern w:val="2"/>
          <w:sz w:val="32"/>
          <w:szCs w:val="44"/>
          <w:lang w:val="en-US" w:eastAsia="zh-CN" w:bidi="ar"/>
        </w:rPr>
        <w:t>积极应对人口老龄化对护理事业发展提出了新任务。</w:t>
      </w:r>
      <w:r>
        <w:rPr>
          <w:rFonts w:hint="default" w:ascii="仿宋_GB2312" w:eastAsia="仿宋_GB2312" w:cs="仿宋_GB2312" w:hAnsiTheme="minorHAnsi"/>
          <w:b w:val="0"/>
          <w:color w:val="auto"/>
          <w:kern w:val="0"/>
          <w:sz w:val="32"/>
          <w:szCs w:val="32"/>
          <w:lang w:val="en-US" w:eastAsia="zh-CN" w:bidi="ar"/>
        </w:rPr>
        <w:t>随着</w:t>
      </w:r>
      <w:r>
        <w:rPr>
          <w:rFonts w:hint="eastAsia" w:ascii="仿宋_GB2312" w:eastAsia="仿宋_GB2312" w:cs="仿宋_GB2312" w:hAnsiTheme="minorHAnsi"/>
          <w:b w:val="0"/>
          <w:color w:val="auto"/>
          <w:kern w:val="0"/>
          <w:sz w:val="32"/>
          <w:szCs w:val="32"/>
          <w:lang w:val="en-US" w:eastAsia="zh-CN" w:bidi="ar"/>
        </w:rPr>
        <w:t>老龄化程度不断加深，对护理服务特别是老年护理服务提出迫切需求，需要有效增加老年护理服务供给</w:t>
      </w:r>
      <w:r>
        <w:rPr>
          <w:rFonts w:hint="eastAsia" w:ascii="仿宋_GB2312" w:cs="仿宋_GB2312"/>
          <w:b w:val="0"/>
          <w:color w:val="auto"/>
          <w:kern w:val="0"/>
          <w:sz w:val="32"/>
          <w:szCs w:val="32"/>
          <w:lang w:val="en-US" w:eastAsia="zh-CN" w:bidi="ar"/>
        </w:rPr>
        <w:t>，创新多样化老年护理服务模式，满足失能、失智老人护理服务需求，缓解老龄化社会的照护压力。</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43" w:firstLineChars="200"/>
        <w:textAlignment w:val="auto"/>
        <w:rPr>
          <w:rFonts w:hint="eastAsia" w:ascii="仿宋_GB2312" w:eastAsia="仿宋_GB2312" w:cs="仿宋_GB2312" w:hAnsiTheme="minorHAnsi"/>
          <w:b w:val="0"/>
          <w:color w:val="auto"/>
          <w:kern w:val="0"/>
          <w:sz w:val="32"/>
          <w:szCs w:val="32"/>
          <w:lang w:val="en-US" w:eastAsia="zh-CN" w:bidi="ar"/>
        </w:rPr>
      </w:pPr>
      <w:r>
        <w:rPr>
          <w:rFonts w:hint="eastAsia" w:ascii="仿宋_GB2312" w:hAnsi="宋体" w:eastAsia="仿宋_GB2312" w:cs="仿宋_GB2312"/>
          <w:b/>
          <w:bCs/>
          <w:color w:val="auto"/>
          <w:kern w:val="2"/>
          <w:sz w:val="32"/>
          <w:szCs w:val="44"/>
          <w:lang w:val="en-US" w:eastAsia="zh-CN" w:bidi="ar"/>
        </w:rPr>
        <w:t>3.推动高质量发展为护理事业发展带来了新机遇。</w:t>
      </w:r>
      <w:r>
        <w:rPr>
          <w:rFonts w:hint="eastAsia" w:ascii="仿宋_GB2312" w:eastAsia="仿宋_GB2312" w:cs="仿宋_GB2312" w:hAnsiTheme="minorHAnsi"/>
          <w:b w:val="0"/>
          <w:color w:val="auto"/>
          <w:kern w:val="0"/>
          <w:sz w:val="32"/>
          <w:szCs w:val="32"/>
          <w:lang w:val="en-US" w:eastAsia="zh-CN" w:bidi="ar"/>
        </w:rPr>
        <w:t>护理领域主要矛盾表现为人民群众的护理服务需求与供给相对不足之间的矛盾，需要进一步从护理体系、服务、技术、管理、人才等多维度统筹推动护理</w:t>
      </w:r>
      <w:r>
        <w:rPr>
          <w:rFonts w:hint="eastAsia" w:ascii="仿宋_GB2312" w:cs="仿宋_GB2312"/>
          <w:b w:val="0"/>
          <w:color w:val="auto"/>
          <w:kern w:val="0"/>
          <w:szCs w:val="32"/>
        </w:rPr>
        <w:t>事业</w:t>
      </w:r>
      <w:r>
        <w:rPr>
          <w:rFonts w:hint="eastAsia" w:ascii="仿宋_GB2312" w:eastAsia="仿宋_GB2312" w:cs="仿宋_GB2312" w:hAnsiTheme="minorHAnsi"/>
          <w:b w:val="0"/>
          <w:color w:val="auto"/>
          <w:kern w:val="0"/>
          <w:sz w:val="32"/>
          <w:szCs w:val="32"/>
          <w:lang w:val="en-US" w:eastAsia="zh-CN" w:bidi="ar"/>
        </w:rPr>
        <w:t>高质量发展，提高护理同质化水平。</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643" w:firstLineChars="200"/>
        <w:textAlignment w:val="auto"/>
        <w:rPr>
          <w:rFonts w:hint="eastAsia" w:ascii="仿宋_GB2312" w:eastAsia="仿宋_GB2312" w:cs="仿宋_GB2312" w:hAnsiTheme="minorHAnsi"/>
          <w:b w:val="0"/>
          <w:color w:val="auto"/>
          <w:kern w:val="0"/>
          <w:sz w:val="32"/>
          <w:szCs w:val="32"/>
          <w:lang w:val="en-US" w:eastAsia="zh-CN" w:bidi="ar"/>
        </w:rPr>
      </w:pPr>
      <w:r>
        <w:rPr>
          <w:rFonts w:hint="eastAsia" w:ascii="仿宋_GB2312" w:hAnsi="宋体" w:eastAsia="仿宋_GB2312" w:cs="仿宋_GB2312"/>
          <w:b/>
          <w:bCs/>
          <w:color w:val="auto"/>
          <w:kern w:val="2"/>
          <w:sz w:val="32"/>
          <w:szCs w:val="44"/>
          <w:lang w:val="en-US" w:eastAsia="zh-CN" w:bidi="ar"/>
        </w:rPr>
        <w:t>4.信息化技术的快速发展为护理事业创造了新条件。</w:t>
      </w:r>
      <w:r>
        <w:rPr>
          <w:rFonts w:hint="eastAsia" w:ascii="仿宋_GB2312" w:eastAsia="仿宋_GB2312" w:cs="仿宋_GB2312" w:hAnsiTheme="minorHAnsi"/>
          <w:b w:val="0"/>
          <w:color w:val="auto"/>
          <w:kern w:val="0"/>
          <w:sz w:val="32"/>
          <w:szCs w:val="32"/>
          <w:lang w:val="en-US" w:eastAsia="zh-CN" w:bidi="ar"/>
        </w:rPr>
        <w:t>云计算、大数据、物联网、区块链、第五代移动通信（5G）等新一代信息技术与卫生健康服务深度融合，卫生健康领域新模式、新产业、新业态的不断涌现，为推动护理服务模式创新，提高护理服务效率，</w:t>
      </w:r>
      <w:r>
        <w:rPr>
          <w:rFonts w:hint="eastAsia" w:ascii="仿宋_GB2312" w:cs="仿宋_GB2312"/>
          <w:b w:val="0"/>
          <w:color w:val="auto"/>
          <w:kern w:val="0"/>
          <w:szCs w:val="32"/>
        </w:rPr>
        <w:t>推进</w:t>
      </w:r>
      <w:r>
        <w:rPr>
          <w:rFonts w:hint="eastAsia" w:ascii="仿宋_GB2312" w:eastAsia="仿宋_GB2312" w:cs="仿宋_GB2312" w:hAnsiTheme="minorHAnsi"/>
          <w:b w:val="0"/>
          <w:color w:val="auto"/>
          <w:kern w:val="0"/>
          <w:sz w:val="32"/>
          <w:szCs w:val="32"/>
          <w:lang w:val="en-US" w:eastAsia="zh-CN" w:bidi="ar"/>
        </w:rPr>
        <w:t>我</w:t>
      </w:r>
      <w:r>
        <w:rPr>
          <w:rFonts w:hint="eastAsia" w:ascii="仿宋_GB2312" w:cs="仿宋_GB2312"/>
          <w:b w:val="0"/>
          <w:color w:val="auto"/>
          <w:kern w:val="0"/>
          <w:sz w:val="32"/>
          <w:szCs w:val="32"/>
          <w:lang w:val="en-US" w:eastAsia="zh-CN" w:bidi="ar"/>
        </w:rPr>
        <w:t>市</w:t>
      </w:r>
      <w:r>
        <w:rPr>
          <w:rFonts w:hint="eastAsia" w:ascii="仿宋_GB2312" w:eastAsia="仿宋_GB2312" w:cs="仿宋_GB2312" w:hAnsiTheme="minorHAnsi"/>
          <w:b w:val="0"/>
          <w:color w:val="auto"/>
          <w:kern w:val="0"/>
          <w:sz w:val="32"/>
          <w:szCs w:val="32"/>
          <w:lang w:val="en-US" w:eastAsia="zh-CN" w:bidi="ar"/>
        </w:rPr>
        <w:t>护理高质量发展提供了有力支撑。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二、指导思想</w:t>
      </w:r>
      <w:r>
        <w:rPr>
          <w:rFonts w:hint="eastAsia" w:ascii="黑体" w:hAnsi="黑体" w:eastAsia="黑体" w:cs="黑体"/>
          <w:color w:val="auto"/>
          <w:sz w:val="32"/>
          <w:szCs w:val="32"/>
          <w:lang w:val="en-US" w:eastAsia="zh-CN"/>
        </w:rPr>
        <w:t>与</w:t>
      </w:r>
      <w:r>
        <w:rPr>
          <w:rFonts w:hint="eastAsia" w:ascii="黑体" w:hAnsi="黑体" w:eastAsia="黑体" w:cs="黑体"/>
          <w:color w:val="auto"/>
          <w:sz w:val="32"/>
          <w:szCs w:val="32"/>
        </w:rPr>
        <w:t>基本原则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（一）指导思想</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以习近平新时代中国特色社会主义思想为指导，</w:t>
      </w:r>
      <w:r>
        <w:rPr>
          <w:rFonts w:hint="eastAsia" w:ascii="仿宋_GB2312" w:hAnsi="仿宋_GB2312" w:eastAsia="仿宋_GB2312" w:cs="仿宋_GB2312"/>
          <w:color w:val="auto"/>
          <w:sz w:val="32"/>
          <w:szCs w:val="32"/>
          <w:highlight w:val="none"/>
        </w:rPr>
        <w:t>深入贯彻党的</w:t>
      </w:r>
      <w:r>
        <w:rPr>
          <w:rFonts w:hint="eastAsia" w:ascii="仿宋_GB2312" w:hAnsi="仿宋_GB2312" w:eastAsia="仿宋_GB2312" w:cs="仿宋_GB2312"/>
          <w:color w:val="auto"/>
          <w:sz w:val="32"/>
          <w:szCs w:val="32"/>
          <w:highlight w:val="none"/>
          <w:lang w:val="en-US" w:eastAsia="zh-CN"/>
        </w:rPr>
        <w:t>二十</w:t>
      </w:r>
      <w:r>
        <w:rPr>
          <w:rFonts w:hint="eastAsia" w:ascii="仿宋_GB2312" w:hAnsi="仿宋_GB2312" w:eastAsia="仿宋_GB2312" w:cs="仿宋_GB2312"/>
          <w:color w:val="auto"/>
          <w:sz w:val="32"/>
          <w:szCs w:val="32"/>
          <w:highlight w:val="none"/>
        </w:rPr>
        <w:t>大和</w:t>
      </w:r>
      <w:r>
        <w:rPr>
          <w:rFonts w:hint="eastAsia" w:ascii="仿宋_GB2312" w:hAnsi="仿宋_GB2312" w:eastAsia="仿宋_GB2312" w:cs="仿宋_GB2312"/>
          <w:color w:val="auto"/>
          <w:sz w:val="32"/>
          <w:szCs w:val="32"/>
          <w:highlight w:val="none"/>
          <w:lang w:val="en-US" w:eastAsia="zh-CN"/>
        </w:rPr>
        <w:t>省委十二届</w:t>
      </w:r>
      <w:r>
        <w:rPr>
          <w:rFonts w:hint="eastAsia" w:ascii="仿宋_GB2312" w:hAnsi="仿宋_GB2312" w:eastAsia="仿宋_GB2312" w:cs="仿宋_GB2312"/>
          <w:color w:val="auto"/>
          <w:sz w:val="32"/>
          <w:szCs w:val="32"/>
          <w:highlight w:val="none"/>
        </w:rPr>
        <w:t>全会精神</w:t>
      </w:r>
      <w:r>
        <w:rPr>
          <w:rFonts w:hint="eastAsia" w:ascii="仿宋_GB2312" w:hAnsi="仿宋_GB2312" w:eastAsia="仿宋_GB2312" w:cs="仿宋_GB2312"/>
          <w:color w:val="auto"/>
          <w:sz w:val="32"/>
          <w:szCs w:val="32"/>
        </w:rPr>
        <w:t>，以人民健康为中心，以满足人民群众日益增长的护理服务需求为目标，</w:t>
      </w:r>
      <w:bookmarkStart w:id="1" w:name="OLE_LINK26"/>
      <w:bookmarkEnd w:id="1"/>
      <w:bookmarkStart w:id="2" w:name="OLE_LINK25"/>
      <w:r>
        <w:rPr>
          <w:rFonts w:hint="eastAsia" w:ascii="仿宋_GB2312" w:hAnsi="仿宋_GB2312" w:eastAsia="仿宋_GB2312" w:cs="仿宋_GB2312"/>
          <w:color w:val="auto"/>
          <w:sz w:val="32"/>
          <w:szCs w:val="32"/>
        </w:rPr>
        <w:t>以推动高质量发展为主题，</w:t>
      </w:r>
      <w:bookmarkEnd w:id="2"/>
      <w:r>
        <w:rPr>
          <w:rFonts w:hint="eastAsia" w:ascii="仿宋_GB2312" w:hAnsi="仿宋_GB2312" w:eastAsia="仿宋_GB2312" w:cs="仿宋_GB2312"/>
          <w:color w:val="auto"/>
          <w:sz w:val="32"/>
          <w:szCs w:val="32"/>
        </w:rPr>
        <w:t>持续加强护士队伍建设，稳步提升护理管理水平，不断丰富护理服务内涵与外延，大力发展护理健康产业，着力为人民群众提供全方位、全周期的优质护理服务，进一步推动全市护理事业高质量发展。</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（二）基本原则</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auto"/>
          <w:sz w:val="32"/>
          <w:szCs w:val="32"/>
        </w:rPr>
      </w:pPr>
      <w:bookmarkStart w:id="3" w:name="_Toc23477"/>
      <w:bookmarkEnd w:id="3"/>
      <w:bookmarkStart w:id="4" w:name="_Toc13040"/>
      <w:bookmarkEnd w:id="4"/>
      <w:bookmarkStart w:id="5" w:name="_Toc32567"/>
      <w:bookmarkEnd w:id="5"/>
      <w:bookmarkStart w:id="6" w:name="_Toc30141"/>
      <w:r>
        <w:rPr>
          <w:rFonts w:hint="eastAsia" w:ascii="仿宋_GB2312" w:hAnsi="仿宋_GB2312" w:eastAsia="仿宋_GB2312" w:cs="仿宋_GB2312"/>
          <w:b/>
          <w:bCs/>
          <w:color w:val="auto"/>
          <w:sz w:val="32"/>
          <w:szCs w:val="32"/>
        </w:rPr>
        <w:t>1.</w:t>
      </w:r>
      <w:bookmarkEnd w:id="6"/>
      <w:r>
        <w:rPr>
          <w:rFonts w:hint="eastAsia" w:ascii="仿宋_GB2312" w:hAnsi="仿宋_GB2312" w:eastAsia="仿宋_GB2312" w:cs="仿宋_GB2312"/>
          <w:b/>
          <w:bCs/>
          <w:color w:val="auto"/>
          <w:sz w:val="32"/>
          <w:szCs w:val="32"/>
        </w:rPr>
        <w:t>人民至上，服务大局。</w:t>
      </w:r>
      <w:r>
        <w:rPr>
          <w:rFonts w:hint="eastAsia" w:ascii="仿宋_GB2312" w:hAnsi="仿宋_GB2312" w:eastAsia="仿宋_GB2312" w:cs="仿宋_GB2312"/>
          <w:b w:val="0"/>
          <w:bCs w:val="0"/>
          <w:color w:val="auto"/>
          <w:sz w:val="32"/>
          <w:szCs w:val="32"/>
        </w:rPr>
        <w:t>贯彻新时</w:t>
      </w:r>
      <w:r>
        <w:rPr>
          <w:rFonts w:hint="eastAsia" w:ascii="仿宋_GB2312" w:hAnsi="仿宋_GB2312" w:eastAsia="仿宋_GB2312" w:cs="仿宋_GB2312"/>
          <w:color w:val="auto"/>
          <w:sz w:val="32"/>
          <w:szCs w:val="32"/>
        </w:rPr>
        <w:t>代卫生与健康工作方针，持续改善护理服务，全面落实健康中国战略部署，推进健康</w:t>
      </w:r>
      <w:r>
        <w:rPr>
          <w:rFonts w:hint="default" w:ascii="仿宋_GB2312" w:hAnsi="仿宋_GB2312" w:eastAsia="仿宋_GB2312" w:cs="仿宋_GB2312"/>
          <w:color w:val="auto"/>
          <w:sz w:val="32"/>
          <w:szCs w:val="32"/>
          <w:lang w:val="en-US" w:eastAsia="zh-CN"/>
        </w:rPr>
        <w:t>乐山</w:t>
      </w:r>
      <w:r>
        <w:rPr>
          <w:rFonts w:hint="eastAsia" w:ascii="仿宋_GB2312" w:hAnsi="仿宋_GB2312" w:eastAsia="仿宋_GB2312" w:cs="仿宋_GB2312"/>
          <w:color w:val="auto"/>
          <w:sz w:val="32"/>
          <w:szCs w:val="32"/>
        </w:rPr>
        <w:t>建设，坚持人民至上、生命至上，为人民群众提供全方位、全过程、全周期的护理服务。</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auto"/>
          <w:sz w:val="32"/>
          <w:szCs w:val="32"/>
        </w:rPr>
      </w:pPr>
      <w:bookmarkStart w:id="7" w:name="_Toc30302"/>
      <w:bookmarkEnd w:id="7"/>
      <w:bookmarkStart w:id="8" w:name="_Toc31292"/>
      <w:bookmarkEnd w:id="8"/>
      <w:bookmarkStart w:id="9" w:name="_Toc30073"/>
      <w:bookmarkEnd w:id="9"/>
      <w:bookmarkStart w:id="10" w:name="_Toc4657"/>
      <w:r>
        <w:rPr>
          <w:rFonts w:hint="eastAsia" w:ascii="仿宋_GB2312" w:hAnsi="仿宋_GB2312" w:eastAsia="仿宋_GB2312" w:cs="仿宋_GB2312"/>
          <w:b/>
          <w:bCs/>
          <w:color w:val="auto"/>
          <w:sz w:val="32"/>
          <w:szCs w:val="32"/>
        </w:rPr>
        <w:t>2.</w:t>
      </w:r>
      <w:bookmarkEnd w:id="10"/>
      <w:r>
        <w:rPr>
          <w:rFonts w:hint="eastAsia" w:ascii="仿宋_GB2312" w:hAnsi="仿宋_GB2312" w:eastAsia="仿宋_GB2312" w:cs="仿宋_GB2312"/>
          <w:b/>
          <w:bCs/>
          <w:color w:val="auto"/>
          <w:sz w:val="32"/>
          <w:szCs w:val="32"/>
        </w:rPr>
        <w:t>能力建设，高质发展。</w:t>
      </w:r>
      <w:r>
        <w:rPr>
          <w:rFonts w:hint="eastAsia" w:ascii="仿宋_GB2312" w:hAnsi="仿宋_GB2312" w:eastAsia="仿宋_GB2312" w:cs="仿宋_GB2312"/>
          <w:color w:val="auto"/>
          <w:sz w:val="32"/>
          <w:szCs w:val="32"/>
        </w:rPr>
        <w:t>强化护士队伍建设，不断增加护士队伍数量，优化队伍结构，注重护士能力培养，实施科学岗位管理，全面提升护士队伍专业素养与服务能力，促进护理事业高质量发展。</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auto"/>
          <w:sz w:val="32"/>
          <w:szCs w:val="32"/>
        </w:rPr>
      </w:pPr>
      <w:bookmarkStart w:id="11" w:name="_Toc16516"/>
      <w:bookmarkEnd w:id="11"/>
      <w:bookmarkStart w:id="12" w:name="_Toc31133"/>
      <w:bookmarkEnd w:id="12"/>
      <w:bookmarkStart w:id="13" w:name="_Toc7781"/>
      <w:bookmarkEnd w:id="13"/>
      <w:bookmarkStart w:id="14" w:name="_Toc4591"/>
      <w:r>
        <w:rPr>
          <w:rFonts w:hint="eastAsia" w:ascii="仿宋_GB2312" w:hAnsi="仿宋_GB2312" w:eastAsia="仿宋_GB2312" w:cs="仿宋_GB2312"/>
          <w:b/>
          <w:bCs/>
          <w:color w:val="auto"/>
          <w:sz w:val="32"/>
          <w:szCs w:val="32"/>
        </w:rPr>
        <w:t>3.</w:t>
      </w:r>
      <w:bookmarkEnd w:id="14"/>
      <w:r>
        <w:rPr>
          <w:rFonts w:hint="eastAsia" w:ascii="仿宋_GB2312" w:hAnsi="仿宋_GB2312" w:eastAsia="仿宋_GB2312" w:cs="仿宋_GB2312"/>
          <w:b/>
          <w:bCs/>
          <w:color w:val="auto"/>
          <w:sz w:val="32"/>
          <w:szCs w:val="32"/>
        </w:rPr>
        <w:t>规范管理，保障安全。</w:t>
      </w:r>
      <w:r>
        <w:rPr>
          <w:rFonts w:hint="eastAsia" w:ascii="仿宋_GB2312" w:hAnsi="仿宋_GB2312" w:eastAsia="仿宋_GB2312" w:cs="仿宋_GB2312"/>
          <w:color w:val="auto"/>
          <w:sz w:val="32"/>
          <w:szCs w:val="32"/>
        </w:rPr>
        <w:t>全面贯彻落实护理相关法律法规、规章、技术规范、标准及护理核心制度，依法规范护士执业行为，强化落实护理基础管理，提高护士岗位胜任能力，以质量指标为抓手，持续改进护理服务质量，保障患者安全。</w:t>
      </w:r>
    </w:p>
    <w:p>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color w:val="auto"/>
          <w:sz w:val="32"/>
          <w:szCs w:val="32"/>
        </w:rPr>
      </w:pPr>
      <w:bookmarkStart w:id="15" w:name="_Toc20941"/>
      <w:bookmarkEnd w:id="15"/>
      <w:bookmarkStart w:id="16" w:name="_Toc322"/>
      <w:bookmarkEnd w:id="16"/>
      <w:bookmarkStart w:id="17" w:name="_Toc18867"/>
      <w:bookmarkEnd w:id="17"/>
      <w:bookmarkStart w:id="18" w:name="_Toc28166"/>
      <w:r>
        <w:rPr>
          <w:rFonts w:hint="eastAsia" w:ascii="仿宋_GB2312" w:hAnsi="仿宋_GB2312" w:eastAsia="仿宋_GB2312" w:cs="仿宋_GB2312"/>
          <w:b/>
          <w:bCs/>
          <w:color w:val="auto"/>
          <w:sz w:val="32"/>
          <w:szCs w:val="32"/>
        </w:rPr>
        <w:t>4.</w:t>
      </w:r>
      <w:bookmarkEnd w:id="18"/>
      <w:r>
        <w:rPr>
          <w:rFonts w:hint="eastAsia" w:ascii="仿宋_GB2312" w:hAnsi="仿宋_GB2312" w:eastAsia="仿宋_GB2312" w:cs="仿宋_GB2312"/>
          <w:b/>
          <w:bCs/>
          <w:color w:val="auto"/>
          <w:sz w:val="32"/>
          <w:szCs w:val="32"/>
        </w:rPr>
        <w:t>服务创新，增加供给。</w:t>
      </w:r>
      <w:bookmarkStart w:id="19" w:name="OLE_LINK10"/>
      <w:bookmarkEnd w:id="19"/>
      <w:bookmarkStart w:id="20" w:name="OLE_LINK9"/>
      <w:r>
        <w:rPr>
          <w:rFonts w:hint="eastAsia" w:ascii="仿宋_GB2312" w:hAnsi="仿宋_GB2312" w:eastAsia="仿宋_GB2312" w:cs="仿宋_GB2312"/>
          <w:color w:val="auto"/>
          <w:sz w:val="32"/>
          <w:szCs w:val="32"/>
        </w:rPr>
        <w:t>拓展护理服务领域，丰富护理服务内涵，深入推进实施老年护理、居家护理、延伸护理等新型护理服务模式，进一步开展</w:t>
      </w:r>
      <w:bookmarkEnd w:id="20"/>
      <w:r>
        <w:rPr>
          <w:rFonts w:hint="eastAsia" w:ascii="仿宋_GB2312" w:hAnsi="仿宋_GB2312" w:eastAsia="仿宋_GB2312" w:cs="仿宋_GB2312"/>
          <w:color w:val="auto"/>
          <w:sz w:val="32"/>
          <w:szCs w:val="32"/>
        </w:rPr>
        <w:t>“互联网+护理服务”，满足人民群众多样化、多层次的健康服务需求。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三、发展目标</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到2025年，</w:t>
      </w:r>
      <w:r>
        <w:rPr>
          <w:rFonts w:hint="eastAsia" w:ascii="仿宋_GB2312" w:hAnsi="宋体" w:eastAsia="仿宋_GB2312" w:cs="仿宋_GB2312"/>
          <w:b w:val="0"/>
          <w:color w:val="auto"/>
          <w:kern w:val="2"/>
          <w:sz w:val="32"/>
          <w:szCs w:val="44"/>
          <w:lang w:val="en-US" w:eastAsia="zh-CN" w:bidi="ar"/>
        </w:rPr>
        <w:t>全市护士总数达到1.4</w:t>
      </w:r>
      <w:r>
        <w:rPr>
          <w:rFonts w:hint="eastAsia" w:ascii="仿宋_GB2312" w:hAnsi="宋体" w:eastAsia="仿宋_GB2312" w:cs="仿宋_GB2312"/>
          <w:b w:val="0"/>
          <w:color w:val="000000" w:themeColor="text1"/>
          <w:kern w:val="2"/>
          <w:sz w:val="32"/>
          <w:szCs w:val="44"/>
          <w:lang w:val="en-US" w:eastAsia="zh-CN" w:bidi="ar"/>
          <w14:textFill>
            <w14:solidFill>
              <w14:schemeClr w14:val="tx1"/>
            </w14:solidFill>
          </w14:textFill>
        </w:rPr>
        <w:t>万人，每千人口注册护士数达到4.5人，</w:t>
      </w:r>
      <w:r>
        <w:rPr>
          <w:rFonts w:hint="eastAsia" w:ascii="仿宋_GB2312" w:hAnsi="宋体" w:eastAsia="仿宋_GB2312" w:cs="仿宋_GB2312"/>
          <w:b w:val="0"/>
          <w:color w:val="auto"/>
          <w:kern w:val="2"/>
          <w:sz w:val="32"/>
          <w:szCs w:val="44"/>
          <w:lang w:val="en-US" w:eastAsia="zh-CN" w:bidi="ar"/>
        </w:rPr>
        <w:t>素质和服务能力显著提升，基本适应全市经济社会和卫生健康事业发展的需要。</w:t>
      </w:r>
      <w:r>
        <w:rPr>
          <w:rFonts w:hint="eastAsia" w:ascii="仿宋_GB2312" w:hAnsi="仿宋_GB2312" w:eastAsia="仿宋_GB2312" w:cs="仿宋_GB2312"/>
          <w:color w:val="auto"/>
          <w:sz w:val="32"/>
          <w:szCs w:val="32"/>
        </w:rPr>
        <w:t>持续深入推进优质护理服务</w:t>
      </w:r>
      <w:r>
        <w:rPr>
          <w:rFonts w:hint="eastAsia" w:ascii="仿宋_GB2312" w:hAnsi="仿宋_GB2312" w:eastAsia="仿宋_GB2312" w:cs="仿宋_GB2312"/>
          <w:color w:val="auto"/>
          <w:sz w:val="32"/>
          <w:szCs w:val="32"/>
          <w:lang w:eastAsia="zh-CN"/>
        </w:rPr>
        <w:t>，</w:t>
      </w:r>
      <w:r>
        <w:rPr>
          <w:rFonts w:hint="eastAsia" w:ascii="仿宋_GB2312" w:hAnsi="宋体" w:eastAsia="仿宋_GB2312" w:cs="仿宋_GB2312"/>
          <w:b w:val="0"/>
          <w:color w:val="auto"/>
          <w:kern w:val="2"/>
          <w:sz w:val="32"/>
          <w:szCs w:val="44"/>
          <w:lang w:val="en-US" w:eastAsia="zh-CN" w:bidi="ar"/>
        </w:rPr>
        <w:t>有效落实责任制整体护理，持续改进护理服务质量，护理服务更加贴近群众和社会需求。创新护理服务模式</w:t>
      </w:r>
      <w:r>
        <w:rPr>
          <w:rFonts w:hint="default" w:ascii="仿宋_GB2312" w:hAnsi="宋体" w:eastAsia="仿宋_GB2312" w:cs="仿宋_GB2312"/>
          <w:b w:val="0"/>
          <w:color w:val="auto"/>
          <w:kern w:val="2"/>
          <w:sz w:val="32"/>
          <w:szCs w:val="44"/>
          <w:lang w:val="en-US" w:eastAsia="zh-CN" w:bidi="ar"/>
        </w:rPr>
        <w:t>，</w:t>
      </w:r>
      <w:r>
        <w:rPr>
          <w:rFonts w:hint="eastAsia" w:ascii="仿宋_GB2312" w:hAnsi="宋体" w:eastAsia="仿宋_GB2312" w:cs="仿宋_GB2312"/>
          <w:b w:val="0"/>
          <w:color w:val="auto"/>
          <w:kern w:val="2"/>
          <w:sz w:val="32"/>
          <w:szCs w:val="44"/>
          <w:lang w:val="en-US" w:eastAsia="zh-CN" w:bidi="ar"/>
        </w:rPr>
        <w:t>发展“互联网+护理”，护理内涵外延进一步丰富和拓展，老年、中医、社区和居家护理服务供给显著增加。实施科学岗位管理</w:t>
      </w:r>
      <w:r>
        <w:rPr>
          <w:rFonts w:hint="default" w:ascii="仿宋_GB2312" w:hAnsi="宋体" w:eastAsia="仿宋_GB2312" w:cs="仿宋_GB2312"/>
          <w:b w:val="0"/>
          <w:color w:val="auto"/>
          <w:kern w:val="2"/>
          <w:sz w:val="32"/>
          <w:szCs w:val="44"/>
          <w:lang w:val="en-US" w:eastAsia="zh-CN" w:bidi="ar"/>
        </w:rPr>
        <w:t>，</w:t>
      </w:r>
      <w:r>
        <w:rPr>
          <w:rFonts w:hint="eastAsia" w:ascii="仿宋_GB2312" w:hAnsi="宋体" w:eastAsia="仿宋_GB2312" w:cs="仿宋_GB2312"/>
          <w:b w:val="0"/>
          <w:color w:val="auto"/>
          <w:kern w:val="2"/>
          <w:sz w:val="32"/>
          <w:szCs w:val="44"/>
          <w:lang w:val="en-US" w:eastAsia="zh-CN" w:bidi="ar"/>
        </w:rPr>
        <w:t>健全完善调动护士队伍积极性的体制机制，提升护理管理水平。进一步深化基层护理服务</w:t>
      </w:r>
      <w:r>
        <w:rPr>
          <w:rFonts w:hint="default" w:ascii="仿宋_GB2312" w:hAnsi="宋体" w:eastAsia="仿宋_GB2312" w:cs="仿宋_GB2312"/>
          <w:b w:val="0"/>
          <w:color w:val="auto"/>
          <w:kern w:val="2"/>
          <w:sz w:val="32"/>
          <w:szCs w:val="44"/>
          <w:lang w:val="en-US" w:eastAsia="zh-CN" w:bidi="ar"/>
        </w:rPr>
        <w:t>，</w:t>
      </w:r>
      <w:r>
        <w:rPr>
          <w:rFonts w:hint="eastAsia" w:ascii="仿宋_GB2312" w:hAnsi="宋体" w:eastAsia="仿宋_GB2312" w:cs="仿宋_GB2312"/>
          <w:b w:val="0"/>
          <w:color w:val="auto"/>
          <w:kern w:val="2"/>
          <w:sz w:val="32"/>
          <w:szCs w:val="44"/>
          <w:lang w:val="en-US" w:eastAsia="zh-CN" w:bidi="ar"/>
        </w:rPr>
        <w:t>建立健全基</w:t>
      </w:r>
      <w:r>
        <w:rPr>
          <w:rFonts w:hint="eastAsia" w:ascii="仿宋_GB2312" w:hAnsi="仿宋_GB2312" w:eastAsia="仿宋_GB2312" w:cs="仿宋_GB2312"/>
          <w:color w:val="auto"/>
          <w:sz w:val="32"/>
          <w:szCs w:val="32"/>
        </w:rPr>
        <w:t>层护理人才培养体系，促进基层护士数量和能力与基层医疗机构规模和服务功能相适应。发挥优质护理资源的辐射带动作用，深入推进优质护理资源向基层医疗卫生机构下沉。</w:t>
      </w:r>
    </w:p>
    <w:tbl>
      <w:tblPr>
        <w:tblStyle w:val="8"/>
        <w:tblpPr w:leftFromText="180" w:rightFromText="180" w:vertAnchor="text" w:horzAnchor="page" w:tblpXSpec="center" w:tblpY="436"/>
        <w:tblOverlap w:val="never"/>
        <w:tblW w:w="895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86"/>
        <w:gridCol w:w="1602"/>
        <w:gridCol w:w="1337"/>
        <w:gridCol w:w="18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8950"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overflowPunct/>
              <w:topLinePunct w:val="0"/>
              <w:autoSpaceDE/>
              <w:autoSpaceDN/>
              <w:bidi w:val="0"/>
              <w:spacing w:line="594" w:lineRule="exact"/>
              <w:jc w:val="center"/>
              <w:textAlignment w:val="center"/>
              <w:rPr>
                <w:rFonts w:ascii="方正小标宋简体" w:hAnsi="方正小标宋简体" w:eastAsia="方正小标宋简体" w:cs="方正小标宋简体"/>
                <w:i w:val="0"/>
                <w:iCs w:val="0"/>
                <w:color w:val="auto"/>
                <w:sz w:val="32"/>
                <w:szCs w:val="32"/>
                <w:u w:val="none"/>
              </w:rPr>
            </w:pPr>
            <w:r>
              <w:rPr>
                <w:rFonts w:hint="eastAsia" w:ascii="方正小标宋简体" w:hAnsi="方正小标宋简体" w:eastAsia="方正小标宋简体" w:cs="方正小标宋简体"/>
                <w:i w:val="0"/>
                <w:iCs w:val="0"/>
                <w:color w:val="auto"/>
                <w:kern w:val="0"/>
                <w:sz w:val="32"/>
                <w:szCs w:val="32"/>
                <w:u w:val="none"/>
                <w:lang w:val="en-US" w:eastAsia="zh-CN" w:bidi="ar"/>
              </w:rPr>
              <w:t>专栏1 乐山市“十四五”期间护理发展主要指标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jc w:val="center"/>
        </w:trPr>
        <w:tc>
          <w:tcPr>
            <w:tcW w:w="41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overflowPunct/>
              <w:topLinePunct w:val="0"/>
              <w:autoSpaceDE/>
              <w:autoSpaceDN/>
              <w:bidi w:val="0"/>
              <w:spacing w:line="594"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指标</w:t>
            </w:r>
          </w:p>
        </w:tc>
        <w:tc>
          <w:tcPr>
            <w:tcW w:w="16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overflowPunct/>
              <w:topLinePunct w:val="0"/>
              <w:autoSpaceDE/>
              <w:autoSpaceDN/>
              <w:bidi w:val="0"/>
              <w:spacing w:line="594"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2020年</w:t>
            </w:r>
          </w:p>
        </w:tc>
        <w:tc>
          <w:tcPr>
            <w:tcW w:w="13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overflowPunct/>
              <w:topLinePunct w:val="0"/>
              <w:autoSpaceDE/>
              <w:autoSpaceDN/>
              <w:bidi w:val="0"/>
              <w:spacing w:line="594"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2025年</w:t>
            </w:r>
          </w:p>
        </w:tc>
        <w:tc>
          <w:tcPr>
            <w:tcW w:w="1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overflowPunct/>
              <w:topLinePunct w:val="0"/>
              <w:autoSpaceDE/>
              <w:autoSpaceDN/>
              <w:bidi w:val="0"/>
              <w:spacing w:line="594" w:lineRule="exact"/>
              <w:jc w:val="center"/>
              <w:textAlignment w:val="center"/>
              <w:rPr>
                <w:rFonts w:hint="eastAsia" w:ascii="仿宋_GB2312" w:hAnsi="仿宋_GB2312" w:eastAsia="仿宋_GB2312" w:cs="仿宋_GB2312"/>
                <w:b/>
                <w:bCs/>
                <w:i w:val="0"/>
                <w:iCs w:val="0"/>
                <w:color w:val="auto"/>
                <w:sz w:val="28"/>
                <w:szCs w:val="28"/>
                <w:u w:val="none"/>
              </w:rPr>
            </w:pPr>
            <w:r>
              <w:rPr>
                <w:rFonts w:hint="eastAsia" w:ascii="仿宋_GB2312" w:hAnsi="仿宋_GB2312" w:eastAsia="仿宋_GB2312" w:cs="仿宋_GB2312"/>
                <w:b/>
                <w:bCs/>
                <w:i w:val="0"/>
                <w:iCs w:val="0"/>
                <w:color w:val="auto"/>
                <w:kern w:val="0"/>
                <w:sz w:val="28"/>
                <w:szCs w:val="28"/>
                <w:u w:val="none"/>
                <w:lang w:val="en-US" w:eastAsia="zh-CN" w:bidi="ar"/>
              </w:rPr>
              <w:t>性质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jc w:val="center"/>
        </w:trPr>
        <w:tc>
          <w:tcPr>
            <w:tcW w:w="41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1.注册护士总数（万人）</w:t>
            </w:r>
          </w:p>
        </w:tc>
        <w:tc>
          <w:tcPr>
            <w:tcW w:w="1602"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i w:val="0"/>
                <w:iCs w:val="0"/>
                <w:color w:val="auto"/>
                <w:sz w:val="28"/>
                <w:szCs w:val="28"/>
                <w:u w:val="none"/>
                <w:lang w:val="en-US" w:eastAsia="zh-CN"/>
              </w:rPr>
            </w:pPr>
            <w:r>
              <w:rPr>
                <w:rFonts w:hint="eastAsia" w:ascii="仿宋_GB2312" w:hAnsi="宋体" w:eastAsia="仿宋_GB2312" w:cs="仿宋_GB2312"/>
                <w:i w:val="0"/>
                <w:iCs w:val="0"/>
                <w:color w:val="auto"/>
                <w:sz w:val="28"/>
                <w:szCs w:val="28"/>
                <w:u w:val="none"/>
                <w:lang w:val="en-US" w:eastAsia="zh-CN"/>
              </w:rPr>
              <w:t>1.057万</w:t>
            </w:r>
          </w:p>
        </w:tc>
        <w:tc>
          <w:tcPr>
            <w:tcW w:w="1337" w:type="dxa"/>
            <w:tcBorders>
              <w:top w:val="single" w:color="000000" w:sz="4" w:space="0"/>
              <w:left w:val="single" w:color="000000" w:sz="4" w:space="0"/>
              <w:bottom w:val="single" w:color="000000" w:sz="4" w:space="0"/>
              <w:right w:val="single" w:color="000000" w:sz="4" w:space="0"/>
            </w:tcBorders>
            <w:shd w:val="clear" w:color="auto" w:fill="FFFFFF"/>
            <w:vAlign w:val="top"/>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i w:val="0"/>
                <w:iCs w:val="0"/>
                <w:color w:val="auto"/>
                <w:sz w:val="28"/>
                <w:szCs w:val="28"/>
                <w:u w:val="none"/>
                <w:lang w:val="en-US" w:eastAsia="zh-CN"/>
              </w:rPr>
            </w:pPr>
            <w:r>
              <w:rPr>
                <w:rFonts w:hint="eastAsia" w:ascii="仿宋_GB2312" w:hAnsi="宋体" w:eastAsia="仿宋_GB2312" w:cs="仿宋_GB2312"/>
                <w:i w:val="0"/>
                <w:iCs w:val="0"/>
                <w:color w:val="auto"/>
                <w:sz w:val="28"/>
                <w:szCs w:val="28"/>
                <w:u w:val="none"/>
                <w:lang w:val="en-US" w:eastAsia="zh-CN"/>
              </w:rPr>
              <w:t>1.4万</w:t>
            </w:r>
          </w:p>
        </w:tc>
        <w:tc>
          <w:tcPr>
            <w:tcW w:w="1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top"/>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2" w:hRule="atLeast"/>
          <w:jc w:val="center"/>
        </w:trPr>
        <w:tc>
          <w:tcPr>
            <w:tcW w:w="4186"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2.每千人口注册护士数（人）</w:t>
            </w:r>
          </w:p>
        </w:tc>
        <w:tc>
          <w:tcPr>
            <w:tcW w:w="1602" w:type="dxa"/>
            <w:tcBorders>
              <w:top w:val="single" w:color="000000" w:sz="4" w:space="0"/>
              <w:left w:val="single" w:color="000000" w:sz="4" w:space="0"/>
              <w:bottom w:val="single" w:color="auto" w:sz="4" w:space="0"/>
              <w:right w:val="single" w:color="000000" w:sz="4" w:space="0"/>
            </w:tcBorders>
            <w:shd w:val="clear" w:color="auto" w:fill="FFFFFF"/>
            <w:vAlign w:val="top"/>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i w:val="0"/>
                <w:iCs w:val="0"/>
                <w:color w:val="auto"/>
                <w:sz w:val="28"/>
                <w:szCs w:val="28"/>
                <w:u w:val="none"/>
                <w:lang w:val="en-US" w:eastAsia="zh-CN"/>
              </w:rPr>
            </w:pPr>
            <w:r>
              <w:rPr>
                <w:rFonts w:hint="eastAsia" w:ascii="仿宋_GB2312" w:hAnsi="宋体" w:eastAsia="仿宋_GB2312" w:cs="仿宋_GB2312"/>
                <w:i w:val="0"/>
                <w:iCs w:val="0"/>
                <w:color w:val="auto"/>
                <w:sz w:val="28"/>
                <w:szCs w:val="28"/>
                <w:u w:val="none"/>
                <w:lang w:val="en-US" w:eastAsia="zh-CN"/>
              </w:rPr>
              <w:t>3.35</w:t>
            </w:r>
          </w:p>
        </w:tc>
        <w:tc>
          <w:tcPr>
            <w:tcW w:w="1337" w:type="dxa"/>
            <w:tcBorders>
              <w:top w:val="single" w:color="000000" w:sz="4" w:space="0"/>
              <w:left w:val="single" w:color="000000" w:sz="4" w:space="0"/>
              <w:bottom w:val="single" w:color="auto" w:sz="4" w:space="0"/>
              <w:right w:val="single" w:color="000000" w:sz="4" w:space="0"/>
            </w:tcBorders>
            <w:shd w:val="clear" w:color="auto" w:fill="FFFFFF"/>
            <w:vAlign w:val="top"/>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i w:val="0"/>
                <w:iCs w:val="0"/>
                <w:color w:val="auto"/>
                <w:sz w:val="28"/>
                <w:szCs w:val="28"/>
                <w:u w:val="none"/>
                <w:lang w:val="en-US" w:eastAsia="zh-CN"/>
              </w:rPr>
            </w:pPr>
            <w:r>
              <w:rPr>
                <w:rFonts w:hint="eastAsia" w:ascii="仿宋_GB2312" w:hAnsi="宋体" w:eastAsia="仿宋_GB2312" w:cs="仿宋_GB2312"/>
                <w:i w:val="0"/>
                <w:iCs w:val="0"/>
                <w:color w:val="auto"/>
                <w:sz w:val="28"/>
                <w:szCs w:val="28"/>
                <w:u w:val="none"/>
                <w:lang w:val="en-US" w:eastAsia="zh-CN"/>
              </w:rPr>
              <w:t>4.5</w:t>
            </w:r>
          </w:p>
        </w:tc>
        <w:tc>
          <w:tcPr>
            <w:tcW w:w="1825"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top"/>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2" w:hRule="atLeast"/>
          <w:jc w:val="center"/>
        </w:trPr>
        <w:tc>
          <w:tcPr>
            <w:tcW w:w="418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3.</w:t>
            </w:r>
            <w:r>
              <w:rPr>
                <w:rFonts w:hint="eastAsia" w:ascii="仿宋_GB2312" w:hAnsi="宋体" w:eastAsia="仿宋_GB2312" w:cs="仿宋_GB2312"/>
                <w:i w:val="0"/>
                <w:iCs w:val="0"/>
                <w:color w:val="auto"/>
                <w:w w:val="96"/>
                <w:kern w:val="0"/>
                <w:sz w:val="28"/>
                <w:szCs w:val="28"/>
                <w:u w:val="none"/>
                <w:lang w:val="en-US" w:eastAsia="zh-CN" w:bidi="ar"/>
              </w:rPr>
              <w:t>执业（助理）医师与注册护士比</w:t>
            </w:r>
          </w:p>
        </w:tc>
        <w:tc>
          <w:tcPr>
            <w:tcW w:w="1602"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i w:val="0"/>
                <w:iCs w:val="0"/>
                <w:color w:val="auto"/>
                <w:sz w:val="28"/>
                <w:szCs w:val="28"/>
                <w:u w:val="none"/>
                <w:lang w:val="en-US" w:eastAsia="zh-CN"/>
              </w:rPr>
            </w:pPr>
            <w:r>
              <w:rPr>
                <w:rFonts w:hint="eastAsia" w:ascii="仿宋_GB2312" w:hAnsi="宋体" w:eastAsia="仿宋_GB2312" w:cs="仿宋_GB2312"/>
                <w:i w:val="0"/>
                <w:iCs w:val="0"/>
                <w:color w:val="auto"/>
                <w:sz w:val="28"/>
                <w:szCs w:val="28"/>
                <w:u w:val="none"/>
                <w:lang w:val="en-US" w:eastAsia="zh-CN"/>
              </w:rPr>
              <w:t>1：1.23</w:t>
            </w:r>
          </w:p>
        </w:tc>
        <w:tc>
          <w:tcPr>
            <w:tcW w:w="1337"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i w:val="0"/>
                <w:iCs w:val="0"/>
                <w:color w:val="auto"/>
                <w:sz w:val="28"/>
                <w:szCs w:val="28"/>
                <w:u w:val="none"/>
                <w:lang w:val="en-US" w:eastAsia="zh-CN"/>
              </w:rPr>
            </w:pPr>
            <w:r>
              <w:rPr>
                <w:rFonts w:hint="eastAsia" w:ascii="仿宋_GB2312" w:hAnsi="宋体" w:eastAsia="仿宋_GB2312" w:cs="仿宋_GB2312"/>
                <w:i w:val="0"/>
                <w:iCs w:val="0"/>
                <w:color w:val="auto"/>
                <w:sz w:val="28"/>
                <w:szCs w:val="28"/>
                <w:u w:val="none"/>
                <w:lang w:val="en-US" w:eastAsia="zh-CN"/>
              </w:rPr>
              <w:t>1:1.24</w:t>
            </w:r>
          </w:p>
        </w:tc>
        <w:tc>
          <w:tcPr>
            <w:tcW w:w="182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lang w:val="en-US" w:eastAsia="zh-CN"/>
              </w:rPr>
            </w:pPr>
            <w:r>
              <w:rPr>
                <w:rFonts w:hint="eastAsia" w:ascii="仿宋_GB2312" w:hAnsi="宋体" w:eastAsia="仿宋_GB2312" w:cs="仿宋_GB2312"/>
                <w:i w:val="0"/>
                <w:iCs w:val="0"/>
                <w:color w:val="auto"/>
                <w:sz w:val="28"/>
                <w:szCs w:val="28"/>
                <w:u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2" w:hRule="atLeast"/>
          <w:jc w:val="center"/>
        </w:trPr>
        <w:tc>
          <w:tcPr>
            <w:tcW w:w="4186" w:type="dxa"/>
            <w:tcBorders>
              <w:top w:val="single" w:color="auto" w:sz="4" w:space="0"/>
              <w:left w:val="single" w:color="000000" w:sz="4" w:space="0"/>
              <w:bottom w:val="nil"/>
              <w:right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4.三级综合医院、部分三级专科医院（肿瘤、儿童、妇产、心血管病专科医院）：</w:t>
            </w:r>
          </w:p>
        </w:tc>
        <w:tc>
          <w:tcPr>
            <w:tcW w:w="1602" w:type="dxa"/>
            <w:tcBorders>
              <w:top w:val="single" w:color="auto" w:sz="4" w:space="0"/>
              <w:left w:val="single" w:color="000000" w:sz="4" w:space="0"/>
              <w:bottom w:val="nil"/>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i w:val="0"/>
                <w:iCs w:val="0"/>
                <w:color w:val="auto"/>
                <w:sz w:val="28"/>
                <w:szCs w:val="28"/>
                <w:u w:val="none"/>
                <w:lang w:val="en-US" w:eastAsia="zh-CN"/>
              </w:rPr>
            </w:pPr>
          </w:p>
        </w:tc>
        <w:tc>
          <w:tcPr>
            <w:tcW w:w="1337" w:type="dxa"/>
            <w:tcBorders>
              <w:top w:val="single" w:color="auto" w:sz="4" w:space="0"/>
              <w:left w:val="nil"/>
              <w:bottom w:val="nil"/>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p>
        </w:tc>
        <w:tc>
          <w:tcPr>
            <w:tcW w:w="1825" w:type="dxa"/>
            <w:tcBorders>
              <w:top w:val="single" w:color="auto" w:sz="4" w:space="0"/>
              <w:left w:val="nil"/>
              <w:bottom w:val="nil"/>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宋体" w:eastAsia="仿宋_GB2312" w:cs="仿宋_GB2312"/>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1" w:hRule="atLeast"/>
          <w:jc w:val="center"/>
        </w:trPr>
        <w:tc>
          <w:tcPr>
            <w:tcW w:w="4186" w:type="dxa"/>
            <w:tcBorders>
              <w:top w:val="nil"/>
              <w:left w:val="single" w:color="000000" w:sz="4" w:space="0"/>
              <w:bottom w:val="nil"/>
              <w:right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全院护士与实际开放床位比：</w:t>
            </w:r>
          </w:p>
        </w:tc>
        <w:tc>
          <w:tcPr>
            <w:tcW w:w="1602" w:type="dxa"/>
            <w:tcBorders>
              <w:top w:val="nil"/>
              <w:left w:val="single" w:color="000000" w:sz="4" w:space="0"/>
              <w:bottom w:val="nil"/>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b w:val="0"/>
                <w:bCs w:val="0"/>
                <w:i w:val="0"/>
                <w:iCs w:val="0"/>
                <w:color w:val="auto"/>
                <w:sz w:val="28"/>
                <w:szCs w:val="28"/>
                <w:highlight w:val="yellow"/>
                <w:u w:val="none"/>
              </w:rPr>
            </w:pPr>
            <w:r>
              <w:rPr>
                <w:rFonts w:hint="eastAsia" w:ascii="仿宋_GB2312" w:hAnsi="宋体" w:eastAsia="仿宋_GB2312" w:cs="仿宋_GB2312"/>
                <w:b w:val="0"/>
                <w:bCs w:val="0"/>
                <w:i w:val="0"/>
                <w:iCs w:val="0"/>
                <w:color w:val="auto"/>
                <w:sz w:val="28"/>
                <w:szCs w:val="28"/>
                <w:highlight w:val="none"/>
                <w:u w:val="none"/>
                <w:lang w:val="en-US" w:eastAsia="zh-CN"/>
              </w:rPr>
              <w:t>0.63:1</w:t>
            </w:r>
          </w:p>
        </w:tc>
        <w:tc>
          <w:tcPr>
            <w:tcW w:w="1337" w:type="dxa"/>
            <w:tcBorders>
              <w:top w:val="nil"/>
              <w:left w:val="nil"/>
              <w:bottom w:val="nil"/>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highlight w:val="yellow"/>
                <w:u w:val="none"/>
              </w:rPr>
            </w:pPr>
            <w:r>
              <w:rPr>
                <w:rFonts w:hint="eastAsia" w:ascii="仿宋" w:hAnsi="仿宋" w:eastAsia="仿宋" w:cs="仿宋"/>
                <w:color w:val="000000"/>
                <w:kern w:val="0"/>
                <w:sz w:val="28"/>
                <w:szCs w:val="28"/>
              </w:rPr>
              <w:t>0.85</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1</w:t>
            </w:r>
          </w:p>
        </w:tc>
        <w:tc>
          <w:tcPr>
            <w:tcW w:w="1825" w:type="dxa"/>
            <w:tcBorders>
              <w:top w:val="nil"/>
              <w:left w:val="nil"/>
              <w:bottom w:val="nil"/>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lang w:val="en-US" w:eastAsia="zh-CN"/>
              </w:rPr>
            </w:pPr>
            <w:r>
              <w:rPr>
                <w:rFonts w:hint="eastAsia" w:ascii="仿宋_GB2312" w:hAnsi="宋体" w:eastAsia="仿宋_GB2312" w:cs="仿宋_GB2312"/>
                <w:i w:val="0"/>
                <w:iCs w:val="0"/>
                <w:color w:val="auto"/>
                <w:sz w:val="28"/>
                <w:szCs w:val="28"/>
                <w:u w:val="none"/>
                <w:lang w:val="en-US" w:eastAsia="zh-CN"/>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 w:hRule="atLeast"/>
          <w:jc w:val="center"/>
        </w:trPr>
        <w:tc>
          <w:tcPr>
            <w:tcW w:w="4186" w:type="dxa"/>
            <w:tcBorders>
              <w:top w:val="nil"/>
              <w:left w:val="single" w:color="000000" w:sz="4" w:space="0"/>
              <w:bottom w:val="nil"/>
              <w:right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全院病区护士与实际开放床比：</w:t>
            </w:r>
          </w:p>
        </w:tc>
        <w:tc>
          <w:tcPr>
            <w:tcW w:w="1602"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b w:val="0"/>
                <w:bCs w:val="0"/>
                <w:i w:val="0"/>
                <w:iCs w:val="0"/>
                <w:color w:val="auto"/>
                <w:sz w:val="28"/>
                <w:szCs w:val="28"/>
                <w:highlight w:val="yellow"/>
                <w:u w:val="none"/>
                <w:lang w:val="en-US" w:eastAsia="zh-CN"/>
              </w:rPr>
            </w:pPr>
            <w:r>
              <w:rPr>
                <w:rFonts w:hint="eastAsia" w:ascii="仿宋_GB2312" w:hAnsi="宋体" w:eastAsia="仿宋_GB2312" w:cs="仿宋_GB2312"/>
                <w:b w:val="0"/>
                <w:bCs w:val="0"/>
                <w:i w:val="0"/>
                <w:iCs w:val="0"/>
                <w:color w:val="auto"/>
                <w:sz w:val="28"/>
                <w:szCs w:val="28"/>
                <w:highlight w:val="none"/>
                <w:u w:val="none"/>
                <w:lang w:val="en-US" w:eastAsia="zh-CN"/>
              </w:rPr>
              <w:t>0.27:1</w:t>
            </w:r>
          </w:p>
        </w:tc>
        <w:tc>
          <w:tcPr>
            <w:tcW w:w="1337" w:type="dxa"/>
            <w:tcBorders>
              <w:top w:val="nil"/>
              <w:left w:val="nil"/>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highlight w:val="yellow"/>
                <w:u w:val="none"/>
              </w:rPr>
            </w:pPr>
            <w:r>
              <w:rPr>
                <w:rFonts w:hint="eastAsia" w:ascii="仿宋" w:hAnsi="仿宋" w:eastAsia="仿宋" w:cs="仿宋"/>
                <w:color w:val="000000"/>
                <w:kern w:val="0"/>
                <w:sz w:val="28"/>
                <w:szCs w:val="28"/>
              </w:rPr>
              <w:t>0.65</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rPr>
              <w:t>1</w:t>
            </w:r>
          </w:p>
        </w:tc>
        <w:tc>
          <w:tcPr>
            <w:tcW w:w="1825" w:type="dxa"/>
            <w:tcBorders>
              <w:top w:val="nil"/>
              <w:left w:val="nil"/>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2" w:hRule="atLeast"/>
          <w:jc w:val="center"/>
        </w:trPr>
        <w:tc>
          <w:tcPr>
            <w:tcW w:w="4186" w:type="dxa"/>
            <w:tcBorders>
              <w:top w:val="single" w:color="000000" w:sz="4" w:space="0"/>
              <w:left w:val="single" w:color="000000" w:sz="4" w:space="0"/>
              <w:bottom w:val="nil"/>
              <w:right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5.二级综合医院、部分二级专科医院（肿瘤、儿童、妇产、心血管病专科医院）：</w:t>
            </w:r>
          </w:p>
        </w:tc>
        <w:tc>
          <w:tcPr>
            <w:tcW w:w="1602" w:type="dxa"/>
            <w:tcBorders>
              <w:top w:val="nil"/>
              <w:left w:val="single" w:color="000000" w:sz="4" w:space="0"/>
              <w:bottom w:val="nil"/>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b w:val="0"/>
                <w:bCs w:val="0"/>
                <w:i w:val="0"/>
                <w:iCs w:val="0"/>
                <w:color w:val="auto"/>
                <w:sz w:val="28"/>
                <w:szCs w:val="28"/>
                <w:u w:val="none"/>
              </w:rPr>
            </w:pPr>
          </w:p>
        </w:tc>
        <w:tc>
          <w:tcPr>
            <w:tcW w:w="1337" w:type="dxa"/>
            <w:tcBorders>
              <w:top w:val="nil"/>
              <w:left w:val="nil"/>
              <w:bottom w:val="nil"/>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p>
        </w:tc>
        <w:tc>
          <w:tcPr>
            <w:tcW w:w="1825" w:type="dxa"/>
            <w:tcBorders>
              <w:top w:val="nil"/>
              <w:left w:val="nil"/>
              <w:bottom w:val="nil"/>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hint="eastAsia" w:ascii="仿宋_GB2312" w:hAnsi="宋体" w:eastAsia="仿宋_GB2312" w:cs="仿宋_GB2312"/>
                <w:i w:val="0"/>
                <w:iCs w:val="0"/>
                <w:color w:val="auto"/>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1" w:hRule="atLeast"/>
          <w:jc w:val="center"/>
        </w:trPr>
        <w:tc>
          <w:tcPr>
            <w:tcW w:w="4186" w:type="dxa"/>
            <w:tcBorders>
              <w:top w:val="nil"/>
              <w:left w:val="single" w:color="000000" w:sz="4" w:space="0"/>
              <w:bottom w:val="nil"/>
              <w:right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全院护士与实际开放床位比：</w:t>
            </w:r>
          </w:p>
        </w:tc>
        <w:tc>
          <w:tcPr>
            <w:tcW w:w="1602" w:type="dxa"/>
            <w:tcBorders>
              <w:top w:val="nil"/>
              <w:left w:val="single" w:color="000000" w:sz="4" w:space="0"/>
              <w:bottom w:val="nil"/>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b w:val="0"/>
                <w:bCs w:val="0"/>
                <w:i w:val="0"/>
                <w:iCs w:val="0"/>
                <w:color w:val="auto"/>
                <w:sz w:val="28"/>
                <w:szCs w:val="28"/>
                <w:highlight w:val="none"/>
                <w:u w:val="none"/>
                <w:lang w:val="en-US" w:eastAsia="zh-CN"/>
              </w:rPr>
            </w:pPr>
            <w:r>
              <w:rPr>
                <w:rFonts w:hint="eastAsia" w:ascii="仿宋_GB2312" w:hAnsi="宋体" w:eastAsia="仿宋_GB2312" w:cs="仿宋_GB2312"/>
                <w:b w:val="0"/>
                <w:bCs w:val="0"/>
                <w:i w:val="0"/>
                <w:iCs w:val="0"/>
                <w:color w:val="auto"/>
                <w:sz w:val="28"/>
                <w:szCs w:val="28"/>
                <w:highlight w:val="none"/>
                <w:u w:val="none"/>
                <w:lang w:val="en-US" w:eastAsia="zh-CN"/>
              </w:rPr>
              <w:t>0.49:1</w:t>
            </w:r>
          </w:p>
        </w:tc>
        <w:tc>
          <w:tcPr>
            <w:tcW w:w="1337" w:type="dxa"/>
            <w:tcBorders>
              <w:top w:val="nil"/>
              <w:left w:val="nil"/>
              <w:bottom w:val="nil"/>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0.75：1</w:t>
            </w:r>
          </w:p>
        </w:tc>
        <w:tc>
          <w:tcPr>
            <w:tcW w:w="1825" w:type="dxa"/>
            <w:tcBorders>
              <w:top w:val="nil"/>
              <w:left w:val="nil"/>
              <w:bottom w:val="nil"/>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sz w:val="28"/>
                <w:szCs w:val="28"/>
                <w:highlight w:val="none"/>
                <w:u w:val="none"/>
                <w:lang w:val="en-US" w:eastAsia="zh-CN"/>
              </w:rPr>
              <w:t>约束性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2" w:hRule="atLeast"/>
          <w:jc w:val="center"/>
        </w:trPr>
        <w:tc>
          <w:tcPr>
            <w:tcW w:w="4186" w:type="dxa"/>
            <w:tcBorders>
              <w:top w:val="nil"/>
              <w:left w:val="single" w:color="000000" w:sz="4" w:space="0"/>
              <w:bottom w:val="nil"/>
              <w:right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全院病区护士与实际开放床比：</w:t>
            </w:r>
          </w:p>
        </w:tc>
        <w:tc>
          <w:tcPr>
            <w:tcW w:w="1602"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b w:val="0"/>
                <w:bCs w:val="0"/>
                <w:i w:val="0"/>
                <w:iCs w:val="0"/>
                <w:color w:val="auto"/>
                <w:sz w:val="28"/>
                <w:szCs w:val="28"/>
                <w:highlight w:val="none"/>
                <w:u w:val="none"/>
                <w:lang w:val="en-US" w:eastAsia="zh-CN"/>
              </w:rPr>
            </w:pPr>
            <w:r>
              <w:rPr>
                <w:rFonts w:hint="eastAsia" w:ascii="仿宋_GB2312" w:hAnsi="宋体" w:eastAsia="仿宋_GB2312" w:cs="仿宋_GB2312"/>
                <w:b w:val="0"/>
                <w:bCs w:val="0"/>
                <w:i w:val="0"/>
                <w:iCs w:val="0"/>
                <w:color w:val="auto"/>
                <w:sz w:val="28"/>
                <w:szCs w:val="28"/>
                <w:highlight w:val="none"/>
                <w:u w:val="none"/>
                <w:lang w:val="en-US" w:eastAsia="zh-CN"/>
              </w:rPr>
              <w:t>0.32:1</w:t>
            </w:r>
          </w:p>
        </w:tc>
        <w:tc>
          <w:tcPr>
            <w:tcW w:w="1337" w:type="dxa"/>
            <w:tcBorders>
              <w:top w:val="nil"/>
              <w:left w:val="nil"/>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 w:hAnsi="仿宋" w:eastAsia="仿宋" w:cs="仿宋"/>
                <w:color w:val="000000"/>
                <w:kern w:val="0"/>
                <w:sz w:val="28"/>
                <w:szCs w:val="28"/>
                <w:highlight w:val="none"/>
                <w:lang w:val="en-US" w:eastAsia="zh-CN"/>
              </w:rPr>
            </w:pPr>
            <w:r>
              <w:rPr>
                <w:rFonts w:hint="eastAsia" w:ascii="仿宋" w:hAnsi="仿宋" w:eastAsia="仿宋" w:cs="仿宋"/>
                <w:color w:val="000000"/>
                <w:kern w:val="0"/>
                <w:sz w:val="28"/>
                <w:szCs w:val="28"/>
                <w:highlight w:val="none"/>
                <w:lang w:val="en-US" w:eastAsia="zh-CN"/>
              </w:rPr>
              <w:t>0.55:1</w:t>
            </w:r>
          </w:p>
        </w:tc>
        <w:tc>
          <w:tcPr>
            <w:tcW w:w="1825" w:type="dxa"/>
            <w:tcBorders>
              <w:top w:val="nil"/>
              <w:left w:val="nil"/>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41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kern w:val="0"/>
                <w:sz w:val="28"/>
                <w:szCs w:val="28"/>
                <w:highlight w:val="none"/>
                <w:u w:val="none"/>
                <w:lang w:val="en-US" w:eastAsia="zh-CN" w:bidi="ar"/>
              </w:rPr>
              <w:t>6.在基层医疗机构从事工作的护士数（人）</w:t>
            </w:r>
          </w:p>
        </w:tc>
        <w:tc>
          <w:tcPr>
            <w:tcW w:w="16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b w:val="0"/>
                <w:bCs w:val="0"/>
                <w:i w:val="0"/>
                <w:iCs w:val="0"/>
                <w:color w:val="auto"/>
                <w:sz w:val="28"/>
                <w:szCs w:val="28"/>
                <w:highlight w:val="none"/>
                <w:u w:val="none"/>
                <w:lang w:val="en-US" w:eastAsia="zh-CN"/>
              </w:rPr>
            </w:pPr>
            <w:r>
              <w:rPr>
                <w:rFonts w:hint="eastAsia" w:ascii="仿宋_GB2312" w:hAnsi="宋体" w:eastAsia="仿宋_GB2312" w:cs="仿宋_GB2312"/>
                <w:b w:val="0"/>
                <w:bCs w:val="0"/>
                <w:i w:val="0"/>
                <w:iCs w:val="0"/>
                <w:color w:val="auto"/>
                <w:sz w:val="28"/>
                <w:szCs w:val="28"/>
                <w:highlight w:val="none"/>
                <w:u w:val="none"/>
                <w:lang w:val="en-US" w:eastAsia="zh-CN"/>
              </w:rPr>
              <w:t>2473</w:t>
            </w:r>
            <w:r>
              <w:rPr>
                <w:rFonts w:hint="eastAsia" w:ascii="仿宋_GB2312" w:hAnsi="宋体" w:eastAsia="仿宋_GB2312" w:cs="仿宋_GB2312"/>
                <w:b w:val="0"/>
                <w:bCs w:val="0"/>
                <w:i w:val="0"/>
                <w:iCs w:val="0"/>
                <w:color w:val="auto"/>
                <w:kern w:val="0"/>
                <w:sz w:val="28"/>
                <w:szCs w:val="28"/>
                <w:highlight w:val="none"/>
                <w:u w:val="none"/>
                <w:lang w:val="en-US" w:eastAsia="zh-CN" w:bidi="ar"/>
              </w:rPr>
              <w:t>人</w:t>
            </w:r>
          </w:p>
        </w:tc>
        <w:tc>
          <w:tcPr>
            <w:tcW w:w="13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b/>
                <w:bCs/>
                <w:i w:val="0"/>
                <w:iCs w:val="0"/>
                <w:color w:val="auto"/>
                <w:sz w:val="28"/>
                <w:szCs w:val="28"/>
                <w:highlight w:val="none"/>
                <w:u w:val="none"/>
                <w:lang w:val="en-US" w:eastAsia="zh-CN"/>
              </w:rPr>
            </w:pPr>
            <w:r>
              <w:rPr>
                <w:rFonts w:hint="eastAsia" w:ascii="仿宋" w:hAnsi="仿宋" w:eastAsia="仿宋" w:cs="仿宋"/>
                <w:color w:val="000000"/>
                <w:kern w:val="0"/>
                <w:sz w:val="28"/>
                <w:szCs w:val="28"/>
                <w:highlight w:val="none"/>
                <w:lang w:val="en-US" w:eastAsia="zh-CN"/>
              </w:rPr>
              <w:t>3000人</w:t>
            </w:r>
          </w:p>
        </w:tc>
        <w:tc>
          <w:tcPr>
            <w:tcW w:w="1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highlight w:val="none"/>
                <w:u w:val="none"/>
              </w:rPr>
            </w:pPr>
            <w:r>
              <w:rPr>
                <w:rFonts w:hint="eastAsia" w:ascii="仿宋_GB2312" w:hAnsi="宋体" w:eastAsia="仿宋_GB2312" w:cs="仿宋_GB2312"/>
                <w:i w:val="0"/>
                <w:iCs w:val="0"/>
                <w:color w:val="auto"/>
                <w:sz w:val="28"/>
                <w:szCs w:val="28"/>
                <w:highlight w:val="none"/>
                <w:u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41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7.临床护理岗位护士占全院护士总量的比例（%）</w:t>
            </w:r>
          </w:p>
        </w:tc>
        <w:tc>
          <w:tcPr>
            <w:tcW w:w="16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lang w:val="en-US" w:eastAsia="zh-CN"/>
              </w:rPr>
            </w:pPr>
            <w:r>
              <w:rPr>
                <w:rFonts w:hint="eastAsia" w:ascii="仿宋_GB2312" w:hAnsi="宋体" w:eastAsia="仿宋_GB2312" w:cs="仿宋_GB2312"/>
                <w:i w:val="0"/>
                <w:iCs w:val="0"/>
                <w:color w:val="auto"/>
                <w:sz w:val="28"/>
                <w:szCs w:val="28"/>
                <w:u w:val="none"/>
                <w:lang w:val="en-US" w:eastAsia="zh-CN"/>
              </w:rPr>
              <w:t>/</w:t>
            </w:r>
          </w:p>
        </w:tc>
        <w:tc>
          <w:tcPr>
            <w:tcW w:w="13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default" w:ascii="仿宋_GB2312" w:hAnsi="宋体" w:eastAsia="仿宋_GB2312" w:cs="仿宋_GB2312"/>
                <w:i w:val="0"/>
                <w:iCs w:val="0"/>
                <w:color w:val="auto"/>
                <w:sz w:val="28"/>
                <w:szCs w:val="28"/>
                <w:u w:val="none"/>
                <w:lang w:val="en-US" w:eastAsia="zh-CN"/>
              </w:rPr>
            </w:pPr>
            <w:r>
              <w:rPr>
                <w:rFonts w:hint="eastAsia" w:ascii="仿宋_GB2312" w:hAnsi="宋体" w:eastAsia="仿宋_GB2312" w:cs="仿宋_GB2312"/>
                <w:i w:val="0"/>
                <w:iCs w:val="0"/>
                <w:color w:val="auto"/>
                <w:sz w:val="28"/>
                <w:szCs w:val="28"/>
                <w:u w:val="none"/>
                <w:lang w:val="en-US" w:eastAsia="zh-CN"/>
              </w:rPr>
              <w:t>≥95</w:t>
            </w:r>
          </w:p>
        </w:tc>
        <w:tc>
          <w:tcPr>
            <w:tcW w:w="1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sz w:val="28"/>
                <w:szCs w:val="28"/>
                <w:u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41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8.护理管理人员参加培训比（%）</w:t>
            </w:r>
          </w:p>
        </w:tc>
        <w:tc>
          <w:tcPr>
            <w:tcW w:w="16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sz w:val="28"/>
                <w:szCs w:val="28"/>
                <w:u w:val="none"/>
                <w:lang w:val="en-US" w:eastAsia="zh-CN"/>
              </w:rPr>
              <w:t>/</w:t>
            </w:r>
          </w:p>
        </w:tc>
        <w:tc>
          <w:tcPr>
            <w:tcW w:w="13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sz w:val="28"/>
                <w:szCs w:val="28"/>
                <w:u w:val="none"/>
                <w:lang w:val="en-US" w:eastAsia="zh-CN"/>
              </w:rPr>
              <w:t>≥90</w:t>
            </w:r>
          </w:p>
        </w:tc>
        <w:tc>
          <w:tcPr>
            <w:tcW w:w="1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sz w:val="28"/>
                <w:szCs w:val="28"/>
                <w:u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jc w:val="center"/>
        </w:trPr>
        <w:tc>
          <w:tcPr>
            <w:tcW w:w="41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9.新入职护士参加培训比例（%）</w:t>
            </w:r>
          </w:p>
        </w:tc>
        <w:tc>
          <w:tcPr>
            <w:tcW w:w="16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sz w:val="28"/>
                <w:szCs w:val="28"/>
                <w:u w:val="none"/>
                <w:lang w:val="en-US" w:eastAsia="zh-CN"/>
              </w:rPr>
              <w:t>/</w:t>
            </w:r>
          </w:p>
        </w:tc>
        <w:tc>
          <w:tcPr>
            <w:tcW w:w="13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sz w:val="28"/>
                <w:szCs w:val="28"/>
                <w:u w:val="none"/>
                <w:lang w:val="en-US" w:eastAsia="zh-CN"/>
              </w:rPr>
              <w:t>≥90</w:t>
            </w:r>
          </w:p>
        </w:tc>
        <w:tc>
          <w:tcPr>
            <w:tcW w:w="1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sz w:val="28"/>
                <w:szCs w:val="28"/>
                <w:u w:val="none"/>
                <w:lang w:val="en-US" w:eastAsia="zh-CN"/>
              </w:rPr>
              <w:t>预期性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3" w:hRule="atLeast"/>
          <w:jc w:val="center"/>
        </w:trPr>
        <w:tc>
          <w:tcPr>
            <w:tcW w:w="41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numPr>
                <w:ilvl w:val="0"/>
                <w:numId w:val="2"/>
              </w:numPr>
              <w:suppressLineNumbers w:val="0"/>
              <w:kinsoku/>
              <w:wordWrap/>
              <w:overflowPunct/>
              <w:topLinePunct w:val="0"/>
              <w:autoSpaceDE/>
              <w:autoSpaceDN/>
              <w:bidi w:val="0"/>
              <w:adjustRightInd/>
              <w:snapToGrid/>
              <w:spacing w:line="480" w:lineRule="exact"/>
              <w:ind w:left="560" w:hanging="560" w:hangingChars="200"/>
              <w:jc w:val="left"/>
              <w:textAlignment w:val="center"/>
              <w:rPr>
                <w:rFonts w:hint="eastAsia" w:ascii="仿宋_GB2312" w:hAnsi="宋体" w:eastAsia="仿宋_GB2312" w:cs="仿宋_GB2312"/>
                <w:i w:val="0"/>
                <w:iCs w:val="0"/>
                <w:color w:val="auto"/>
                <w:kern w:val="0"/>
                <w:sz w:val="28"/>
                <w:szCs w:val="28"/>
                <w:u w:val="none"/>
                <w:lang w:val="en-US" w:eastAsia="zh-CN" w:bidi="ar"/>
              </w:rPr>
            </w:pPr>
            <w:r>
              <w:rPr>
                <w:rFonts w:hint="eastAsia" w:ascii="仿宋_GB2312" w:hAnsi="宋体" w:eastAsia="仿宋_GB2312" w:cs="仿宋_GB2312"/>
                <w:i w:val="0"/>
                <w:iCs w:val="0"/>
                <w:color w:val="auto"/>
                <w:kern w:val="0"/>
                <w:sz w:val="28"/>
                <w:szCs w:val="28"/>
                <w:u w:val="none"/>
                <w:lang w:val="en-US" w:eastAsia="zh-CN" w:bidi="ar"/>
              </w:rPr>
              <w:t>相关紧缺护理专业护士参加</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leftChars="-200"/>
              <w:jc w:val="left"/>
              <w:textAlignment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kern w:val="0"/>
                <w:sz w:val="28"/>
                <w:szCs w:val="28"/>
                <w:u w:val="none"/>
                <w:lang w:val="en-US" w:eastAsia="zh-CN" w:bidi="ar"/>
              </w:rPr>
              <w:t>培 培训比例（%）</w:t>
            </w:r>
          </w:p>
        </w:tc>
        <w:tc>
          <w:tcPr>
            <w:tcW w:w="160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sz w:val="28"/>
                <w:szCs w:val="28"/>
                <w:u w:val="none"/>
                <w:lang w:val="en-US" w:eastAsia="zh-CN"/>
              </w:rPr>
              <w:t>/</w:t>
            </w:r>
          </w:p>
        </w:tc>
        <w:tc>
          <w:tcPr>
            <w:tcW w:w="133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sz w:val="28"/>
                <w:szCs w:val="28"/>
                <w:u w:val="none"/>
                <w:lang w:val="en-US" w:eastAsia="zh-CN"/>
              </w:rPr>
              <w:t>≥90</w:t>
            </w:r>
          </w:p>
        </w:tc>
        <w:tc>
          <w:tcPr>
            <w:tcW w:w="18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480" w:lineRule="exact"/>
              <w:jc w:val="center"/>
              <w:rPr>
                <w:rFonts w:hint="eastAsia" w:ascii="仿宋_GB2312" w:hAnsi="宋体" w:eastAsia="仿宋_GB2312" w:cs="仿宋_GB2312"/>
                <w:i w:val="0"/>
                <w:iCs w:val="0"/>
                <w:color w:val="auto"/>
                <w:sz w:val="28"/>
                <w:szCs w:val="28"/>
                <w:u w:val="none"/>
              </w:rPr>
            </w:pPr>
            <w:r>
              <w:rPr>
                <w:rFonts w:hint="eastAsia" w:ascii="仿宋_GB2312" w:hAnsi="宋体" w:eastAsia="仿宋_GB2312" w:cs="仿宋_GB2312"/>
                <w:i w:val="0"/>
                <w:iCs w:val="0"/>
                <w:color w:val="auto"/>
                <w:sz w:val="28"/>
                <w:szCs w:val="28"/>
                <w:u w:val="none"/>
                <w:lang w:val="en-US" w:eastAsia="zh-CN"/>
              </w:rPr>
              <w:t>预期性</w:t>
            </w:r>
          </w:p>
        </w:tc>
      </w:tr>
    </w:tbl>
    <w:p>
      <w:pPr>
        <w:keepNext w:val="0"/>
        <w:keepLines w:val="0"/>
        <w:pageBreakBefore w:val="0"/>
        <w:widowControl/>
        <w:suppressLineNumbers w:val="0"/>
        <w:kinsoku/>
        <w:wordWrap/>
        <w:overflowPunct/>
        <w:topLinePunct w:val="0"/>
        <w:autoSpaceDE/>
        <w:autoSpaceDN/>
        <w:bidi w:val="0"/>
        <w:adjustRightInd/>
        <w:snapToGrid/>
        <w:spacing w:line="480" w:lineRule="exact"/>
        <w:ind w:firstLine="560" w:firstLineChars="200"/>
        <w:jc w:val="left"/>
        <w:textAlignment w:val="center"/>
        <w:rPr>
          <w:rFonts w:hint="eastAsia" w:ascii="仿宋_GB2312" w:hAnsi="宋体" w:eastAsia="仿宋_GB2312" w:cs="仿宋_GB2312"/>
          <w:i w:val="0"/>
          <w:iCs w:val="0"/>
          <w:color w:val="auto"/>
          <w:kern w:val="0"/>
          <w:sz w:val="28"/>
          <w:szCs w:val="28"/>
          <w:u w:val="none"/>
          <w:lang w:val="en-US" w:eastAsia="zh-CN" w:bidi="ar"/>
        </w:rPr>
      </w:pPr>
      <w:r>
        <w:rPr>
          <w:rFonts w:hint="eastAsia" w:ascii="仿宋_GB2312" w:hAnsi="宋体" w:eastAsia="仿宋_GB2312" w:cs="仿宋_GB2312"/>
          <w:i w:val="0"/>
          <w:iCs w:val="0"/>
          <w:color w:val="auto"/>
          <w:kern w:val="0"/>
          <w:sz w:val="28"/>
          <w:szCs w:val="28"/>
          <w:highlight w:val="none"/>
          <w:u w:val="none"/>
          <w:lang w:val="en-US" w:eastAsia="zh-CN" w:bidi="ar"/>
        </w:rPr>
        <w:t>备注：相关紧缺护理专业护士包括：老年护理、儿科护理、重症</w:t>
      </w:r>
      <w:r>
        <w:rPr>
          <w:rFonts w:hint="eastAsia" w:ascii="仿宋_GB2312" w:hAnsi="宋体" w:eastAsia="仿宋_GB2312" w:cs="仿宋_GB2312"/>
          <w:i w:val="0"/>
          <w:iCs w:val="0"/>
          <w:color w:val="auto"/>
          <w:kern w:val="0"/>
          <w:sz w:val="28"/>
          <w:szCs w:val="28"/>
          <w:u w:val="none"/>
          <w:lang w:val="en-US" w:eastAsia="zh-CN" w:bidi="ar"/>
        </w:rPr>
        <w:t>监护、传染病护理、急诊急救、康复护理、中医护理专业护士。</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jc w:val="both"/>
        <w:textAlignment w:val="auto"/>
        <w:outlineLvl w:val="0"/>
        <w:rPr>
          <w:rFonts w:ascii="Times New Roman" w:hAnsi="Times New Roman" w:eastAsia="黑体" w:cs="Times New Roman"/>
          <w:bCs/>
          <w:snapToGrid w:val="0"/>
          <w:color w:val="auto"/>
          <w:sz w:val="32"/>
          <w:szCs w:val="44"/>
          <w:lang w:val="en-US" w:eastAsia="zh-CN" w:bidi="ar-SA"/>
        </w:rPr>
      </w:pPr>
      <w:bookmarkStart w:id="21" w:name="_Hlk68760945"/>
      <w:r>
        <w:rPr>
          <w:rFonts w:ascii="Times New Roman" w:hAnsi="Times New Roman" w:eastAsia="黑体" w:cs="Times New Roman"/>
          <w:bCs/>
          <w:snapToGrid w:val="0"/>
          <w:color w:val="auto"/>
          <w:sz w:val="32"/>
          <w:szCs w:val="44"/>
          <w:lang w:val="en-US" w:eastAsia="zh-CN" w:bidi="ar-SA"/>
        </w:rPr>
        <w:t>四、重点任务</w:t>
      </w:r>
    </w:p>
    <w:bookmarkEnd w:id="21"/>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（一）完善护理服务体系</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580" w:lineRule="exact"/>
        <w:ind w:leftChars="0" w:right="0" w:firstLine="643"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snapToGrid w:val="0"/>
          <w:color w:val="auto"/>
          <w:kern w:val="0"/>
          <w:sz w:val="32"/>
          <w:szCs w:val="22"/>
        </w:rPr>
        <w:t>1.优化</w:t>
      </w:r>
      <w:r>
        <w:rPr>
          <w:rFonts w:hint="eastAsia" w:ascii="仿宋_GB2312" w:hAnsi="仿宋_GB2312" w:eastAsia="仿宋_GB2312" w:cs="仿宋_GB2312"/>
          <w:b/>
          <w:bCs/>
          <w:snapToGrid w:val="0"/>
          <w:color w:val="auto"/>
          <w:kern w:val="0"/>
          <w:sz w:val="32"/>
          <w:szCs w:val="22"/>
          <w:lang w:val="en-US" w:eastAsia="zh-CN"/>
        </w:rPr>
        <w:t>护理</w:t>
      </w:r>
      <w:r>
        <w:rPr>
          <w:rFonts w:hint="eastAsia" w:ascii="仿宋_GB2312" w:hAnsi="仿宋_GB2312" w:eastAsia="仿宋_GB2312" w:cs="仿宋_GB2312"/>
          <w:b/>
          <w:bCs/>
          <w:snapToGrid w:val="0"/>
          <w:color w:val="auto"/>
          <w:kern w:val="0"/>
          <w:sz w:val="32"/>
          <w:szCs w:val="22"/>
        </w:rPr>
        <w:t>资源布局。</w:t>
      </w:r>
      <w:r>
        <w:rPr>
          <w:rFonts w:hint="eastAsia" w:ascii="仿宋_GB2312" w:hAnsi="仿宋_GB2312" w:eastAsia="仿宋_GB2312" w:cs="仿宋_GB2312"/>
          <w:snapToGrid w:val="0"/>
          <w:color w:val="auto"/>
          <w:kern w:val="0"/>
          <w:sz w:val="32"/>
          <w:szCs w:val="22"/>
        </w:rPr>
        <w:t>结合我市人口结构变化、疾病谱特点和群众医疗护理服务需求，健全覆盖急性期诊疗、慢性期康复、稳定期照护、终末期关怀的护理服务体系。</w:t>
      </w:r>
      <w:r>
        <w:rPr>
          <w:rFonts w:hint="eastAsia" w:ascii="仿宋_GB2312" w:hAnsi="仿宋_GB2312" w:eastAsia="仿宋_GB2312" w:cs="仿宋_GB2312"/>
          <w:color w:val="auto"/>
          <w:kern w:val="2"/>
          <w:sz w:val="32"/>
          <w:szCs w:val="32"/>
          <w:lang w:val="en-US" w:eastAsia="zh-CN" w:bidi="ar-SA"/>
        </w:rPr>
        <w:t>切实发挥大型医院优质护理资源的引领带动作用，依托当地综合实力强、护理学科水平高的三级医院，通过组建城市医联体、县域医共体、专科联盟等形式，健全完善不同医疗机构之间定位明确、分工协作的护理服务体系。不同医疗机构结合功能定位按需分类提供专业、规范的护理服务。三级医院主要提供疑难、急危重症患者护理，加强护理学科建设和人才培养；二级医院主要提供常见病、多发病护理；护理院、护理中心、康复医疗中心、安宁疗护中心、基层医疗机构等主要提供老年护理、康复护理、长期照护、安宁疗护等服务。</w:t>
      </w:r>
    </w:p>
    <w:p>
      <w:pPr>
        <w:keepNext w:val="0"/>
        <w:keepLines w:val="0"/>
        <w:pageBreakBefore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snapToGrid w:val="0"/>
          <w:color w:val="auto"/>
          <w:kern w:val="0"/>
          <w:sz w:val="32"/>
          <w:szCs w:val="22"/>
        </w:rPr>
      </w:pPr>
      <w:r>
        <w:rPr>
          <w:rFonts w:hint="eastAsia" w:ascii="仿宋_GB2312" w:hAnsi="仿宋_GB2312" w:eastAsia="仿宋_GB2312" w:cs="仿宋_GB2312"/>
          <w:b/>
          <w:bCs/>
          <w:snapToGrid w:val="0"/>
          <w:color w:val="auto"/>
          <w:kern w:val="0"/>
          <w:sz w:val="32"/>
          <w:szCs w:val="22"/>
        </w:rPr>
        <w:t>2.增加护理服务资源。</w:t>
      </w:r>
      <w:r>
        <w:rPr>
          <w:rFonts w:hint="eastAsia" w:ascii="仿宋_GB2312" w:hAnsi="仿宋_GB2312" w:eastAsia="仿宋_GB2312" w:cs="仿宋_GB2312"/>
          <w:b w:val="0"/>
          <w:bCs w:val="0"/>
          <w:color w:val="auto"/>
          <w:kern w:val="2"/>
          <w:sz w:val="32"/>
          <w:szCs w:val="32"/>
          <w:lang w:val="en-US" w:eastAsia="zh-CN" w:bidi="ar-SA"/>
        </w:rPr>
        <w:t>推动</w:t>
      </w:r>
      <w:r>
        <w:rPr>
          <w:rFonts w:hint="eastAsia" w:ascii="仿宋_GB2312" w:hAnsi="仿宋_GB2312" w:eastAsia="仿宋_GB2312" w:cs="仿宋_GB2312"/>
          <w:color w:val="auto"/>
          <w:kern w:val="2"/>
          <w:sz w:val="32"/>
          <w:szCs w:val="32"/>
          <w:lang w:val="en-US" w:eastAsia="zh-CN" w:bidi="ar-SA"/>
        </w:rPr>
        <w:t>医疗资源丰富地区盘活资源，将部分一级、二级医院转型为护理院、护理中心等。健全完善社会办医政策措施，支持社会力量在医疗资源薄弱区域和康复、护理、精神卫生等短缺领域举办非营利性医疗机构，支持和引导社会力量举办规模化、连锁化的护理院（站）、护理中心、安宁疗护中心等，进一步激发市场活力。增加基层医疗机构提供护理、安宁疗护等服务的床位数量，</w:t>
      </w:r>
      <w:r>
        <w:rPr>
          <w:rFonts w:hint="default" w:ascii="仿宋_GB2312" w:hAnsi="仿宋_GB2312" w:eastAsia="仿宋_GB2312" w:cs="仿宋_GB2312"/>
          <w:color w:val="auto"/>
          <w:kern w:val="2"/>
          <w:sz w:val="32"/>
          <w:szCs w:val="32"/>
          <w:lang w:val="en-US" w:eastAsia="zh-CN" w:bidi="ar-SA"/>
        </w:rPr>
        <w:t>促进基层医疗机构延伸护理服务至居家，开展基础护理、专项护理、康复护理等服务。</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（二）加强护士队伍建设</w:t>
      </w:r>
    </w:p>
    <w:p>
      <w:pPr>
        <w:keepNext w:val="0"/>
        <w:keepLines w:val="0"/>
        <w:pageBreakBefore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b w:val="0"/>
          <w:bCs w:val="0"/>
          <w:snapToGrid w:val="0"/>
          <w:color w:val="auto"/>
          <w:kern w:val="0"/>
          <w:sz w:val="32"/>
          <w:szCs w:val="22"/>
        </w:rPr>
      </w:pPr>
      <w:r>
        <w:rPr>
          <w:rFonts w:hint="eastAsia" w:ascii="仿宋_GB2312" w:hAnsi="仿宋_GB2312" w:eastAsia="仿宋_GB2312" w:cs="仿宋_GB2312"/>
          <w:b/>
          <w:bCs/>
          <w:snapToGrid w:val="0"/>
          <w:color w:val="auto"/>
          <w:kern w:val="0"/>
          <w:sz w:val="32"/>
          <w:szCs w:val="22"/>
        </w:rPr>
        <w:t>1.</w:t>
      </w:r>
      <w:r>
        <w:rPr>
          <w:rFonts w:hint="eastAsia" w:ascii="仿宋_GB2312" w:hAnsi="仿宋_GB2312" w:eastAsia="仿宋_GB2312" w:cs="仿宋_GB2312"/>
          <w:b/>
          <w:bCs/>
          <w:snapToGrid w:val="0"/>
          <w:color w:val="auto"/>
          <w:kern w:val="0"/>
          <w:sz w:val="32"/>
          <w:szCs w:val="22"/>
          <w:lang w:val="en-US" w:eastAsia="zh-CN"/>
        </w:rPr>
        <w:t>持续</w:t>
      </w:r>
      <w:r>
        <w:rPr>
          <w:rFonts w:hint="eastAsia" w:ascii="仿宋_GB2312" w:hAnsi="仿宋_GB2312" w:eastAsia="仿宋_GB2312" w:cs="仿宋_GB2312"/>
          <w:b/>
          <w:bCs/>
          <w:snapToGrid w:val="0"/>
          <w:color w:val="auto"/>
          <w:kern w:val="0"/>
          <w:sz w:val="32"/>
          <w:szCs w:val="22"/>
        </w:rPr>
        <w:t>增加</w:t>
      </w:r>
      <w:r>
        <w:rPr>
          <w:rFonts w:hint="eastAsia" w:ascii="仿宋_GB2312" w:hAnsi="仿宋_GB2312" w:eastAsia="仿宋_GB2312" w:cs="仿宋_GB2312"/>
          <w:b/>
          <w:bCs/>
          <w:snapToGrid w:val="0"/>
          <w:color w:val="auto"/>
          <w:kern w:val="0"/>
          <w:sz w:val="32"/>
          <w:szCs w:val="22"/>
          <w:lang w:eastAsia="zh-CN"/>
        </w:rPr>
        <w:t>注册</w:t>
      </w:r>
      <w:r>
        <w:rPr>
          <w:rFonts w:hint="eastAsia" w:ascii="仿宋_GB2312" w:hAnsi="仿宋_GB2312" w:eastAsia="仿宋_GB2312" w:cs="仿宋_GB2312"/>
          <w:b/>
          <w:bCs/>
          <w:snapToGrid w:val="0"/>
          <w:color w:val="auto"/>
          <w:kern w:val="0"/>
          <w:sz w:val="32"/>
          <w:szCs w:val="22"/>
        </w:rPr>
        <w:t>护士数量。</w:t>
      </w:r>
      <w:r>
        <w:rPr>
          <w:rFonts w:hint="eastAsia" w:ascii="仿宋_GB2312" w:hAnsi="仿宋_GB2312" w:eastAsia="仿宋_GB2312" w:cs="仿宋_GB2312"/>
          <w:snapToGrid w:val="0"/>
          <w:color w:val="auto"/>
          <w:kern w:val="0"/>
          <w:sz w:val="32"/>
          <w:szCs w:val="22"/>
        </w:rPr>
        <w:t>采取有效措施增加护士队伍数量，特别是从事老年护理、社区护理、传染病护理</w:t>
      </w:r>
      <w:r>
        <w:rPr>
          <w:rFonts w:hint="eastAsia" w:ascii="仿宋_GB2312" w:hAnsi="仿宋_GB2312" w:eastAsia="仿宋_GB2312" w:cs="仿宋_GB2312"/>
          <w:snapToGrid w:val="0"/>
          <w:color w:val="auto"/>
          <w:kern w:val="0"/>
          <w:sz w:val="32"/>
          <w:szCs w:val="22"/>
          <w:lang w:eastAsia="zh-CN"/>
        </w:rPr>
        <w:t>、</w:t>
      </w:r>
      <w:r>
        <w:rPr>
          <w:rFonts w:hint="eastAsia" w:ascii="仿宋_GB2312" w:hAnsi="仿宋_GB2312" w:eastAsia="仿宋_GB2312" w:cs="仿宋_GB2312"/>
          <w:snapToGrid w:val="0"/>
          <w:color w:val="auto"/>
          <w:kern w:val="0"/>
          <w:sz w:val="32"/>
          <w:szCs w:val="22"/>
        </w:rPr>
        <w:t>安宁疗护</w:t>
      </w:r>
      <w:r>
        <w:rPr>
          <w:rFonts w:hint="eastAsia" w:ascii="仿宋_GB2312" w:hAnsi="仿宋_GB2312" w:eastAsia="仿宋_GB2312" w:cs="仿宋_GB2312"/>
          <w:snapToGrid w:val="0"/>
          <w:color w:val="auto"/>
          <w:kern w:val="0"/>
          <w:sz w:val="32"/>
          <w:szCs w:val="22"/>
          <w:lang w:eastAsia="zh-CN"/>
        </w:rPr>
        <w:t>和</w:t>
      </w:r>
      <w:r>
        <w:rPr>
          <w:rFonts w:hint="eastAsia" w:ascii="仿宋_GB2312" w:hAnsi="仿宋_GB2312" w:eastAsia="仿宋_GB2312" w:cs="仿宋_GB2312"/>
          <w:snapToGrid w:val="0"/>
          <w:color w:val="auto"/>
          <w:kern w:val="0"/>
          <w:sz w:val="32"/>
          <w:szCs w:val="22"/>
        </w:rPr>
        <w:t>基层医疗机构的护士数量，</w:t>
      </w:r>
      <w:r>
        <w:rPr>
          <w:rFonts w:hint="eastAsia" w:ascii="仿宋_GB2312" w:hAnsi="仿宋_GB2312" w:eastAsia="仿宋_GB2312" w:cs="仿宋_GB2312"/>
          <w:snapToGrid w:val="0"/>
          <w:color w:val="auto"/>
          <w:kern w:val="0"/>
          <w:sz w:val="32"/>
          <w:szCs w:val="22"/>
          <w:lang w:val="en-US" w:eastAsia="zh-CN"/>
        </w:rPr>
        <w:t>以及</w:t>
      </w:r>
      <w:r>
        <w:rPr>
          <w:rFonts w:hint="eastAsia" w:ascii="仿宋_GB2312" w:hAnsi="仿宋_GB2312" w:eastAsia="仿宋_GB2312" w:cs="仿宋_GB2312"/>
          <w:snapToGrid w:val="0"/>
          <w:color w:val="auto"/>
          <w:kern w:val="0"/>
          <w:sz w:val="32"/>
          <w:szCs w:val="22"/>
        </w:rPr>
        <w:t>城市社区卫生服务机构和农村乡镇卫生院的护理人员数量。医疗机构根据功能定位、服务半径、床位规模、临床工作量等增加一线护士数量，科学合理配置护士人力，满足临床工作需求。</w:t>
      </w:r>
    </w:p>
    <w:p>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snapToGrid w:val="0"/>
          <w:color w:val="auto"/>
          <w:kern w:val="0"/>
          <w:sz w:val="32"/>
          <w:szCs w:val="22"/>
          <w:lang w:val="en-US" w:eastAsia="zh-CN"/>
        </w:rPr>
      </w:pPr>
      <w:r>
        <w:rPr>
          <w:rFonts w:hint="default" w:ascii="仿宋_GB2312" w:hAnsi="仿宋_GB2312" w:eastAsia="仿宋_GB2312" w:cs="仿宋_GB2312"/>
          <w:b/>
          <w:bCs/>
          <w:snapToGrid w:val="0"/>
          <w:color w:val="auto"/>
          <w:kern w:val="0"/>
          <w:sz w:val="32"/>
          <w:szCs w:val="22"/>
          <w:lang w:val="en-US" w:eastAsia="zh-CN"/>
        </w:rPr>
        <w:t>2</w:t>
      </w:r>
      <w:r>
        <w:rPr>
          <w:rFonts w:hint="eastAsia" w:ascii="仿宋_GB2312" w:hAnsi="仿宋_GB2312" w:eastAsia="仿宋_GB2312" w:cs="仿宋_GB2312"/>
          <w:b/>
          <w:bCs/>
          <w:snapToGrid w:val="0"/>
          <w:color w:val="auto"/>
          <w:kern w:val="0"/>
          <w:sz w:val="32"/>
          <w:szCs w:val="22"/>
          <w:lang w:val="en-US" w:eastAsia="zh-CN"/>
        </w:rPr>
        <w:t>.加强护士培养培训。</w:t>
      </w:r>
      <w:r>
        <w:rPr>
          <w:rFonts w:hint="eastAsia" w:ascii="仿宋_GB2312" w:hAnsi="仿宋_GB2312" w:eastAsia="仿宋_GB2312" w:cs="仿宋_GB2312"/>
          <w:snapToGrid w:val="0"/>
          <w:color w:val="auto"/>
          <w:kern w:val="0"/>
          <w:sz w:val="32"/>
          <w:szCs w:val="22"/>
          <w:lang w:val="en-US" w:eastAsia="zh-CN"/>
        </w:rPr>
        <w:t>建立以岗位需求为导向、以岗位胜任力为核心的护士培训制度。完善护士分层培训体系，加强“三基三严”培训，强化新入职护士的岗前及规范化培训，加强骨干护士、专科护士、护理管理、科研创新等人员岗位胜任力培训，有针对性地开展老年、儿科、传染病等紧缺护理专业护士的培训，鼓励在职护士提升学历层次、职称等级。扩大专科护士培养的规模和范围，健全专科护士管理体系，探索专科护士职业发展路径。</w:t>
      </w:r>
    </w:p>
    <w:tbl>
      <w:tblPr>
        <w:tblStyle w:val="9"/>
        <w:tblpPr w:leftFromText="180" w:rightFromText="180" w:vertAnchor="text" w:horzAnchor="page" w:tblpX="1579" w:tblpY="5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79" w:type="dxa"/>
          </w:tcPr>
          <w:p>
            <w:pPr>
              <w:keepNext w:val="0"/>
              <w:keepLines w:val="0"/>
              <w:pageBreakBefore w:val="0"/>
              <w:widowControl w:val="0"/>
              <w:kinsoku/>
              <w:wordWrap/>
              <w:overflowPunct/>
              <w:topLinePunct w:val="0"/>
              <w:autoSpaceDE/>
              <w:autoSpaceDN/>
              <w:bidi w:val="0"/>
              <w:adjustRightInd/>
              <w:snapToGrid w:val="0"/>
              <w:spacing w:line="570" w:lineRule="exact"/>
              <w:ind w:firstLine="1928" w:firstLineChars="600"/>
              <w:textAlignment w:val="auto"/>
              <w:rPr>
                <w:rFonts w:hint="eastAsia" w:ascii="仿宋_GB2312" w:hAnsi="仿宋_GB2312" w:eastAsia="仿宋_GB2312" w:cs="仿宋_GB2312"/>
                <w:b/>
                <w:bCs/>
                <w:snapToGrid w:val="0"/>
                <w:color w:val="auto"/>
                <w:kern w:val="0"/>
                <w:sz w:val="32"/>
                <w:szCs w:val="22"/>
                <w:vertAlign w:val="baseline"/>
                <w:lang w:val="en-US" w:eastAsia="zh-CN"/>
              </w:rPr>
            </w:pPr>
            <w:r>
              <w:rPr>
                <w:rFonts w:hint="eastAsia" w:ascii="仿宋_GB2312" w:hAnsi="仿宋_GB2312" w:eastAsia="仿宋_GB2312" w:cs="仿宋_GB2312"/>
                <w:b/>
                <w:bCs/>
                <w:snapToGrid w:val="0"/>
                <w:color w:val="auto"/>
                <w:kern w:val="0"/>
                <w:sz w:val="32"/>
                <w:szCs w:val="22"/>
                <w:vertAlign w:val="baseline"/>
                <w:lang w:val="en-US" w:eastAsia="zh-CN"/>
              </w:rPr>
              <w:t>专栏2  护士服务能力培训行动</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jc w:val="both"/>
              <w:textAlignment w:val="auto"/>
              <w:rPr>
                <w:rFonts w:hint="eastAsia" w:ascii="仿宋_GB2312" w:hAnsi="仿宋_GB2312" w:eastAsia="仿宋_GB2312" w:cs="仿宋_GB2312"/>
                <w:snapToGrid w:val="0"/>
                <w:color w:val="auto"/>
                <w:kern w:val="0"/>
                <w:sz w:val="32"/>
                <w:szCs w:val="22"/>
                <w:vertAlign w:val="baseline"/>
                <w:lang w:val="en-US" w:eastAsia="zh-CN"/>
              </w:rPr>
            </w:pPr>
            <w:r>
              <w:rPr>
                <w:rFonts w:hint="eastAsia" w:ascii="仿宋_GB2312" w:hAnsi="仿宋_GB2312" w:eastAsia="仿宋_GB2312" w:cs="仿宋_GB2312"/>
                <w:snapToGrid w:val="0"/>
                <w:color w:val="auto"/>
                <w:kern w:val="0"/>
                <w:sz w:val="32"/>
                <w:szCs w:val="22"/>
                <w:vertAlign w:val="baseline"/>
                <w:lang w:val="en-US" w:eastAsia="zh-CN"/>
              </w:rPr>
              <w:t>老年护理专业护士培训。按照《老年护理专业护士培训大纲（试行）》，加强对医疗机构特别是二级医院、护理院（站）、护理中心以及基层医疗机构从事老年护理工作的护士开展培训。预计到2025年，全市老年护理专业护士参加培训比例不低于90%。</w:t>
            </w:r>
          </w:p>
          <w:p>
            <w:pPr>
              <w:keepNext w:val="0"/>
              <w:keepLines w:val="0"/>
              <w:pageBreakBefore w:val="0"/>
              <w:widowControl w:val="0"/>
              <w:kinsoku/>
              <w:wordWrap/>
              <w:overflowPunct/>
              <w:topLinePunct w:val="0"/>
              <w:autoSpaceDE/>
              <w:autoSpaceDN/>
              <w:bidi w:val="0"/>
              <w:adjustRightInd/>
              <w:snapToGrid w:val="0"/>
              <w:spacing w:line="570" w:lineRule="exact"/>
              <w:ind w:firstLine="480" w:firstLineChars="150"/>
              <w:textAlignment w:val="auto"/>
              <w:rPr>
                <w:rFonts w:hint="eastAsia" w:ascii="仿宋_GB2312" w:hAnsi="仿宋_GB2312" w:eastAsia="仿宋_GB2312" w:cs="仿宋_GB2312"/>
                <w:snapToGrid w:val="0"/>
                <w:color w:val="auto"/>
                <w:kern w:val="0"/>
                <w:sz w:val="32"/>
                <w:szCs w:val="22"/>
                <w:vertAlign w:val="baseline"/>
                <w:lang w:val="en-US" w:eastAsia="zh-CN"/>
              </w:rPr>
            </w:pPr>
            <w:r>
              <w:rPr>
                <w:rFonts w:hint="eastAsia" w:ascii="仿宋_GB2312" w:hAnsi="仿宋_GB2312" w:eastAsia="仿宋_GB2312" w:cs="仿宋_GB2312"/>
                <w:snapToGrid w:val="0"/>
                <w:color w:val="auto"/>
                <w:kern w:val="0"/>
                <w:sz w:val="32"/>
                <w:szCs w:val="22"/>
                <w:vertAlign w:val="baseline"/>
                <w:lang w:val="en-US" w:eastAsia="zh-CN"/>
              </w:rPr>
              <w:t xml:space="preserve"> 其他紧缺护理专业护士培训。健全完善专业护士培训制度及方案，加强儿科护理、重症监护、传染护理、康复护理、急诊急救等紧缺护理专业护士岗位培训，提升护理专科技术水平，补齐紧缺护理专业护士培训短板。预计到2025年，上述专业护士参加培训比例不低于90%。</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仿宋_GB2312" w:hAnsi="仿宋_GB2312" w:eastAsia="仿宋_GB2312" w:cs="仿宋_GB2312"/>
                <w:snapToGrid w:val="0"/>
                <w:color w:val="auto"/>
                <w:kern w:val="0"/>
                <w:sz w:val="32"/>
                <w:szCs w:val="22"/>
                <w:vertAlign w:val="baseline"/>
                <w:lang w:val="en-US" w:eastAsia="zh-CN"/>
              </w:rPr>
            </w:pPr>
            <w:r>
              <w:rPr>
                <w:rFonts w:hint="eastAsia" w:ascii="仿宋_GB2312" w:hAnsi="仿宋_GB2312" w:eastAsia="仿宋_GB2312" w:cs="仿宋_GB2312"/>
                <w:snapToGrid w:val="0"/>
                <w:color w:val="auto"/>
                <w:kern w:val="0"/>
                <w:sz w:val="32"/>
                <w:szCs w:val="22"/>
                <w:vertAlign w:val="baseline"/>
                <w:lang w:val="en-US" w:eastAsia="zh-CN"/>
              </w:rPr>
              <w:t>新入职护士培训。《按照新入职护士培训大纲（试行）》，加强开展全市新入职护士培训，提升新入职护士岗位胜任能力。预计到2025年，所有三级综合医院健全新入职护士培训机制，参加培训人员比例不低于90%。</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仿宋_GB2312" w:hAnsi="仿宋_GB2312" w:eastAsia="仿宋_GB2312" w:cs="仿宋_GB2312"/>
                <w:snapToGrid w:val="0"/>
                <w:color w:val="auto"/>
                <w:kern w:val="0"/>
                <w:sz w:val="32"/>
                <w:szCs w:val="22"/>
                <w:vertAlign w:val="baseline"/>
                <w:lang w:val="en-US" w:eastAsia="zh-CN"/>
              </w:rPr>
            </w:pPr>
            <w:r>
              <w:rPr>
                <w:rFonts w:hint="eastAsia" w:ascii="仿宋_GB2312" w:hAnsi="仿宋_GB2312" w:eastAsia="仿宋_GB2312" w:cs="仿宋_GB2312"/>
                <w:snapToGrid w:val="0"/>
                <w:color w:val="auto"/>
                <w:kern w:val="0"/>
                <w:sz w:val="32"/>
                <w:szCs w:val="22"/>
                <w:vertAlign w:val="baseline"/>
                <w:lang w:val="en-US" w:eastAsia="zh-CN"/>
              </w:rPr>
              <w:t>护士分层级培训。医疗机构要结合护理工作特点，以提升护士临床护理服务能力和专业技术水平为主要目标，加强临床护士“三基三严”培训。同时，结合工作年限、职称、学历和岗位等，对护士进行合理分层，有针对性的开展护士分层级岗位培训，提升各层级护士岗位胜任力。</w:t>
            </w:r>
          </w:p>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default" w:ascii="仿宋_GB2312" w:hAnsi="仿宋_GB2312" w:eastAsia="仿宋_GB2312" w:cs="仿宋_GB2312"/>
                <w:snapToGrid w:val="0"/>
                <w:color w:val="auto"/>
                <w:kern w:val="0"/>
                <w:sz w:val="32"/>
                <w:szCs w:val="22"/>
                <w:vertAlign w:val="baseline"/>
                <w:lang w:val="en-US" w:eastAsia="zh-CN"/>
              </w:rPr>
            </w:pPr>
            <w:r>
              <w:rPr>
                <w:rFonts w:hint="eastAsia" w:ascii="仿宋_GB2312" w:hAnsi="仿宋_GB2312" w:eastAsia="仿宋_GB2312" w:cs="仿宋_GB2312"/>
                <w:snapToGrid w:val="0"/>
                <w:color w:val="auto"/>
                <w:kern w:val="0"/>
                <w:sz w:val="32"/>
                <w:szCs w:val="22"/>
                <w:vertAlign w:val="baseline"/>
                <w:lang w:val="en-US" w:eastAsia="zh-CN"/>
              </w:rPr>
              <w:t>护理管理人员培训。加强护理管理人员培训，加大培训投入力度。有针对性地分别对医疗机构护理管理人员、病区的护理管理人员开展岗位培训，提升护理理念和管理方法，适应现代化医院管理要求。预计到2025年，各县（市、区）护理管理人员参加培训比例不低于90%。</w:t>
            </w:r>
          </w:p>
        </w:tc>
      </w:tr>
    </w:tbl>
    <w:p>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仿宋_GB2312" w:hAnsi="仿宋_GB2312" w:eastAsia="仿宋_GB2312" w:cs="仿宋_GB2312"/>
          <w:snapToGrid w:val="0"/>
          <w:color w:val="auto"/>
          <w:kern w:val="0"/>
          <w:sz w:val="32"/>
          <w:szCs w:val="22"/>
          <w:lang w:val="en-US" w:eastAsia="zh-CN"/>
        </w:rPr>
      </w:pPr>
    </w:p>
    <w:p>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eastAsia" w:ascii="仿宋_GB2312" w:hAnsi="仿宋_GB2312" w:eastAsia="仿宋_GB2312" w:cs="仿宋_GB2312"/>
          <w:b w:val="0"/>
          <w:bCs w:val="0"/>
          <w:snapToGrid w:val="0"/>
          <w:color w:val="auto"/>
          <w:kern w:val="0"/>
          <w:sz w:val="32"/>
          <w:szCs w:val="22"/>
          <w:lang w:val="en-US" w:eastAsia="zh-CN"/>
        </w:rPr>
      </w:pPr>
      <w:r>
        <w:rPr>
          <w:rFonts w:hint="default" w:ascii="仿宋" w:hAnsi="仿宋" w:eastAsia="仿宋" w:cs="仿宋"/>
          <w:b/>
          <w:bCs/>
          <w:color w:val="auto"/>
          <w:kern w:val="2"/>
          <w:sz w:val="32"/>
          <w:szCs w:val="32"/>
          <w:highlight w:val="none"/>
          <w:lang w:val="en-US" w:eastAsia="zh-CN" w:bidi="ar-SA"/>
        </w:rPr>
        <w:t>3</w:t>
      </w:r>
      <w:r>
        <w:rPr>
          <w:rFonts w:hint="eastAsia" w:ascii="仿宋" w:hAnsi="仿宋" w:eastAsia="仿宋" w:cs="仿宋"/>
          <w:b/>
          <w:bCs/>
          <w:color w:val="auto"/>
          <w:kern w:val="2"/>
          <w:sz w:val="32"/>
          <w:szCs w:val="32"/>
          <w:highlight w:val="none"/>
          <w:lang w:val="en-US" w:eastAsia="zh-CN" w:bidi="ar-SA"/>
        </w:rPr>
        <w:t>.拓宽护士职业路径。</w:t>
      </w:r>
      <w:r>
        <w:rPr>
          <w:rFonts w:hint="eastAsia" w:ascii="仿宋_GB2312" w:hAnsi="仿宋_GB2312" w:eastAsia="仿宋_GB2312" w:cs="仿宋_GB2312"/>
          <w:snapToGrid w:val="0"/>
          <w:color w:val="auto"/>
          <w:kern w:val="0"/>
          <w:sz w:val="32"/>
          <w:szCs w:val="22"/>
          <w:lang w:val="en-US" w:eastAsia="zh-CN"/>
        </w:rPr>
        <w:t>从护理工作实际和护理专业人才发展出发，以社会和群众健康需求为导向，拓宽以临床护理服务水平、质量和工作业绩为导向的护士职业发展路径。逐步完善护士执业管理制度，拓宽护士职业发展空间，让护士在疾病预防、医疗护理、老年护理、健康管理等多方面充分发挥作用，促进护士职业发展。</w:t>
      </w:r>
    </w:p>
    <w:p>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default" w:ascii="仿宋" w:hAnsi="仿宋" w:eastAsia="仿宋" w:cs="仿宋"/>
          <w:b/>
          <w:bCs/>
          <w:color w:val="auto"/>
          <w:kern w:val="2"/>
          <w:sz w:val="32"/>
          <w:szCs w:val="32"/>
          <w:highlight w:val="none"/>
          <w:lang w:val="en-US" w:eastAsia="zh-CN" w:bidi="ar-SA"/>
        </w:rPr>
        <w:t>4</w:t>
      </w:r>
      <w:r>
        <w:rPr>
          <w:rFonts w:hint="eastAsia" w:ascii="仿宋" w:hAnsi="仿宋" w:eastAsia="仿宋" w:cs="仿宋"/>
          <w:b/>
          <w:bCs/>
          <w:color w:val="auto"/>
          <w:kern w:val="2"/>
          <w:sz w:val="32"/>
          <w:szCs w:val="32"/>
          <w:highlight w:val="none"/>
          <w:lang w:val="en-US" w:eastAsia="zh-CN" w:bidi="ar-SA"/>
        </w:rPr>
        <w:t>.保障护士合法权益。</w:t>
      </w:r>
      <w:r>
        <w:rPr>
          <w:rFonts w:hint="eastAsia" w:ascii="仿宋_GB2312" w:hAnsi="仿宋_GB2312" w:eastAsia="仿宋_GB2312" w:cs="仿宋_GB2312"/>
          <w:snapToGrid w:val="0"/>
          <w:color w:val="auto"/>
          <w:kern w:val="0"/>
          <w:sz w:val="32"/>
          <w:szCs w:val="22"/>
          <w:lang w:val="en-US" w:eastAsia="zh-CN"/>
        </w:rPr>
        <w:t>进一步贯彻落实《中华人民共和国基本医疗卫生与健康促进法》《护士条例》等法律法规，</w:t>
      </w:r>
      <w:r>
        <w:rPr>
          <w:rFonts w:hint="default" w:ascii="仿宋_GB2312" w:hAnsi="仿宋_GB2312" w:eastAsia="仿宋_GB2312" w:cs="仿宋_GB2312"/>
          <w:snapToGrid w:val="0"/>
          <w:color w:val="auto"/>
          <w:kern w:val="0"/>
          <w:sz w:val="32"/>
          <w:szCs w:val="22"/>
          <w:lang w:eastAsia="zh-CN"/>
        </w:rPr>
        <w:t>结合</w:t>
      </w:r>
      <w:r>
        <w:rPr>
          <w:rFonts w:hint="eastAsia" w:ascii="仿宋_GB2312" w:hAnsi="仿宋_GB2312" w:eastAsia="仿宋_GB2312" w:cs="仿宋_GB2312"/>
          <w:snapToGrid w:val="0"/>
          <w:color w:val="auto"/>
          <w:kern w:val="0"/>
          <w:sz w:val="32"/>
          <w:szCs w:val="22"/>
          <w:lang w:val="en-US" w:eastAsia="zh-CN"/>
        </w:rPr>
        <w:t>国家、省</w:t>
      </w:r>
      <w:r>
        <w:rPr>
          <w:rFonts w:hint="default" w:ascii="仿宋_GB2312" w:hAnsi="仿宋_GB2312" w:eastAsia="仿宋_GB2312" w:cs="仿宋_GB2312"/>
          <w:snapToGrid w:val="0"/>
          <w:color w:val="auto"/>
          <w:kern w:val="0"/>
          <w:sz w:val="32"/>
          <w:szCs w:val="22"/>
          <w:lang w:val="en-US" w:eastAsia="zh-CN"/>
        </w:rPr>
        <w:t>、市</w:t>
      </w:r>
      <w:r>
        <w:rPr>
          <w:rFonts w:hint="eastAsia" w:ascii="仿宋_GB2312" w:hAnsi="仿宋_GB2312" w:eastAsia="仿宋_GB2312" w:cs="仿宋_GB2312"/>
          <w:snapToGrid w:val="0"/>
          <w:color w:val="auto"/>
          <w:kern w:val="0"/>
          <w:sz w:val="32"/>
          <w:szCs w:val="22"/>
          <w:lang w:val="en-US" w:eastAsia="zh-CN"/>
        </w:rPr>
        <w:t>关于关心关爱医护人员的要求，在护士执业环境、薪酬待遇、培养培训、专业发展等方面创造</w:t>
      </w:r>
      <w:r>
        <w:rPr>
          <w:rFonts w:hint="default" w:ascii="仿宋_GB2312" w:hAnsi="仿宋_GB2312" w:eastAsia="仿宋_GB2312" w:cs="仿宋_GB2312"/>
          <w:snapToGrid w:val="0"/>
          <w:color w:val="auto"/>
          <w:kern w:val="0"/>
          <w:sz w:val="32"/>
          <w:szCs w:val="22"/>
          <w:lang w:eastAsia="zh-CN"/>
        </w:rPr>
        <w:t>更好的</w:t>
      </w:r>
      <w:r>
        <w:rPr>
          <w:rFonts w:hint="default" w:ascii="仿宋_GB2312" w:hAnsi="仿宋_GB2312" w:eastAsia="仿宋_GB2312" w:cs="仿宋_GB2312"/>
          <w:snapToGrid w:val="0"/>
          <w:color w:val="auto"/>
          <w:kern w:val="0"/>
          <w:sz w:val="32"/>
          <w:szCs w:val="22"/>
          <w:highlight w:val="none"/>
          <w:lang w:eastAsia="zh-CN"/>
        </w:rPr>
        <w:t>干事创业环境</w:t>
      </w:r>
      <w:r>
        <w:rPr>
          <w:rFonts w:hint="eastAsia" w:ascii="仿宋_GB2312" w:hAnsi="仿宋_GB2312" w:eastAsia="仿宋_GB2312" w:cs="仿宋_GB2312"/>
          <w:snapToGrid w:val="0"/>
          <w:color w:val="auto"/>
          <w:kern w:val="0"/>
          <w:sz w:val="32"/>
          <w:szCs w:val="22"/>
          <w:lang w:val="en-US" w:eastAsia="zh-CN"/>
        </w:rPr>
        <w:t>。医疗机构为护士提供必要的卫生防护和医疗保健措施，有效预防和减少护士在职业环境中可能受到的危害，切实维护和保障护士合法权益。</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（三）持续提高护理服务质量</w:t>
      </w:r>
    </w:p>
    <w:p>
      <w:pPr>
        <w:keepNext w:val="0"/>
        <w:keepLines w:val="0"/>
        <w:pageBreakBefore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color w:val="auto"/>
          <w:kern w:val="2"/>
          <w:sz w:val="32"/>
          <w:szCs w:val="32"/>
          <w:lang w:val="en-US" w:eastAsia="zh-CN" w:bidi="ar-SA"/>
        </w:rPr>
      </w:pPr>
      <w:bookmarkStart w:id="22" w:name="_Hlk55052785"/>
      <w:r>
        <w:rPr>
          <w:rFonts w:hint="eastAsia" w:ascii="仿宋_GB2312" w:hAnsi="仿宋_GB2312" w:eastAsia="仿宋_GB2312" w:cs="仿宋_GB2312"/>
          <w:b/>
          <w:bCs/>
          <w:snapToGrid w:val="0"/>
          <w:color w:val="auto"/>
          <w:kern w:val="0"/>
          <w:sz w:val="32"/>
          <w:szCs w:val="22"/>
        </w:rPr>
        <w:t>1.</w:t>
      </w:r>
      <w:r>
        <w:rPr>
          <w:rFonts w:hint="eastAsia" w:ascii="仿宋" w:hAnsi="仿宋" w:eastAsia="仿宋" w:cs="仿宋"/>
          <w:b/>
          <w:bCs/>
          <w:color w:val="auto"/>
          <w:kern w:val="2"/>
          <w:sz w:val="32"/>
          <w:szCs w:val="32"/>
          <w:lang w:val="en-US" w:eastAsia="zh-CN" w:bidi="ar-SA"/>
        </w:rPr>
        <w:t>巩固优质护理</w:t>
      </w:r>
      <w:r>
        <w:rPr>
          <w:rFonts w:hint="eastAsia" w:ascii="仿宋_GB2312" w:hAnsi="仿宋_GB2312" w:eastAsia="仿宋_GB2312" w:cs="仿宋_GB2312"/>
          <w:b/>
          <w:bCs/>
          <w:color w:val="auto"/>
          <w:kern w:val="2"/>
          <w:sz w:val="32"/>
          <w:szCs w:val="32"/>
          <w:lang w:val="en-US" w:eastAsia="zh-CN" w:bidi="ar-SA"/>
        </w:rPr>
        <w:t>服务成效。</w:t>
      </w:r>
      <w:r>
        <w:rPr>
          <w:rFonts w:hint="eastAsia" w:ascii="仿宋_GB2312" w:hAnsi="仿宋_GB2312" w:eastAsia="仿宋_GB2312" w:cs="仿宋_GB2312"/>
          <w:snapToGrid w:val="0"/>
          <w:color w:val="auto"/>
          <w:kern w:val="0"/>
          <w:sz w:val="32"/>
          <w:szCs w:val="22"/>
          <w:lang w:val="en-US" w:eastAsia="zh-CN"/>
        </w:rPr>
        <w:t>进一步引导优质护理服务向门（急）诊、血液净化中心（室）、手术室、导管室等非住院部门延伸。</w:t>
      </w:r>
      <w:r>
        <w:rPr>
          <w:rFonts w:hint="default" w:ascii="仿宋_GB2312" w:hAnsi="仿宋_GB2312" w:eastAsia="仿宋_GB2312" w:cs="仿宋_GB2312"/>
          <w:snapToGrid w:val="0"/>
          <w:color w:val="auto"/>
          <w:kern w:val="0"/>
          <w:sz w:val="32"/>
          <w:szCs w:val="22"/>
          <w:lang w:val="en-US" w:eastAsia="zh-CN"/>
        </w:rPr>
        <w:t>巩固</w:t>
      </w:r>
      <w:r>
        <w:rPr>
          <w:rFonts w:hint="eastAsia" w:ascii="仿宋_GB2312" w:hAnsi="仿宋_GB2312" w:eastAsia="仿宋_GB2312" w:cs="仿宋_GB2312"/>
          <w:snapToGrid w:val="0"/>
          <w:color w:val="auto"/>
          <w:kern w:val="0"/>
          <w:sz w:val="32"/>
          <w:szCs w:val="22"/>
          <w:lang w:val="en-US" w:eastAsia="zh-CN"/>
        </w:rPr>
        <w:t>二级及以上医疗机构优质护理服务全覆盖</w:t>
      </w:r>
      <w:r>
        <w:rPr>
          <w:rFonts w:hint="default" w:ascii="仿宋_GB2312" w:hAnsi="仿宋_GB2312" w:eastAsia="仿宋_GB2312" w:cs="仿宋_GB2312"/>
          <w:snapToGrid w:val="0"/>
          <w:color w:val="auto"/>
          <w:kern w:val="0"/>
          <w:sz w:val="32"/>
          <w:szCs w:val="22"/>
          <w:lang w:val="en-US" w:eastAsia="zh-CN"/>
        </w:rPr>
        <w:t>成效</w:t>
      </w:r>
      <w:r>
        <w:rPr>
          <w:rFonts w:hint="eastAsia" w:ascii="仿宋_GB2312" w:hAnsi="仿宋_GB2312" w:eastAsia="仿宋_GB2312" w:cs="仿宋_GB2312"/>
          <w:snapToGrid w:val="0"/>
          <w:color w:val="auto"/>
          <w:kern w:val="0"/>
          <w:sz w:val="32"/>
          <w:szCs w:val="22"/>
          <w:lang w:val="en-US" w:eastAsia="zh-CN"/>
        </w:rPr>
        <w:t>，其他医疗机构开展优质护理服务比例显著提高。以切实解决患者问题、促进患者康复为目的，全面推进责任制整体护理，贯穿集患者生理、心理、社会、文化、精神为一体的整体护理思维，落实病情观察、基础护理、专科护理、康复护理、健康教育、出院指导等工作要求。探索</w:t>
      </w:r>
      <w:r>
        <w:rPr>
          <w:rFonts w:hint="default" w:ascii="仿宋_GB2312" w:hAnsi="仿宋_GB2312" w:eastAsia="仿宋_GB2312" w:cs="仿宋_GB2312"/>
          <w:snapToGrid w:val="0"/>
          <w:color w:val="auto"/>
          <w:kern w:val="0"/>
          <w:sz w:val="32"/>
          <w:szCs w:val="22"/>
          <w:lang w:val="en-US" w:eastAsia="zh-CN"/>
        </w:rPr>
        <w:t>推进</w:t>
      </w:r>
      <w:r>
        <w:rPr>
          <w:rFonts w:hint="eastAsia" w:ascii="仿宋_GB2312" w:hAnsi="仿宋_GB2312" w:eastAsia="仿宋_GB2312" w:cs="仿宋_GB2312"/>
          <w:snapToGrid w:val="0"/>
          <w:color w:val="auto"/>
          <w:kern w:val="0"/>
          <w:sz w:val="32"/>
          <w:szCs w:val="22"/>
          <w:lang w:val="en-US" w:eastAsia="zh-CN"/>
        </w:rPr>
        <w:t>医护一体化、多学科合作模式，优化护理服务流程，强化护理人文关怀，实现优质护理服务扩面提质，不断增强患者就医获得感。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580" w:lineRule="exact"/>
        <w:ind w:left="0" w:right="0" w:firstLine="643"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bCs/>
          <w:snapToGrid w:val="0"/>
          <w:color w:val="auto"/>
          <w:kern w:val="0"/>
          <w:sz w:val="32"/>
          <w:szCs w:val="22"/>
          <w:lang w:val="en-US" w:eastAsia="zh-CN" w:bidi="ar-SA"/>
        </w:rPr>
        <w:t>2.</w:t>
      </w:r>
      <w:r>
        <w:rPr>
          <w:rFonts w:hint="default" w:ascii="仿宋_GB2312" w:hAnsi="仿宋_GB2312" w:eastAsia="仿宋_GB2312" w:cs="仿宋_GB2312"/>
          <w:b/>
          <w:bCs/>
          <w:snapToGrid w:val="0"/>
          <w:color w:val="auto"/>
          <w:kern w:val="0"/>
          <w:sz w:val="32"/>
          <w:szCs w:val="22"/>
          <w:lang w:val="en-US" w:eastAsia="zh-CN" w:bidi="ar-SA"/>
        </w:rPr>
        <w:t>创新优质护理服务模式</w:t>
      </w:r>
      <w:r>
        <w:rPr>
          <w:rFonts w:hint="eastAsia" w:ascii="仿宋_GB2312" w:hAnsi="仿宋_GB2312" w:eastAsia="仿宋_GB2312" w:cs="仿宋_GB2312"/>
          <w:b/>
          <w:bCs/>
          <w:snapToGrid w:val="0"/>
          <w:color w:val="auto"/>
          <w:kern w:val="0"/>
          <w:sz w:val="32"/>
          <w:szCs w:val="22"/>
          <w:lang w:val="en-US" w:eastAsia="zh-CN" w:bidi="ar-SA"/>
        </w:rPr>
        <w:t>。</w:t>
      </w:r>
      <w:r>
        <w:rPr>
          <w:rFonts w:hint="eastAsia" w:ascii="仿宋_GB2312" w:hAnsi="仿宋_GB2312" w:eastAsia="仿宋_GB2312" w:cs="仿宋_GB2312"/>
          <w:b w:val="0"/>
          <w:bCs w:val="0"/>
          <w:snapToGrid w:val="0"/>
          <w:color w:val="auto"/>
          <w:kern w:val="0"/>
          <w:sz w:val="32"/>
          <w:szCs w:val="22"/>
          <w:lang w:val="en-US" w:eastAsia="zh-CN" w:bidi="ar-SA"/>
        </w:rPr>
        <w:t>结合分级诊疗要求和群众实际需求，鼓励有条件的医疗机构创新发展多元化的护理服务。三级公立医院设置入院准备中心，提供入院一站式服务，推广院前院中院后一体化服务。支持医疗机构积极提供“互联网+护理服务”、延续护理、上门护理等，将机构内护理服务延伸至社区和居家，为出院患者、生命终末期患者或行动不便、高龄体弱、失能失智老年人提供便捷、专业的医疗护理服务。</w:t>
      </w:r>
      <w:bookmarkStart w:id="23" w:name="_Hlk52178474"/>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spacing w:before="0" w:beforeAutospacing="0" w:after="0" w:afterAutospacing="0" w:line="580" w:lineRule="exact"/>
        <w:ind w:left="0" w:right="0" w:firstLine="643" w:firstLineChars="200"/>
        <w:jc w:val="both"/>
        <w:textAlignment w:val="auto"/>
        <w:rPr>
          <w:rFonts w:hint="eastAsia" w:ascii="仿宋_GB2312" w:hAnsi="仿宋_GB2312" w:eastAsia="仿宋_GB2312" w:cs="仿宋_GB2312"/>
          <w:b w:val="0"/>
          <w:bCs w:val="0"/>
          <w:snapToGrid w:val="0"/>
          <w:color w:val="auto"/>
          <w:kern w:val="0"/>
          <w:sz w:val="32"/>
          <w:szCs w:val="22"/>
          <w:lang w:val="en-US" w:eastAsia="zh-CN"/>
        </w:rPr>
      </w:pPr>
      <w:r>
        <w:rPr>
          <w:rFonts w:hint="eastAsia" w:ascii="仿宋_GB2312" w:hAnsi="仿宋_GB2312" w:eastAsia="仿宋_GB2312" w:cs="仿宋_GB2312"/>
          <w:b/>
          <w:bCs/>
          <w:snapToGrid w:val="0"/>
          <w:color w:val="auto"/>
          <w:kern w:val="0"/>
          <w:sz w:val="32"/>
          <w:szCs w:val="22"/>
          <w:lang w:val="en-US" w:eastAsia="zh-CN"/>
        </w:rPr>
        <w:t>3</w:t>
      </w:r>
      <w:r>
        <w:rPr>
          <w:rFonts w:hint="eastAsia" w:ascii="仿宋_GB2312" w:hAnsi="仿宋_GB2312" w:eastAsia="仿宋_GB2312" w:cs="仿宋_GB2312"/>
          <w:b/>
          <w:bCs/>
          <w:snapToGrid w:val="0"/>
          <w:color w:val="auto"/>
          <w:kern w:val="0"/>
          <w:sz w:val="32"/>
          <w:szCs w:val="22"/>
        </w:rPr>
        <w:t>.</w:t>
      </w:r>
      <w:r>
        <w:rPr>
          <w:rFonts w:hint="default" w:ascii="仿宋_GB2312" w:hAnsi="仿宋_GB2312" w:eastAsia="仿宋_GB2312" w:cs="仿宋_GB2312"/>
          <w:b/>
          <w:bCs/>
          <w:snapToGrid w:val="0"/>
          <w:color w:val="auto"/>
          <w:kern w:val="0"/>
          <w:sz w:val="32"/>
          <w:szCs w:val="22"/>
          <w:highlight w:val="none"/>
        </w:rPr>
        <w:t>不断</w:t>
      </w:r>
      <w:r>
        <w:rPr>
          <w:rFonts w:hint="eastAsia" w:ascii="仿宋_GB2312" w:hAnsi="仿宋_GB2312" w:eastAsia="仿宋_GB2312" w:cs="仿宋_GB2312"/>
          <w:b/>
          <w:bCs/>
          <w:snapToGrid w:val="0"/>
          <w:color w:val="auto"/>
          <w:kern w:val="0"/>
          <w:sz w:val="32"/>
          <w:szCs w:val="22"/>
          <w:lang w:val="en-US" w:eastAsia="zh-CN"/>
        </w:rPr>
        <w:t>完善</w:t>
      </w:r>
      <w:r>
        <w:rPr>
          <w:rFonts w:hint="eastAsia" w:ascii="仿宋_GB2312" w:hAnsi="仿宋_GB2312" w:eastAsia="仿宋_GB2312" w:cs="仿宋_GB2312"/>
          <w:b/>
          <w:bCs/>
          <w:snapToGrid w:val="0"/>
          <w:color w:val="auto"/>
          <w:kern w:val="0"/>
          <w:sz w:val="32"/>
          <w:szCs w:val="22"/>
        </w:rPr>
        <w:t>后勤支持系统。</w:t>
      </w:r>
      <w:r>
        <w:rPr>
          <w:rFonts w:hint="eastAsia" w:ascii="仿宋_GB2312" w:hAnsi="仿宋_GB2312" w:eastAsia="仿宋_GB2312" w:cs="仿宋_GB2312"/>
          <w:b w:val="0"/>
          <w:bCs w:val="0"/>
          <w:snapToGrid w:val="0"/>
          <w:color w:val="auto"/>
          <w:kern w:val="0"/>
          <w:sz w:val="32"/>
          <w:szCs w:val="22"/>
          <w:lang w:val="en-US" w:eastAsia="zh-CN" w:bidi="ar-SA"/>
        </w:rPr>
        <w:t>医疗机构应从人、财、物、后勤等多方位加大对护理工作的支持保障力度，完善各种临床护理辅助支持系统，通过大数据采集，逐步实现护理资源共享、服务领域拓展，提高护理服务效率和质量的同时减轻护士工作负荷，为实现护理质量持续改进、护理管理更加科学化、精细化等提供技术支撑。发挥区域信息平台纽带作用，打破信息孤岛，在防疫科普、心理疏导、远程护理会诊等领域，实现信息资源互联互通。</w:t>
      </w:r>
    </w:p>
    <w:bookmarkEnd w:id="23"/>
    <w:p>
      <w:pPr>
        <w:keepNext w:val="0"/>
        <w:keepLines w:val="0"/>
        <w:pageBreakBefore w:val="0"/>
        <w:widowControl/>
        <w:suppressLineNumbers w:val="0"/>
        <w:kinsoku/>
        <w:wordWrap/>
        <w:overflowPunct/>
        <w:topLinePunct w:val="0"/>
        <w:autoSpaceDE/>
        <w:autoSpaceDN/>
        <w:bidi w:val="0"/>
        <w:spacing w:line="580" w:lineRule="exact"/>
        <w:ind w:leftChars="0" w:firstLine="643" w:firstLineChars="200"/>
        <w:jc w:val="left"/>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b/>
          <w:bCs/>
          <w:snapToGrid w:val="0"/>
          <w:color w:val="auto"/>
          <w:kern w:val="0"/>
          <w:sz w:val="32"/>
          <w:szCs w:val="22"/>
          <w:lang w:val="en-US" w:eastAsia="zh-CN"/>
        </w:rPr>
        <w:t>4.</w:t>
      </w:r>
      <w:r>
        <w:rPr>
          <w:rFonts w:hint="eastAsia" w:ascii="仿宋_GB2312" w:hAnsi="仿宋_GB2312" w:eastAsia="仿宋_GB2312" w:cs="仿宋_GB2312"/>
          <w:b/>
          <w:bCs/>
          <w:color w:val="auto"/>
          <w:sz w:val="32"/>
          <w:szCs w:val="32"/>
          <w:highlight w:val="none"/>
          <w:lang w:val="en-US" w:eastAsia="zh-CN"/>
        </w:rPr>
        <w:t>持续</w:t>
      </w:r>
      <w:r>
        <w:rPr>
          <w:rFonts w:hint="default" w:ascii="仿宋_GB2312" w:hAnsi="仿宋_GB2312" w:eastAsia="仿宋_GB2312" w:cs="仿宋_GB2312"/>
          <w:b/>
          <w:bCs/>
          <w:color w:val="auto"/>
          <w:sz w:val="32"/>
          <w:szCs w:val="32"/>
          <w:highlight w:val="none"/>
          <w:lang w:eastAsia="zh-CN"/>
        </w:rPr>
        <w:t>提升</w:t>
      </w:r>
      <w:r>
        <w:rPr>
          <w:rFonts w:hint="eastAsia" w:ascii="仿宋_GB2312" w:hAnsi="仿宋_GB2312" w:eastAsia="仿宋_GB2312" w:cs="仿宋_GB2312"/>
          <w:b/>
          <w:bCs/>
          <w:color w:val="auto"/>
          <w:sz w:val="32"/>
          <w:szCs w:val="32"/>
          <w:highlight w:val="none"/>
        </w:rPr>
        <w:t>护理质量</w:t>
      </w:r>
      <w:r>
        <w:rPr>
          <w:rFonts w:hint="default" w:ascii="仿宋_GB2312" w:hAnsi="仿宋_GB2312" w:eastAsia="仿宋_GB2312" w:cs="仿宋_GB2312"/>
          <w:b/>
          <w:bCs/>
          <w:color w:val="auto"/>
          <w:sz w:val="32"/>
          <w:szCs w:val="32"/>
          <w:highlight w:val="none"/>
        </w:rPr>
        <w:t>水平</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val="0"/>
          <w:bCs w:val="0"/>
          <w:snapToGrid w:val="0"/>
          <w:color w:val="auto"/>
          <w:kern w:val="0"/>
          <w:sz w:val="32"/>
          <w:szCs w:val="22"/>
          <w:lang w:val="en-US" w:eastAsia="zh-CN" w:bidi="ar-SA"/>
        </w:rPr>
        <w:t>医院应当建立与医院规模、任务和组织目标相适应的护理管理体系，</w:t>
      </w:r>
      <w:r>
        <w:rPr>
          <w:rFonts w:hint="default" w:ascii="仿宋_GB2312" w:hAnsi="仿宋_GB2312" w:eastAsia="仿宋_GB2312" w:cs="仿宋_GB2312"/>
          <w:b w:val="0"/>
          <w:bCs w:val="0"/>
          <w:snapToGrid w:val="0"/>
          <w:color w:val="auto"/>
          <w:kern w:val="0"/>
          <w:sz w:val="32"/>
          <w:szCs w:val="22"/>
          <w:lang w:val="en-US" w:eastAsia="zh-CN" w:bidi="ar-SA"/>
        </w:rPr>
        <w:t>推行分级管理，</w:t>
      </w:r>
      <w:r>
        <w:rPr>
          <w:rFonts w:hint="eastAsia" w:ascii="仿宋_GB2312" w:hAnsi="仿宋_GB2312" w:eastAsia="仿宋_GB2312" w:cs="仿宋_GB2312"/>
          <w:b w:val="0"/>
          <w:bCs w:val="0"/>
          <w:snapToGrid w:val="0"/>
          <w:color w:val="auto"/>
          <w:kern w:val="0"/>
          <w:sz w:val="32"/>
          <w:szCs w:val="22"/>
          <w:lang w:val="en-US" w:eastAsia="zh-CN" w:bidi="ar-SA"/>
        </w:rPr>
        <w:t>通过护理管理委员会，定期研究护理质量问题、推进护理质量改进</w:t>
      </w:r>
      <w:r>
        <w:rPr>
          <w:rFonts w:hint="default" w:ascii="仿宋_GB2312" w:hAnsi="仿宋_GB2312" w:eastAsia="仿宋_GB2312" w:cs="仿宋_GB2312"/>
          <w:b w:val="0"/>
          <w:bCs w:val="0"/>
          <w:snapToGrid w:val="0"/>
          <w:color w:val="auto"/>
          <w:kern w:val="0"/>
          <w:sz w:val="32"/>
          <w:szCs w:val="22"/>
          <w:lang w:val="en-US" w:eastAsia="zh-CN" w:bidi="ar-SA"/>
        </w:rPr>
        <w:t>。</w:t>
      </w:r>
      <w:r>
        <w:rPr>
          <w:rFonts w:hint="eastAsia" w:ascii="仿宋_GB2312" w:hAnsi="仿宋_GB2312" w:eastAsia="仿宋_GB2312" w:cs="仿宋_GB2312"/>
          <w:b w:val="0"/>
          <w:bCs w:val="0"/>
          <w:snapToGrid w:val="0"/>
          <w:color w:val="auto"/>
          <w:kern w:val="0"/>
          <w:sz w:val="32"/>
          <w:szCs w:val="22"/>
          <w:lang w:val="en-US" w:eastAsia="zh-CN" w:bidi="ar-SA"/>
        </w:rPr>
        <w:t>根据国家法律法规、行业标准、指南，制定护理制度、工作常规和操作规程，持续更新护理质量评价标准，对医院护理质量实行全程管控。充分发挥护理质控中心作用，健全护理风险防范体系，严格落实护理核心制度。建立护理质量监控信息系统，完善质控管理程序，持续改进监测质量指标。</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（四）加强护理科学管理</w:t>
      </w:r>
    </w:p>
    <w:p>
      <w:pPr>
        <w:keepNext w:val="0"/>
        <w:keepLines w:val="0"/>
        <w:pageBreakBefore w:val="0"/>
        <w:kinsoku/>
        <w:wordWrap/>
        <w:overflowPunct/>
        <w:topLinePunct w:val="0"/>
        <w:autoSpaceDE/>
        <w:autoSpaceDN/>
        <w:bidi w:val="0"/>
        <w:snapToGrid w:val="0"/>
        <w:spacing w:line="580" w:lineRule="exact"/>
        <w:ind w:firstLine="643"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snapToGrid w:val="0"/>
          <w:color w:val="auto"/>
          <w:kern w:val="0"/>
          <w:sz w:val="32"/>
          <w:szCs w:val="22"/>
          <w:highlight w:val="none"/>
          <w:lang w:val="en-US" w:eastAsia="zh-CN"/>
        </w:rPr>
        <w:t>1.</w:t>
      </w:r>
      <w:r>
        <w:rPr>
          <w:rFonts w:hint="default" w:ascii="仿宋_GB2312" w:hAnsi="仿宋_GB2312" w:eastAsia="仿宋_GB2312" w:cs="仿宋_GB2312"/>
          <w:b/>
          <w:bCs/>
          <w:snapToGrid w:val="0"/>
          <w:color w:val="auto"/>
          <w:kern w:val="0"/>
          <w:sz w:val="32"/>
          <w:szCs w:val="22"/>
          <w:highlight w:val="none"/>
          <w:lang w:eastAsia="zh-CN"/>
        </w:rPr>
        <w:t>加强</w:t>
      </w:r>
      <w:r>
        <w:rPr>
          <w:rFonts w:hint="eastAsia" w:ascii="仿宋_GB2312" w:hAnsi="仿宋_GB2312" w:eastAsia="仿宋_GB2312" w:cs="仿宋_GB2312"/>
          <w:b/>
          <w:bCs/>
          <w:color w:val="auto"/>
          <w:kern w:val="0"/>
          <w:sz w:val="32"/>
          <w:szCs w:val="32"/>
          <w:highlight w:val="none"/>
          <w:lang w:val="en-US" w:eastAsia="zh-CN" w:bidi="ar"/>
        </w:rPr>
        <w:t>完善绩效考评体系。</w:t>
      </w:r>
      <w:r>
        <w:rPr>
          <w:rFonts w:hint="eastAsia" w:ascii="仿宋_GB2312" w:hAnsi="仿宋_GB2312" w:eastAsia="仿宋_GB2312" w:cs="仿宋_GB2312"/>
          <w:b w:val="0"/>
          <w:bCs w:val="0"/>
          <w:snapToGrid w:val="0"/>
          <w:color w:val="auto"/>
          <w:kern w:val="0"/>
          <w:sz w:val="32"/>
          <w:szCs w:val="22"/>
          <w:lang w:val="en-US" w:eastAsia="zh-CN" w:bidi="ar-SA"/>
        </w:rPr>
        <w:t>推动完善护理岗位管理制度，对编制内外统筹管理，实现护士从身份管理转为岗位管理。以社会和业内认可为核心的护士评价机制，薪酬重点向高风险、高强度、任务重的临床一线护士岗位倾斜，多劳多得，优绩优酬</w:t>
      </w:r>
      <w:r>
        <w:rPr>
          <w:rFonts w:hint="default" w:ascii="仿宋_GB2312" w:hAnsi="仿宋_GB2312" w:eastAsia="仿宋_GB2312" w:cs="仿宋_GB2312"/>
          <w:b w:val="0"/>
          <w:bCs w:val="0"/>
          <w:snapToGrid w:val="0"/>
          <w:color w:val="auto"/>
          <w:kern w:val="0"/>
          <w:sz w:val="32"/>
          <w:szCs w:val="22"/>
          <w:lang w:val="en-US" w:eastAsia="zh-CN" w:bidi="ar-SA"/>
        </w:rPr>
        <w:t>，</w:t>
      </w:r>
      <w:r>
        <w:rPr>
          <w:rFonts w:hint="eastAsia" w:ascii="仿宋_GB2312" w:hAnsi="仿宋_GB2312" w:eastAsia="仿宋_GB2312" w:cs="仿宋_GB2312"/>
          <w:b w:val="0"/>
          <w:bCs w:val="0"/>
          <w:snapToGrid w:val="0"/>
          <w:color w:val="auto"/>
          <w:kern w:val="0"/>
          <w:sz w:val="32"/>
          <w:szCs w:val="22"/>
          <w:lang w:val="en-US" w:eastAsia="zh-CN" w:bidi="ar-SA"/>
        </w:rPr>
        <w:t>充分调动护士积极性。</w:t>
      </w:r>
    </w:p>
    <w:bookmarkEnd w:id="22"/>
    <w:p>
      <w:pPr>
        <w:keepNext w:val="0"/>
        <w:keepLines w:val="0"/>
        <w:pageBreakBefore w:val="0"/>
        <w:kinsoku/>
        <w:wordWrap/>
        <w:overflowPunct/>
        <w:topLinePunct w:val="0"/>
        <w:autoSpaceDE/>
        <w:autoSpaceDN/>
        <w:bidi w:val="0"/>
        <w:adjustRightInd w:val="0"/>
        <w:snapToGrid w:val="0"/>
        <w:spacing w:line="580" w:lineRule="exact"/>
        <w:ind w:firstLine="643" w:firstLineChars="200"/>
        <w:textAlignment w:val="auto"/>
        <w:rPr>
          <w:rFonts w:hint="eastAsia" w:ascii="仿宋_GB2312" w:hAnsi="仿宋_GB2312" w:eastAsia="仿宋_GB2312" w:cs="仿宋_GB2312"/>
          <w:snapToGrid w:val="0"/>
          <w:color w:val="auto"/>
          <w:kern w:val="0"/>
          <w:sz w:val="32"/>
          <w:szCs w:val="32"/>
        </w:rPr>
      </w:pPr>
      <w:bookmarkStart w:id="24" w:name="_Hlk67933197"/>
      <w:r>
        <w:rPr>
          <w:rStyle w:val="12"/>
          <w:rFonts w:hint="default" w:ascii="仿宋_GB2312" w:hAnsi="仿宋_GB2312" w:eastAsia="仿宋_GB2312" w:cs="仿宋_GB2312"/>
          <w:b/>
          <w:bCs/>
          <w:snapToGrid w:val="0"/>
          <w:color w:val="auto"/>
          <w:kern w:val="0"/>
          <w:sz w:val="32"/>
          <w:szCs w:val="32"/>
          <w:lang w:val="en-US"/>
        </w:rPr>
        <w:t>2.</w:t>
      </w:r>
      <w:r>
        <w:rPr>
          <w:rFonts w:hint="eastAsia" w:ascii="仿宋_GB2312" w:hAnsi="仿宋_GB2312" w:eastAsia="仿宋_GB2312" w:cs="仿宋_GB2312"/>
          <w:b/>
          <w:bCs/>
          <w:snapToGrid w:val="0"/>
          <w:color w:val="auto"/>
          <w:kern w:val="0"/>
          <w:sz w:val="32"/>
          <w:szCs w:val="32"/>
        </w:rPr>
        <w:t>加强学术交流</w:t>
      </w:r>
      <w:r>
        <w:rPr>
          <w:rFonts w:hint="eastAsia" w:ascii="仿宋_GB2312" w:hAnsi="仿宋_GB2312" w:eastAsia="仿宋_GB2312" w:cs="仿宋_GB2312"/>
          <w:b/>
          <w:bCs/>
          <w:snapToGrid w:val="0"/>
          <w:color w:val="auto"/>
          <w:kern w:val="0"/>
          <w:sz w:val="32"/>
          <w:szCs w:val="32"/>
          <w:lang w:val="en-US" w:eastAsia="zh-CN"/>
        </w:rPr>
        <w:t>与合作</w:t>
      </w:r>
      <w:r>
        <w:rPr>
          <w:rFonts w:hint="eastAsia" w:ascii="仿宋_GB2312" w:hAnsi="仿宋_GB2312" w:eastAsia="仿宋_GB2312" w:cs="仿宋_GB2312"/>
          <w:b/>
          <w:bCs/>
          <w:snapToGrid w:val="0"/>
          <w:color w:val="auto"/>
          <w:kern w:val="0"/>
          <w:sz w:val="32"/>
          <w:szCs w:val="32"/>
        </w:rPr>
        <w:t>。</w:t>
      </w:r>
      <w:r>
        <w:rPr>
          <w:rFonts w:hint="eastAsia" w:ascii="仿宋_GB2312" w:hAnsi="仿宋_GB2312" w:eastAsia="仿宋_GB2312" w:cs="仿宋_GB2312"/>
          <w:b w:val="0"/>
          <w:bCs w:val="0"/>
          <w:snapToGrid w:val="0"/>
          <w:color w:val="auto"/>
          <w:kern w:val="0"/>
          <w:sz w:val="32"/>
          <w:szCs w:val="22"/>
          <w:lang w:val="en-US" w:eastAsia="zh-CN" w:bidi="ar-SA"/>
        </w:rPr>
        <w:t>积极参与省级、国家级护理专业工作会议、学术会议、调研等工作，鼓励我市护理管理队伍赴外省份、与有关国家和地区开展交流，邀请优秀护理专家到</w:t>
      </w:r>
      <w:r>
        <w:rPr>
          <w:rFonts w:hint="default" w:ascii="仿宋_GB2312" w:hAnsi="仿宋_GB2312" w:eastAsia="仿宋_GB2312" w:cs="仿宋_GB2312"/>
          <w:b w:val="0"/>
          <w:bCs w:val="0"/>
          <w:snapToGrid w:val="0"/>
          <w:color w:val="auto"/>
          <w:kern w:val="0"/>
          <w:sz w:val="32"/>
          <w:szCs w:val="22"/>
          <w:lang w:val="en-US" w:eastAsia="zh-CN" w:bidi="ar-SA"/>
        </w:rPr>
        <w:t>乐</w:t>
      </w:r>
      <w:r>
        <w:rPr>
          <w:rFonts w:hint="eastAsia" w:ascii="仿宋_GB2312" w:hAnsi="仿宋_GB2312" w:eastAsia="仿宋_GB2312" w:cs="仿宋_GB2312"/>
          <w:b w:val="0"/>
          <w:bCs w:val="0"/>
          <w:snapToGrid w:val="0"/>
          <w:color w:val="auto"/>
          <w:kern w:val="0"/>
          <w:sz w:val="32"/>
          <w:szCs w:val="22"/>
          <w:lang w:val="en-US" w:eastAsia="zh-CN" w:bidi="ar-SA"/>
        </w:rPr>
        <w:t>分享经验，学习借鉴先进管理理念与科学管理模式，为护理管理者引入创新的管理思路，以创新带动护理行业发展，为我市护理管理事业稳步推进注入新的活力。加强院校合作，推进教学、临床、质控协同发展。</w:t>
      </w:r>
    </w:p>
    <w:p>
      <w:pPr>
        <w:keepNext w:val="0"/>
        <w:keepLines w:val="0"/>
        <w:pageBreakBefore w:val="0"/>
        <w:kinsoku/>
        <w:wordWrap/>
        <w:overflowPunct/>
        <w:topLinePunct w:val="0"/>
        <w:autoSpaceDE/>
        <w:autoSpaceDN/>
        <w:bidi w:val="0"/>
        <w:adjustRightInd w:val="0"/>
        <w:snapToGrid w:val="0"/>
        <w:spacing w:line="580" w:lineRule="exact"/>
        <w:ind w:firstLine="643" w:firstLineChars="200"/>
        <w:textAlignment w:val="auto"/>
        <w:rPr>
          <w:rFonts w:hint="default" w:ascii="仿宋_GB2312" w:hAnsi="仿宋_GB2312" w:eastAsia="仿宋_GB2312" w:cs="仿宋_GB2312"/>
          <w:snapToGrid w:val="0"/>
          <w:color w:val="auto"/>
          <w:kern w:val="0"/>
          <w:sz w:val="32"/>
          <w:szCs w:val="32"/>
          <w:lang w:val="en-US" w:eastAsia="zh-CN"/>
        </w:rPr>
      </w:pPr>
      <w:bookmarkStart w:id="25" w:name="_Toc12581"/>
      <w:r>
        <w:rPr>
          <w:rFonts w:hint="default" w:ascii="仿宋" w:hAnsi="仿宋" w:eastAsia="仿宋" w:cs="仿宋"/>
          <w:b/>
          <w:bCs w:val="0"/>
          <w:color w:val="auto"/>
          <w:kern w:val="0"/>
          <w:sz w:val="32"/>
          <w:szCs w:val="32"/>
          <w:lang w:val="en-US" w:eastAsia="zh-CN" w:bidi="ar"/>
        </w:rPr>
        <w:t>3</w:t>
      </w:r>
      <w:r>
        <w:rPr>
          <w:rFonts w:hint="eastAsia" w:ascii="仿宋" w:hAnsi="仿宋" w:eastAsia="仿宋" w:cs="仿宋"/>
          <w:b/>
          <w:bCs w:val="0"/>
          <w:color w:val="auto"/>
          <w:kern w:val="0"/>
          <w:sz w:val="32"/>
          <w:szCs w:val="32"/>
          <w:lang w:val="en-US" w:eastAsia="zh-CN" w:bidi="ar"/>
        </w:rPr>
        <w:t>.提升科研技术创新能力。</w:t>
      </w:r>
      <w:r>
        <w:rPr>
          <w:rFonts w:hint="eastAsia" w:ascii="仿宋_GB2312" w:hAnsi="仿宋_GB2312" w:eastAsia="仿宋_GB2312" w:cs="仿宋_GB2312"/>
          <w:b w:val="0"/>
          <w:bCs w:val="0"/>
          <w:snapToGrid w:val="0"/>
          <w:color w:val="auto"/>
          <w:kern w:val="0"/>
          <w:sz w:val="32"/>
          <w:szCs w:val="22"/>
          <w:lang w:val="en-US" w:eastAsia="zh-CN" w:bidi="ar-SA"/>
        </w:rPr>
        <w:t>鼓励医疗机构，特别是三甲医疗机构加大护理科研创新投入，培养一批护理科研骨干。</w:t>
      </w:r>
      <w:bookmarkEnd w:id="25"/>
      <w:r>
        <w:rPr>
          <w:rFonts w:hint="eastAsia" w:ascii="仿宋_GB2312" w:hAnsi="仿宋_GB2312" w:eastAsia="仿宋_GB2312" w:cs="仿宋_GB2312"/>
          <w:b w:val="0"/>
          <w:bCs w:val="0"/>
          <w:snapToGrid w:val="0"/>
          <w:color w:val="auto"/>
          <w:kern w:val="0"/>
          <w:sz w:val="32"/>
          <w:szCs w:val="22"/>
          <w:lang w:val="en-US" w:eastAsia="zh-CN" w:bidi="ar-SA"/>
        </w:rPr>
        <w:t>将创新灵感与实际问题相结合，运用科学的技术与方法切实解决专科护理难题，为患者提供更优质、专业、科学的护理服务。</w:t>
      </w:r>
    </w:p>
    <w:bookmarkEnd w:id="24"/>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w:t>
      </w:r>
      <w:r>
        <w:rPr>
          <w:rFonts w:hint="default" w:ascii="楷体_GB2312" w:hAnsi="楷体_GB2312" w:eastAsia="楷体_GB2312" w:cs="楷体_GB2312"/>
          <w:b w:val="0"/>
          <w:bCs/>
          <w:snapToGrid w:val="0"/>
          <w:color w:val="auto"/>
          <w:sz w:val="32"/>
          <w:szCs w:val="32"/>
          <w:lang w:val="en-US" w:eastAsia="zh-CN" w:bidi="ar-SA"/>
        </w:rPr>
        <w:t>五</w:t>
      </w:r>
      <w:r>
        <w:rPr>
          <w:rFonts w:hint="eastAsia" w:ascii="楷体_GB2312" w:hAnsi="楷体_GB2312" w:eastAsia="楷体_GB2312" w:cs="楷体_GB2312"/>
          <w:b w:val="0"/>
          <w:bCs/>
          <w:snapToGrid w:val="0"/>
          <w:color w:val="auto"/>
          <w:sz w:val="32"/>
          <w:szCs w:val="32"/>
          <w:lang w:val="en-US" w:eastAsia="zh-CN" w:bidi="ar-SA"/>
        </w:rPr>
        <w:t>）深入开展老年护理服务</w:t>
      </w:r>
    </w:p>
    <w:p>
      <w:pPr>
        <w:keepNext w:val="0"/>
        <w:keepLines w:val="0"/>
        <w:pageBreakBefore w:val="0"/>
        <w:kinsoku/>
        <w:wordWrap/>
        <w:overflowPunct/>
        <w:topLinePunct w:val="0"/>
        <w:autoSpaceDE/>
        <w:autoSpaceDN/>
        <w:bidi w:val="0"/>
        <w:adjustRightInd/>
        <w:snapToGrid w:val="0"/>
        <w:spacing w:line="580" w:lineRule="exact"/>
        <w:ind w:firstLine="643" w:firstLineChars="200"/>
        <w:jc w:val="both"/>
        <w:textAlignment w:val="auto"/>
        <w:rPr>
          <w:rFonts w:hint="eastAsia" w:ascii="仿宋_GB2312" w:hAnsi="仿宋_GB2312" w:eastAsia="仿宋_GB2312" w:cs="仿宋_GB2312"/>
          <w:snapToGrid w:val="0"/>
          <w:color w:val="auto"/>
          <w:kern w:val="0"/>
          <w:sz w:val="32"/>
          <w:szCs w:val="22"/>
        </w:rPr>
      </w:pPr>
      <w:r>
        <w:rPr>
          <w:rFonts w:hint="eastAsia" w:ascii="仿宋_GB2312" w:hAnsi="仿宋_GB2312" w:eastAsia="仿宋_GB2312" w:cs="仿宋_GB2312"/>
          <w:b/>
          <w:bCs/>
          <w:snapToGrid w:val="0"/>
          <w:color w:val="auto"/>
          <w:kern w:val="0"/>
          <w:sz w:val="32"/>
          <w:szCs w:val="22"/>
        </w:rPr>
        <w:t>1.完善老年护理服务体系建设。</w:t>
      </w:r>
      <w:r>
        <w:rPr>
          <w:rFonts w:hint="eastAsia" w:ascii="仿宋_GB2312" w:hAnsi="仿宋_GB2312" w:eastAsia="仿宋_GB2312" w:cs="仿宋_GB2312"/>
          <w:b w:val="0"/>
          <w:bCs w:val="0"/>
          <w:snapToGrid w:val="0"/>
          <w:color w:val="auto"/>
          <w:kern w:val="0"/>
          <w:sz w:val="32"/>
          <w:szCs w:val="22"/>
          <w:lang w:val="en-US" w:eastAsia="zh-CN" w:bidi="ar-SA"/>
        </w:rPr>
        <w:t>增加老年医疗资源供给，扩充老年医疗护理服务床位数量。规范老年护理服务行为，创新多元化老年护理服务模式，探索老年标准化病房建设。同时大力发展社区、居家护理服务和日间护理服务等，推进老年护理区域联动，进一步促进医养结合、安宁疗护等护理服务专业发展，不断满足老年患者健康服务需求。</w:t>
      </w:r>
    </w:p>
    <w:p>
      <w:pPr>
        <w:keepNext w:val="0"/>
        <w:keepLines w:val="0"/>
        <w:pageBreakBefore w:val="0"/>
        <w:kinsoku/>
        <w:wordWrap/>
        <w:overflowPunct/>
        <w:topLinePunct w:val="0"/>
        <w:autoSpaceDE/>
        <w:autoSpaceDN/>
        <w:bidi w:val="0"/>
        <w:adjustRightInd/>
        <w:snapToGrid w:val="0"/>
        <w:spacing w:line="580" w:lineRule="exact"/>
        <w:ind w:firstLine="643" w:firstLineChars="200"/>
        <w:jc w:val="both"/>
        <w:textAlignment w:val="auto"/>
        <w:rPr>
          <w:rFonts w:hint="eastAsia"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bCs/>
          <w:snapToGrid w:val="0"/>
          <w:color w:val="auto"/>
          <w:kern w:val="0"/>
          <w:sz w:val="32"/>
          <w:szCs w:val="22"/>
          <w:highlight w:val="none"/>
        </w:rPr>
        <w:t>2.加强老年护理培训体系建设。</w:t>
      </w:r>
      <w:r>
        <w:rPr>
          <w:rFonts w:hint="eastAsia" w:ascii="仿宋_GB2312" w:hAnsi="仿宋_GB2312" w:eastAsia="仿宋_GB2312" w:cs="仿宋_GB2312"/>
          <w:b w:val="0"/>
          <w:bCs w:val="0"/>
          <w:snapToGrid w:val="0"/>
          <w:color w:val="auto"/>
          <w:kern w:val="0"/>
          <w:sz w:val="32"/>
          <w:szCs w:val="22"/>
          <w:lang w:val="en-US" w:eastAsia="zh-CN" w:bidi="ar-SA"/>
        </w:rPr>
        <w:t>通过开展市、县、医疗机构三个层级培训，实现医疗机构内老年护理专业护士全覆盖的普及性培训。着力开展老年护理专科护士培训，提升老年护理专业能力，同时带动区域内基层医疗机构，多措并举提升我市整体老年护理专业能力与服务水平。</w:t>
      </w:r>
    </w:p>
    <w:tbl>
      <w:tblPr>
        <w:tblStyle w:val="9"/>
        <w:tblpPr w:leftFromText="180" w:rightFromText="180" w:vertAnchor="text" w:horzAnchor="page" w:tblpX="1555" w:tblpY="57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55" w:type="dxa"/>
          </w:tcPr>
          <w:p>
            <w:pPr>
              <w:keepNext w:val="0"/>
              <w:keepLines w:val="0"/>
              <w:pageBreakBefore w:val="0"/>
              <w:kinsoku/>
              <w:wordWrap/>
              <w:overflowPunct/>
              <w:topLinePunct w:val="0"/>
              <w:autoSpaceDE/>
              <w:autoSpaceDN/>
              <w:bidi w:val="0"/>
              <w:adjustRightInd/>
              <w:snapToGrid w:val="0"/>
              <w:spacing w:line="570" w:lineRule="exact"/>
              <w:ind w:firstLine="1616" w:firstLineChars="503"/>
              <w:jc w:val="left"/>
              <w:textAlignment w:val="auto"/>
              <w:rPr>
                <w:rFonts w:hint="eastAsia" w:ascii="仿宋_GB2312" w:hAnsi="仿宋_GB2312" w:eastAsia="仿宋_GB2312" w:cs="仿宋_GB2312"/>
                <w:b/>
                <w:bCs/>
                <w:snapToGrid w:val="0"/>
                <w:color w:val="auto"/>
                <w:kern w:val="0"/>
                <w:sz w:val="32"/>
                <w:szCs w:val="22"/>
                <w:lang w:val="en-US" w:eastAsia="zh-CN" w:bidi="ar-SA"/>
              </w:rPr>
            </w:pPr>
            <w:r>
              <w:rPr>
                <w:rFonts w:hint="eastAsia" w:ascii="仿宋_GB2312" w:hAnsi="仿宋_GB2312" w:eastAsia="仿宋_GB2312" w:cs="仿宋_GB2312"/>
                <w:b/>
                <w:bCs/>
                <w:snapToGrid w:val="0"/>
                <w:color w:val="auto"/>
                <w:kern w:val="0"/>
                <w:sz w:val="32"/>
                <w:szCs w:val="22"/>
                <w:lang w:val="en-US" w:eastAsia="zh-CN" w:bidi="ar-SA"/>
              </w:rPr>
              <w:t>专栏3   老年医疗护理提升行动</w:t>
            </w:r>
          </w:p>
          <w:p>
            <w:pPr>
              <w:keepNext w:val="0"/>
              <w:keepLines w:val="0"/>
              <w:pageBreakBefore w:val="0"/>
              <w:kinsoku/>
              <w:wordWrap/>
              <w:overflowPunct/>
              <w:topLinePunct w:val="0"/>
              <w:autoSpaceDE/>
              <w:autoSpaceDN/>
              <w:bidi w:val="0"/>
              <w:adjustRightInd/>
              <w:snapToGrid w:val="0"/>
              <w:spacing w:line="570" w:lineRule="exact"/>
              <w:ind w:firstLine="640"/>
              <w:jc w:val="both"/>
              <w:textAlignment w:val="auto"/>
              <w:rPr>
                <w:rFonts w:hint="eastAsia"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val="0"/>
                <w:bCs w:val="0"/>
                <w:snapToGrid w:val="0"/>
                <w:color w:val="auto"/>
                <w:kern w:val="0"/>
                <w:sz w:val="32"/>
                <w:szCs w:val="22"/>
                <w:lang w:val="en-US" w:eastAsia="zh-CN" w:bidi="ar-SA"/>
              </w:rPr>
              <w:t>增加老年医疗护理资源。支持各地结合实际通过将部分有一定规模、床位率利用不高的二级医院转型扩建，或者鼓励社会力量参与举办等方式增加老年医院、康复医院、护理院、护理中心、护理站等老年健康服务机构数量。鼓励有条件的基层医疗卫生机构根据需要设置和增加提供老年医疗护理服务的床位数量。“十四五”期间，全市提供老年医疗护理服务的机构和床位数量显著增加，逐步满足我市老年人特别是失能失智老年人的医疗护理需求。</w:t>
            </w:r>
          </w:p>
          <w:p>
            <w:pPr>
              <w:keepNext w:val="0"/>
              <w:keepLines w:val="0"/>
              <w:pageBreakBefore w:val="0"/>
              <w:kinsoku/>
              <w:wordWrap/>
              <w:overflowPunct/>
              <w:topLinePunct w:val="0"/>
              <w:autoSpaceDE/>
              <w:autoSpaceDN/>
              <w:bidi w:val="0"/>
              <w:adjustRightInd/>
              <w:snapToGrid w:val="0"/>
              <w:spacing w:line="570" w:lineRule="exact"/>
              <w:ind w:firstLine="640"/>
              <w:jc w:val="both"/>
              <w:textAlignment w:val="auto"/>
              <w:rPr>
                <w:rFonts w:hint="eastAsia"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val="0"/>
                <w:bCs w:val="0"/>
                <w:snapToGrid w:val="0"/>
                <w:color w:val="auto"/>
                <w:kern w:val="0"/>
                <w:sz w:val="32"/>
                <w:szCs w:val="22"/>
                <w:lang w:val="en-US" w:eastAsia="zh-CN" w:bidi="ar-SA"/>
              </w:rPr>
              <w:t>开展老年医疗护理服务试点。按照《国家卫生健康委办公厅关于开展老年医疗护理服务试点工作的通知》《四川省老年医疗护理服务试点工作方案》要求，在各县（市、区）开展老年医疗护理服务试点工作，确定部分地区或医疗机构率先在完善老年医疗护理服务体系，创新多元化服务模式，提高从业人员服务能力，健全价格支付政策等方面先行先试，积累经验。到2023年，试点经验全市推广，以点带面，推动全市老年医疗护理服务健康发展。</w:t>
            </w:r>
          </w:p>
          <w:p>
            <w:pPr>
              <w:keepNext w:val="0"/>
              <w:keepLines w:val="0"/>
              <w:pageBreakBefore w:val="0"/>
              <w:kinsoku/>
              <w:wordWrap/>
              <w:overflowPunct/>
              <w:topLinePunct w:val="0"/>
              <w:autoSpaceDE/>
              <w:autoSpaceDN/>
              <w:bidi w:val="0"/>
              <w:adjustRightInd/>
              <w:snapToGrid w:val="0"/>
              <w:spacing w:line="570" w:lineRule="exact"/>
              <w:ind w:firstLine="640"/>
              <w:jc w:val="both"/>
              <w:textAlignment w:val="auto"/>
              <w:rPr>
                <w:rFonts w:hint="default"/>
                <w:lang w:val="en-US" w:eastAsia="zh-CN"/>
              </w:rPr>
            </w:pPr>
            <w:r>
              <w:rPr>
                <w:rFonts w:hint="eastAsia" w:ascii="仿宋_GB2312" w:hAnsi="仿宋_GB2312" w:eastAsia="仿宋_GB2312" w:cs="仿宋_GB2312"/>
                <w:b w:val="0"/>
                <w:bCs w:val="0"/>
                <w:snapToGrid w:val="0"/>
                <w:color w:val="auto"/>
                <w:kern w:val="0"/>
                <w:sz w:val="32"/>
                <w:szCs w:val="22"/>
                <w:lang w:val="en-US" w:eastAsia="zh-CN" w:bidi="ar-SA"/>
              </w:rPr>
              <w:t>提升从业人员服务能力。“十四五”期间，加快老年护理专业护士紧缺护理人才培养培训，推进老年护理需求评估人员专业培训。提升为失能失智老年人提供专业护理服务的能力。按照《医疗护理员培训大纲(试行）》，对拟从事或正在从事医疗护理员工作的人员加大培训力度，提升为老年患者提供生活照护的能力。</w:t>
            </w:r>
          </w:p>
          <w:p>
            <w:pPr>
              <w:keepNext w:val="0"/>
              <w:keepLines w:val="0"/>
              <w:pageBreakBefore w:val="0"/>
              <w:kinsoku/>
              <w:wordWrap/>
              <w:overflowPunct/>
              <w:topLinePunct w:val="0"/>
              <w:autoSpaceDE/>
              <w:autoSpaceDN/>
              <w:bidi w:val="0"/>
              <w:adjustRightInd/>
              <w:snapToGrid w:val="0"/>
              <w:spacing w:line="570" w:lineRule="exact"/>
              <w:ind w:firstLine="640"/>
              <w:jc w:val="left"/>
              <w:textAlignment w:val="auto"/>
              <w:rPr>
                <w:rFonts w:hint="default"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val="0"/>
                <w:bCs w:val="0"/>
                <w:snapToGrid w:val="0"/>
                <w:color w:val="auto"/>
                <w:kern w:val="0"/>
                <w:sz w:val="32"/>
                <w:szCs w:val="22"/>
                <w:lang w:val="en-US" w:eastAsia="zh-CN" w:bidi="ar-SA"/>
              </w:rPr>
              <w:t>推动老年居家医疗护理发展。按照《关于加强老年人居家医疗服务工作的通知》《四川省关于加强老年人居家医疗服务工作实施方案（试行）的通知》要求，因地制宜扩大居家医疗护理服务供给。各县（市、区）结合实际，按照突出重点人群、保障医疗安全、防控执业风险的原则，明确服务对象。鼓励有条件的医疗机构通过“互联网+护理服务”、家庭病床、上门巡诊等方式，积极为老年人特别是失能失智老年人提供上门医疗护理服务。</w:t>
            </w:r>
          </w:p>
        </w:tc>
      </w:tr>
    </w:tbl>
    <w:p>
      <w:pPr>
        <w:keepNext w:val="0"/>
        <w:keepLines w:val="0"/>
        <w:pageBreakBefore w:val="0"/>
        <w:kinsoku/>
        <w:wordWrap/>
        <w:overflowPunct/>
        <w:topLinePunct w:val="0"/>
        <w:autoSpaceDE/>
        <w:autoSpaceDN/>
        <w:bidi w:val="0"/>
        <w:adjustRightInd/>
        <w:snapToGrid w:val="0"/>
        <w:spacing w:line="570" w:lineRule="exact"/>
        <w:jc w:val="both"/>
        <w:textAlignment w:val="auto"/>
        <w:rPr>
          <w:rFonts w:hint="eastAsia" w:ascii="仿宋_GB2312" w:hAnsi="仿宋_GB2312" w:eastAsia="仿宋_GB2312" w:cs="仿宋_GB2312"/>
          <w:b w:val="0"/>
          <w:bCs w:val="0"/>
          <w:snapToGrid w:val="0"/>
          <w:color w:val="auto"/>
          <w:kern w:val="0"/>
          <w:sz w:val="32"/>
          <w:szCs w:val="22"/>
          <w:lang w:val="en-US" w:eastAsia="zh-CN" w:bidi="ar-SA"/>
        </w:rPr>
      </w:pPr>
    </w:p>
    <w:p>
      <w:pPr>
        <w:keepNext w:val="0"/>
        <w:keepLines w:val="0"/>
        <w:pageBreakBefore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snapToGrid w:val="0"/>
          <w:color w:val="auto"/>
          <w:kern w:val="0"/>
          <w:sz w:val="32"/>
          <w:szCs w:val="22"/>
        </w:rPr>
      </w:pPr>
      <w:r>
        <w:rPr>
          <w:rFonts w:hint="eastAsia" w:ascii="仿宋_GB2312" w:hAnsi="仿宋_GB2312" w:eastAsia="仿宋_GB2312" w:cs="仿宋_GB2312"/>
          <w:b/>
          <w:bCs/>
          <w:snapToGrid w:val="0"/>
          <w:color w:val="auto"/>
          <w:kern w:val="0"/>
          <w:sz w:val="32"/>
          <w:szCs w:val="22"/>
        </w:rPr>
        <w:t>3.加强医疗护理员管理。</w:t>
      </w:r>
      <w:r>
        <w:rPr>
          <w:rFonts w:hint="eastAsia" w:ascii="仿宋_GB2312" w:hAnsi="仿宋_GB2312" w:eastAsia="仿宋_GB2312" w:cs="仿宋_GB2312"/>
          <w:b w:val="0"/>
          <w:bCs w:val="0"/>
          <w:snapToGrid w:val="0"/>
          <w:color w:val="auto"/>
          <w:kern w:val="0"/>
          <w:sz w:val="32"/>
          <w:szCs w:val="22"/>
          <w:lang w:val="en-US" w:eastAsia="zh-CN" w:bidi="ar-SA"/>
        </w:rPr>
        <w:t>继续推动开展医疗护理员培训工作，充分发挥我市定点医疗护理员培训机构作用（乐山职业技术学院），加大医疗护理员的培养能力。医疗机构可以根据实际需要配备一定数量、培训合格的医疗护理员，并按照要求加强管理，规范其工作行为。逐步建立医疗护理员管理制度，明确工作职责和职业守则。定期进行培训，并对工作质量、服务对象满意度、服务质量监督考核，提升其服务质量。</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w:t>
      </w:r>
      <w:r>
        <w:rPr>
          <w:rFonts w:hint="default" w:ascii="楷体_GB2312" w:hAnsi="楷体_GB2312" w:eastAsia="楷体_GB2312" w:cs="楷体_GB2312"/>
          <w:b w:val="0"/>
          <w:bCs/>
          <w:snapToGrid w:val="0"/>
          <w:color w:val="auto"/>
          <w:sz w:val="32"/>
          <w:szCs w:val="32"/>
          <w:lang w:val="en-US" w:eastAsia="zh-CN" w:bidi="ar-SA"/>
        </w:rPr>
        <w:t>六</w:t>
      </w:r>
      <w:r>
        <w:rPr>
          <w:rFonts w:hint="eastAsia" w:ascii="楷体_GB2312" w:hAnsi="楷体_GB2312" w:eastAsia="楷体_GB2312" w:cs="楷体_GB2312"/>
          <w:b w:val="0"/>
          <w:bCs/>
          <w:snapToGrid w:val="0"/>
          <w:color w:val="auto"/>
          <w:sz w:val="32"/>
          <w:szCs w:val="32"/>
          <w:lang w:val="en-US" w:eastAsia="zh-CN" w:bidi="ar-SA"/>
        </w:rPr>
        <w:t>）提升基层医疗机构护理服务水平</w:t>
      </w:r>
    </w:p>
    <w:p>
      <w:pPr>
        <w:keepNext w:val="0"/>
        <w:keepLines w:val="0"/>
        <w:pageBreakBefore w:val="0"/>
        <w:kinsoku/>
        <w:wordWrap/>
        <w:overflowPunct/>
        <w:topLinePunct w:val="0"/>
        <w:autoSpaceDE/>
        <w:autoSpaceDN/>
        <w:bidi w:val="0"/>
        <w:adjustRightInd w:val="0"/>
        <w:snapToGrid w:val="0"/>
        <w:spacing w:line="580" w:lineRule="exact"/>
        <w:ind w:firstLine="643" w:firstLineChars="200"/>
        <w:textAlignment w:val="auto"/>
        <w:rPr>
          <w:rFonts w:hint="default" w:ascii="仿宋_GB2312" w:hAnsi="仿宋_GB2312" w:eastAsia="仿宋_GB2312" w:cs="仿宋_GB2312"/>
          <w:b w:val="0"/>
          <w:bCs w:val="0"/>
          <w:snapToGrid w:val="0"/>
          <w:color w:val="auto"/>
          <w:kern w:val="0"/>
          <w:sz w:val="32"/>
          <w:szCs w:val="32"/>
          <w:lang w:val="en-US" w:eastAsia="zh-CN"/>
        </w:rPr>
      </w:pPr>
      <w:r>
        <w:rPr>
          <w:rFonts w:hint="eastAsia" w:ascii="仿宋_GB2312" w:hAnsi="仿宋_GB2312" w:eastAsia="仿宋_GB2312" w:cs="仿宋_GB2312"/>
          <w:b/>
          <w:bCs/>
          <w:snapToGrid w:val="0"/>
          <w:color w:val="auto"/>
          <w:kern w:val="0"/>
          <w:sz w:val="32"/>
          <w:szCs w:val="32"/>
        </w:rPr>
        <w:t>1</w:t>
      </w:r>
      <w:r>
        <w:rPr>
          <w:rFonts w:hint="eastAsia" w:ascii="仿宋_GB2312" w:hAnsi="仿宋_GB2312" w:eastAsia="仿宋_GB2312" w:cs="仿宋_GB2312"/>
          <w:b/>
          <w:bCs/>
          <w:snapToGrid w:val="0"/>
          <w:color w:val="auto"/>
          <w:kern w:val="0"/>
          <w:sz w:val="32"/>
          <w:szCs w:val="32"/>
          <w:highlight w:val="none"/>
        </w:rPr>
        <w:t>.</w:t>
      </w:r>
      <w:r>
        <w:rPr>
          <w:rFonts w:hint="default" w:ascii="仿宋_GB2312" w:hAnsi="仿宋_GB2312" w:eastAsia="仿宋_GB2312" w:cs="仿宋_GB2312"/>
          <w:b/>
          <w:bCs/>
          <w:snapToGrid w:val="0"/>
          <w:color w:val="auto"/>
          <w:kern w:val="0"/>
          <w:sz w:val="32"/>
          <w:szCs w:val="32"/>
          <w:highlight w:val="none"/>
        </w:rPr>
        <w:t>增加</w:t>
      </w:r>
      <w:r>
        <w:rPr>
          <w:rFonts w:hint="eastAsia" w:ascii="仿宋_GB2312" w:hAnsi="仿宋_GB2312" w:eastAsia="仿宋_GB2312" w:cs="仿宋_GB2312"/>
          <w:b/>
          <w:bCs/>
          <w:snapToGrid w:val="0"/>
          <w:color w:val="auto"/>
          <w:kern w:val="0"/>
          <w:sz w:val="32"/>
          <w:szCs w:val="32"/>
          <w:highlight w:val="none"/>
        </w:rPr>
        <w:t>基层护理服务供给。</w:t>
      </w:r>
      <w:r>
        <w:rPr>
          <w:rFonts w:hint="eastAsia" w:ascii="仿宋_GB2312" w:hAnsi="仿宋_GB2312" w:eastAsia="仿宋_GB2312" w:cs="仿宋_GB2312"/>
          <w:b w:val="0"/>
          <w:bCs w:val="0"/>
          <w:snapToGrid w:val="0"/>
          <w:color w:val="auto"/>
          <w:kern w:val="0"/>
          <w:sz w:val="32"/>
          <w:szCs w:val="22"/>
          <w:lang w:val="en-US" w:eastAsia="zh-CN" w:bidi="ar-SA"/>
        </w:rPr>
        <w:t>深化家庭医生签约履约服务，提高基层医疗机构常见病、多发病的护理能力和老年护理、康复护理的专业能力，通过开展特需上门服务、家庭病床服务和线上“云服务”多种方式，不断满足基层社区居民多样化的医疗护理服务需求。预计2025年，我市基层医疗机构从事护理工作人数达到</w:t>
      </w:r>
      <w:r>
        <w:rPr>
          <w:rFonts w:hint="eastAsia" w:ascii="仿宋_GB2312" w:hAnsi="仿宋_GB2312" w:eastAsia="仿宋_GB2312" w:cs="仿宋_GB2312"/>
          <w:b w:val="0"/>
          <w:bCs w:val="0"/>
          <w:snapToGrid w:val="0"/>
          <w:color w:val="auto"/>
          <w:kern w:val="0"/>
          <w:sz w:val="32"/>
          <w:szCs w:val="22"/>
          <w:highlight w:val="none"/>
          <w:lang w:val="en-US" w:eastAsia="zh-CN" w:bidi="ar-SA"/>
        </w:rPr>
        <w:t>2800</w:t>
      </w:r>
      <w:r>
        <w:rPr>
          <w:rFonts w:hint="eastAsia" w:ascii="仿宋_GB2312" w:hAnsi="仿宋_GB2312" w:eastAsia="仿宋_GB2312" w:cs="仿宋_GB2312"/>
          <w:b w:val="0"/>
          <w:bCs w:val="0"/>
          <w:snapToGrid w:val="0"/>
          <w:color w:val="auto"/>
          <w:kern w:val="0"/>
          <w:sz w:val="32"/>
          <w:szCs w:val="22"/>
          <w:lang w:val="en-US" w:eastAsia="zh-CN" w:bidi="ar-SA"/>
        </w:rPr>
        <w:t>人。</w:t>
      </w:r>
    </w:p>
    <w:p>
      <w:pPr>
        <w:keepNext w:val="0"/>
        <w:keepLines w:val="0"/>
        <w:pageBreakBefore w:val="0"/>
        <w:kinsoku/>
        <w:wordWrap/>
        <w:overflowPunct/>
        <w:topLinePunct w:val="0"/>
        <w:autoSpaceDE/>
        <w:autoSpaceDN/>
        <w:bidi w:val="0"/>
        <w:adjustRightInd w:val="0"/>
        <w:snapToGrid w:val="0"/>
        <w:spacing w:line="580" w:lineRule="exact"/>
        <w:ind w:firstLine="643" w:firstLineChars="200"/>
        <w:textAlignment w:val="auto"/>
        <w:rPr>
          <w:rFonts w:hint="eastAsia" w:ascii="仿宋_GB2312" w:hAnsi="仿宋_GB2312" w:eastAsia="仿宋_GB2312" w:cs="仿宋_GB2312"/>
          <w:b w:val="0"/>
          <w:bCs w:val="0"/>
          <w:snapToGrid w:val="0"/>
          <w:color w:val="auto"/>
          <w:kern w:val="0"/>
          <w:sz w:val="32"/>
          <w:szCs w:val="32"/>
          <w:lang w:val="en-US" w:eastAsia="zh-CN"/>
        </w:rPr>
      </w:pPr>
      <w:r>
        <w:rPr>
          <w:rFonts w:hint="eastAsia" w:ascii="仿宋_GB2312" w:hAnsi="仿宋_GB2312" w:eastAsia="仿宋_GB2312" w:cs="仿宋_GB2312"/>
          <w:b/>
          <w:bCs/>
          <w:snapToGrid w:val="0"/>
          <w:color w:val="auto"/>
          <w:kern w:val="0"/>
          <w:sz w:val="32"/>
          <w:szCs w:val="32"/>
          <w:lang w:val="en-US" w:eastAsia="zh-CN"/>
        </w:rPr>
        <w:t>2.提升基层护理服务能力。</w:t>
      </w:r>
      <w:r>
        <w:rPr>
          <w:rFonts w:hint="eastAsia" w:ascii="仿宋_GB2312" w:hAnsi="仿宋_GB2312" w:eastAsia="仿宋_GB2312" w:cs="仿宋_GB2312"/>
          <w:b w:val="0"/>
          <w:bCs w:val="0"/>
          <w:snapToGrid w:val="0"/>
          <w:color w:val="auto"/>
          <w:kern w:val="0"/>
          <w:sz w:val="32"/>
          <w:szCs w:val="22"/>
          <w:lang w:val="en-US" w:eastAsia="zh-CN" w:bidi="ar-SA"/>
        </w:rPr>
        <w:t xml:space="preserve">加快基层护士队伍建设，增加基层护士人力配置。采取“请进来、送出去”等方式加大基层护士培训力度，切实提高其常见病、多发病护理、老年护理、康复护理等专业服务能力。支持有条件的二级以上医疗机构与基层医疗卫生机构建立护理专科联盟、专家联合团队等，建立上下联动、“手拉手”帮扶机制，帮扶带动基层医疗机构拓展服务领域，提高护理服务能力。 </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w:t>
      </w:r>
      <w:r>
        <w:rPr>
          <w:rFonts w:hint="default" w:ascii="楷体_GB2312" w:hAnsi="楷体_GB2312" w:eastAsia="楷体_GB2312" w:cs="楷体_GB2312"/>
          <w:b w:val="0"/>
          <w:bCs/>
          <w:snapToGrid w:val="0"/>
          <w:color w:val="auto"/>
          <w:sz w:val="32"/>
          <w:szCs w:val="32"/>
          <w:lang w:val="en-US" w:eastAsia="zh-CN" w:bidi="ar-SA"/>
        </w:rPr>
        <w:t>七</w:t>
      </w:r>
      <w:r>
        <w:rPr>
          <w:rFonts w:hint="eastAsia" w:ascii="楷体_GB2312" w:hAnsi="楷体_GB2312" w:eastAsia="楷体_GB2312" w:cs="楷体_GB2312"/>
          <w:b w:val="0"/>
          <w:bCs/>
          <w:snapToGrid w:val="0"/>
          <w:color w:val="auto"/>
          <w:sz w:val="32"/>
          <w:szCs w:val="32"/>
          <w:lang w:val="en-US" w:eastAsia="zh-CN" w:bidi="ar-SA"/>
        </w:rPr>
        <w:t>）推动中医护理发展</w:t>
      </w:r>
    </w:p>
    <w:p>
      <w:pPr>
        <w:keepNext w:val="0"/>
        <w:keepLines w:val="0"/>
        <w:pageBreakBefore w:val="0"/>
        <w:widowControl/>
        <w:kinsoku/>
        <w:wordWrap/>
        <w:overflowPunct/>
        <w:topLinePunct w:val="0"/>
        <w:autoSpaceDE/>
        <w:autoSpaceDN/>
        <w:bidi w:val="0"/>
        <w:snapToGrid w:val="0"/>
        <w:spacing w:line="580" w:lineRule="exact"/>
        <w:ind w:firstLine="643" w:firstLineChars="200"/>
        <w:jc w:val="left"/>
        <w:textAlignment w:val="auto"/>
        <w:rPr>
          <w:rFonts w:hint="eastAsia" w:ascii="仿宋_GB2312" w:hAnsi="仿宋_GB2312" w:eastAsia="仿宋_GB2312" w:cs="仿宋_GB2312"/>
          <w:snapToGrid w:val="0"/>
          <w:color w:val="auto"/>
          <w:kern w:val="0"/>
          <w:sz w:val="32"/>
          <w:szCs w:val="32"/>
          <w:lang w:bidi="ar"/>
        </w:rPr>
      </w:pPr>
      <w:bookmarkStart w:id="26" w:name="_Hlk67669011"/>
      <w:r>
        <w:rPr>
          <w:rFonts w:hint="eastAsia" w:ascii="仿宋_GB2312" w:hAnsi="仿宋_GB2312" w:eastAsia="仿宋_GB2312" w:cs="仿宋_GB2312"/>
          <w:b/>
          <w:bCs/>
          <w:snapToGrid w:val="0"/>
          <w:color w:val="auto"/>
          <w:kern w:val="0"/>
          <w:sz w:val="32"/>
          <w:szCs w:val="32"/>
          <w:lang w:val="en-US" w:eastAsia="zh-CN" w:bidi="ar"/>
        </w:rPr>
        <w:t>1.充分发挥中医优势，提升中医护理品质。</w:t>
      </w:r>
      <w:r>
        <w:rPr>
          <w:rFonts w:hint="eastAsia" w:ascii="仿宋_GB2312" w:hAnsi="仿宋_GB2312" w:eastAsia="仿宋_GB2312" w:cs="仿宋_GB2312"/>
          <w:b w:val="0"/>
          <w:bCs w:val="0"/>
          <w:snapToGrid w:val="0"/>
          <w:color w:val="auto"/>
          <w:kern w:val="0"/>
          <w:sz w:val="32"/>
          <w:szCs w:val="22"/>
          <w:lang w:val="en-US" w:eastAsia="zh-CN" w:bidi="ar-SA"/>
        </w:rPr>
        <w:t>规范实施中医护理常规、方案、技术操作标准。发挥中医质控中心作用，定期开展中医护理适宜技术规范化培训，推进中医护理技术操作同质化进程。积极开展辨证施护和中医特色专科护理，创建中医护理质量核心指标体系，持续提升中医护理服务质量。发挥中医护理在疾病预防、治疗、康复等方面的重要作用。</w:t>
      </w:r>
    </w:p>
    <w:p>
      <w:pPr>
        <w:keepNext w:val="0"/>
        <w:keepLines w:val="0"/>
        <w:pageBreakBefore w:val="0"/>
        <w:widowControl/>
        <w:kinsoku/>
        <w:wordWrap/>
        <w:overflowPunct/>
        <w:topLinePunct w:val="0"/>
        <w:autoSpaceDE/>
        <w:autoSpaceDN/>
        <w:bidi w:val="0"/>
        <w:snapToGrid w:val="0"/>
        <w:spacing w:line="580" w:lineRule="exact"/>
        <w:ind w:firstLine="643" w:firstLineChars="200"/>
        <w:jc w:val="both"/>
        <w:textAlignment w:val="auto"/>
        <w:rPr>
          <w:rFonts w:hint="default"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b/>
          <w:bCs/>
          <w:snapToGrid w:val="0"/>
          <w:color w:val="auto"/>
          <w:kern w:val="0"/>
          <w:sz w:val="32"/>
          <w:szCs w:val="32"/>
          <w:highlight w:val="none"/>
          <w:lang w:val="en-US" w:eastAsia="zh-CN" w:bidi="ar"/>
        </w:rPr>
        <w:t>2.持续开展中医特色护理</w:t>
      </w:r>
      <w:r>
        <w:rPr>
          <w:rFonts w:hint="eastAsia" w:ascii="仿宋_GB2312" w:hAnsi="仿宋_GB2312" w:eastAsia="仿宋_GB2312" w:cs="仿宋_GB2312"/>
          <w:b/>
          <w:bCs/>
          <w:snapToGrid w:val="0"/>
          <w:color w:val="auto"/>
          <w:kern w:val="0"/>
          <w:sz w:val="32"/>
          <w:szCs w:val="32"/>
          <w:highlight w:val="none"/>
          <w:lang w:bidi="ar"/>
        </w:rPr>
        <w:t>，</w:t>
      </w:r>
      <w:r>
        <w:rPr>
          <w:rFonts w:hint="eastAsia" w:ascii="仿宋_GB2312" w:hAnsi="仿宋_GB2312" w:eastAsia="仿宋_GB2312" w:cs="仿宋_GB2312"/>
          <w:b/>
          <w:bCs/>
          <w:snapToGrid w:val="0"/>
          <w:color w:val="auto"/>
          <w:kern w:val="0"/>
          <w:sz w:val="32"/>
          <w:szCs w:val="32"/>
          <w:highlight w:val="none"/>
          <w:lang w:val="en-US" w:eastAsia="zh-CN" w:bidi="ar"/>
        </w:rPr>
        <w:t>加强人才</w:t>
      </w:r>
      <w:r>
        <w:rPr>
          <w:rFonts w:hint="default" w:ascii="仿宋_GB2312" w:hAnsi="仿宋_GB2312" w:eastAsia="仿宋_GB2312" w:cs="仿宋_GB2312"/>
          <w:b/>
          <w:bCs/>
          <w:snapToGrid w:val="0"/>
          <w:color w:val="auto"/>
          <w:kern w:val="0"/>
          <w:sz w:val="32"/>
          <w:szCs w:val="32"/>
          <w:highlight w:val="none"/>
          <w:lang w:eastAsia="zh-CN" w:bidi="ar"/>
        </w:rPr>
        <w:t>队伍</w:t>
      </w:r>
      <w:r>
        <w:rPr>
          <w:rFonts w:hint="eastAsia" w:ascii="仿宋_GB2312" w:hAnsi="仿宋_GB2312" w:eastAsia="仿宋_GB2312" w:cs="仿宋_GB2312"/>
          <w:b/>
          <w:bCs/>
          <w:snapToGrid w:val="0"/>
          <w:color w:val="auto"/>
          <w:kern w:val="0"/>
          <w:sz w:val="32"/>
          <w:szCs w:val="32"/>
          <w:highlight w:val="none"/>
          <w:lang w:val="en-US" w:eastAsia="zh-CN" w:bidi="ar"/>
        </w:rPr>
        <w:t>培养。</w:t>
      </w:r>
      <w:r>
        <w:rPr>
          <w:rFonts w:hint="eastAsia" w:ascii="仿宋_GB2312" w:hAnsi="仿宋_GB2312" w:eastAsia="仿宋_GB2312" w:cs="仿宋_GB2312"/>
          <w:b w:val="0"/>
          <w:bCs w:val="0"/>
          <w:snapToGrid w:val="0"/>
          <w:color w:val="auto"/>
          <w:kern w:val="0"/>
          <w:sz w:val="32"/>
          <w:szCs w:val="22"/>
          <w:highlight w:val="none"/>
          <w:lang w:val="en-US" w:eastAsia="zh-CN" w:bidi="ar-SA"/>
        </w:rPr>
        <w:t>促进</w:t>
      </w:r>
      <w:r>
        <w:rPr>
          <w:rFonts w:hint="eastAsia" w:ascii="仿宋_GB2312" w:hAnsi="仿宋_GB2312" w:eastAsia="仿宋_GB2312" w:cs="仿宋_GB2312"/>
          <w:b w:val="0"/>
          <w:bCs w:val="0"/>
          <w:snapToGrid w:val="0"/>
          <w:color w:val="auto"/>
          <w:kern w:val="0"/>
          <w:sz w:val="32"/>
          <w:szCs w:val="22"/>
          <w:lang w:val="en-US" w:eastAsia="zh-CN" w:bidi="ar-SA"/>
        </w:rPr>
        <w:t>中医护理向基层和家庭延伸，加强中医护理和“互联网+护理服务”、老年护理服务、慢病护理服务的深度融合，提升人民群众在中医护理健康服务中的获得感。切实加强中医护理人才培养，对中医护理临床骨干实施分层培养，发挥中医护理骨干人才及中医护理治疗专科护士的专业引领作用，提高中医护理服务水平。建设中医药服务体系与加大人才培养。</w:t>
      </w:r>
    </w:p>
    <w:bookmarkEnd w:id="26"/>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w:t>
      </w:r>
      <w:r>
        <w:rPr>
          <w:rFonts w:hint="default" w:ascii="楷体_GB2312" w:hAnsi="楷体_GB2312" w:eastAsia="楷体_GB2312" w:cs="楷体_GB2312"/>
          <w:b w:val="0"/>
          <w:bCs/>
          <w:snapToGrid w:val="0"/>
          <w:color w:val="auto"/>
          <w:sz w:val="32"/>
          <w:szCs w:val="32"/>
          <w:lang w:val="en-US" w:eastAsia="zh-CN" w:bidi="ar-SA"/>
        </w:rPr>
        <w:t>八</w:t>
      </w:r>
      <w:r>
        <w:rPr>
          <w:rFonts w:hint="eastAsia" w:ascii="楷体_GB2312" w:hAnsi="楷体_GB2312" w:eastAsia="楷体_GB2312" w:cs="楷体_GB2312"/>
          <w:b w:val="0"/>
          <w:bCs/>
          <w:snapToGrid w:val="0"/>
          <w:color w:val="auto"/>
          <w:sz w:val="32"/>
          <w:szCs w:val="32"/>
          <w:lang w:val="en-US" w:eastAsia="zh-CN" w:bidi="ar-SA"/>
        </w:rPr>
        <w:t>）加快发展安宁疗护</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0" w:lineRule="exact"/>
        <w:ind w:leftChars="0" w:right="0" w:firstLine="640" w:firstLineChars="200"/>
        <w:jc w:val="both"/>
        <w:textAlignment w:val="auto"/>
        <w:rPr>
          <w:rFonts w:hint="eastAsia"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val="0"/>
          <w:bCs w:val="0"/>
          <w:snapToGrid w:val="0"/>
          <w:color w:val="auto"/>
          <w:kern w:val="0"/>
          <w:sz w:val="32"/>
          <w:szCs w:val="22"/>
          <w:lang w:val="en-US" w:eastAsia="zh-CN" w:bidi="ar-SA"/>
        </w:rPr>
        <w:t>按照《安宁疗护中心基本标准和管理规范（试行）》，结合我市实际，鼓励社区卫生服务中心、乡镇卫生院内设安宁疗护床位，开展服务，满足老年、肿瘤晚期及其他慢性病终末期等患者的需求。完善安宁疗护相关护理流程、工作制度等，加快培养培训从事安宁疗护服务的专业人员，提高安宁疗护护理服务能力和质量。发挥安宁疗护适宜技术在临终患者症状管理、舒适护理、心理支持和人文关怀中的作用，切实提高生命终末期患者的生存质量。</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（九）提高妇女儿童专科护理能力</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both"/>
        <w:textAlignment w:val="auto"/>
        <w:outlineLvl w:val="1"/>
        <w:rPr>
          <w:rFonts w:hint="eastAsia"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val="0"/>
          <w:bCs w:val="0"/>
          <w:snapToGrid w:val="0"/>
          <w:color w:val="auto"/>
          <w:kern w:val="0"/>
          <w:sz w:val="32"/>
          <w:szCs w:val="22"/>
          <w:lang w:val="en-US" w:eastAsia="zh-CN" w:bidi="ar-SA"/>
        </w:rPr>
        <w:t>积极开展孕产期保健、妇女保健、产后康复、儿童保健等亚专科建设。相关医疗卫生机构加大产科、新生儿、儿科专科护理从业人员的专科培训工作力度，加强助产士职业资格管理，推进围产、助产、儿童慢病管理、妇幼保健特色专科护理发展进程，确保母婴安全，提升妇幼服务能力。</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（十）提升突发事件和重大传染病应急处置与救援能力</w:t>
      </w:r>
    </w:p>
    <w:p>
      <w:pPr>
        <w:keepNext w:val="0"/>
        <w:keepLines w:val="0"/>
        <w:pageBreakBefore w:val="0"/>
        <w:widowControl w:val="0"/>
        <w:numPr>
          <w:ilvl w:val="0"/>
          <w:numId w:val="0"/>
        </w:numPr>
        <w:kinsoku/>
        <w:wordWrap/>
        <w:overflowPunct/>
        <w:topLinePunct w:val="0"/>
        <w:autoSpaceDE/>
        <w:autoSpaceDN/>
        <w:bidi w:val="0"/>
        <w:snapToGrid w:val="0"/>
        <w:spacing w:line="580" w:lineRule="exact"/>
        <w:ind w:firstLine="640" w:firstLineChars="200"/>
        <w:jc w:val="left"/>
        <w:textAlignment w:val="auto"/>
        <w:outlineLvl w:val="1"/>
        <w:rPr>
          <w:rFonts w:hint="eastAsia"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val="0"/>
          <w:bCs w:val="0"/>
          <w:snapToGrid w:val="0"/>
          <w:color w:val="auto"/>
          <w:kern w:val="0"/>
          <w:sz w:val="32"/>
          <w:szCs w:val="22"/>
          <w:lang w:val="en-US" w:eastAsia="zh-CN" w:bidi="ar-SA"/>
        </w:rPr>
        <w:t>各地根据实际情况有计划地储备重大传染病疫情、突发公共卫生事件和灾害救援护理人才，建设救援队护理专家人才库。依托国家紧急医学救援平台和各级学术组织开展专项培训，强化传染病防控与医学救援相结合的应急演练，提升突发事件应急处置和伤患救护能力。针对重大传染病疫情和突发公共卫生事件应对，加强院感防控、个人防护、应急处置等全员培训。</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0" w:lineRule="exact"/>
        <w:ind w:leftChars="0" w:right="0" w:firstLine="640" w:firstLineChars="200"/>
        <w:jc w:val="both"/>
        <w:textAlignment w:val="auto"/>
        <w:rPr>
          <w:rFonts w:hint="eastAsia" w:ascii="楷体_GB2312" w:hAnsi="楷体_GB2312" w:eastAsia="楷体_GB2312" w:cs="楷体_GB2312"/>
          <w:b w:val="0"/>
          <w:bCs/>
          <w:snapToGrid w:val="0"/>
          <w:color w:val="auto"/>
          <w:sz w:val="32"/>
          <w:szCs w:val="32"/>
          <w:lang w:val="en-US" w:eastAsia="zh-CN" w:bidi="ar-SA"/>
        </w:rPr>
      </w:pPr>
      <w:r>
        <w:rPr>
          <w:rFonts w:hint="eastAsia" w:ascii="楷体_GB2312" w:hAnsi="楷体_GB2312" w:eastAsia="楷体_GB2312" w:cs="楷体_GB2312"/>
          <w:b w:val="0"/>
          <w:bCs/>
          <w:snapToGrid w:val="0"/>
          <w:color w:val="auto"/>
          <w:sz w:val="32"/>
          <w:szCs w:val="32"/>
          <w:lang w:val="en-US" w:eastAsia="zh-CN" w:bidi="ar-SA"/>
        </w:rPr>
        <w:t>（十一）加强区域间的交流与合作</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0" w:lineRule="exact"/>
        <w:ind w:right="0" w:firstLine="643" w:firstLineChars="200"/>
        <w:jc w:val="both"/>
        <w:textAlignment w:val="auto"/>
        <w:rPr>
          <w:rFonts w:hint="default"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bCs w:val="0"/>
          <w:snapToGrid w:val="0"/>
          <w:color w:val="auto"/>
          <w:sz w:val="32"/>
          <w:szCs w:val="32"/>
          <w:lang w:val="en-US" w:eastAsia="zh-CN" w:bidi="ar-SA"/>
        </w:rPr>
        <w:t xml:space="preserve"> </w:t>
      </w:r>
      <w:r>
        <w:rPr>
          <w:rFonts w:hint="eastAsia" w:ascii="仿宋_GB2312" w:hAnsi="仿宋_GB2312" w:eastAsia="仿宋_GB2312" w:cs="仿宋_GB2312"/>
          <w:b w:val="0"/>
          <w:bCs w:val="0"/>
          <w:snapToGrid w:val="0"/>
          <w:color w:val="auto"/>
          <w:kern w:val="0"/>
          <w:sz w:val="32"/>
          <w:szCs w:val="22"/>
          <w:lang w:val="en-US" w:eastAsia="zh-CN" w:bidi="ar-SA"/>
        </w:rPr>
        <w:t>深入开展与省内各地区之间护理领域的合作与交流，面向川西南的凉山、甘孜、阿坝三州，增进护理学科联动，积极推动开展少数民族地区护理服务课题研究，促进护理水平的提高，在护理管理、制度政策、人才培养、护理技术等方面加大交流合作的力度。充分借鉴先进理念和实践经验，结合我市实情，健全完善护理高质量发展的相关政策、实现经验共享、互利共赢。</w:t>
      </w:r>
    </w:p>
    <w:p>
      <w:pPr>
        <w:keepNext w:val="0"/>
        <w:keepLines w:val="0"/>
        <w:pageBreakBefore w:val="0"/>
        <w:widowControl w:val="0"/>
        <w:kinsoku/>
        <w:wordWrap/>
        <w:overflowPunct/>
        <w:topLinePunct w:val="0"/>
        <w:autoSpaceDE/>
        <w:autoSpaceDN/>
        <w:bidi w:val="0"/>
        <w:snapToGrid w:val="0"/>
        <w:spacing w:line="580" w:lineRule="exact"/>
        <w:ind w:firstLine="640" w:firstLineChars="200"/>
        <w:jc w:val="both"/>
        <w:textAlignment w:val="auto"/>
        <w:outlineLvl w:val="0"/>
        <w:rPr>
          <w:rFonts w:ascii="Times New Roman" w:hAnsi="Times New Roman" w:eastAsia="黑体" w:cs="Times New Roman"/>
          <w:bCs/>
          <w:snapToGrid w:val="0"/>
          <w:color w:val="auto"/>
          <w:sz w:val="32"/>
          <w:szCs w:val="44"/>
          <w:lang w:val="en-US" w:eastAsia="zh-CN" w:bidi="ar-SA"/>
        </w:rPr>
      </w:pPr>
      <w:r>
        <w:rPr>
          <w:rFonts w:ascii="Times New Roman" w:hAnsi="Times New Roman" w:eastAsia="黑体" w:cs="Times New Roman"/>
          <w:bCs/>
          <w:snapToGrid w:val="0"/>
          <w:color w:val="auto"/>
          <w:sz w:val="32"/>
          <w:szCs w:val="44"/>
          <w:lang w:val="en-US" w:eastAsia="zh-CN" w:bidi="ar-SA"/>
        </w:rPr>
        <w:t>五、保障措施</w:t>
      </w:r>
    </w:p>
    <w:p>
      <w:pPr>
        <w:keepNext w:val="0"/>
        <w:keepLines w:val="0"/>
        <w:pageBreakBefore w:val="0"/>
        <w:widowControl w:val="0"/>
        <w:kinsoku/>
        <w:wordWrap/>
        <w:overflowPunct/>
        <w:topLinePunct w:val="0"/>
        <w:autoSpaceDE/>
        <w:autoSpaceDN/>
        <w:bidi w:val="0"/>
        <w:snapToGrid w:val="0"/>
        <w:spacing w:line="580" w:lineRule="exact"/>
        <w:ind w:firstLine="640" w:firstLineChars="200"/>
        <w:jc w:val="both"/>
        <w:textAlignment w:val="auto"/>
        <w:outlineLvl w:val="1"/>
        <w:rPr>
          <w:rFonts w:ascii="Times New Roman" w:hAnsi="Times New Roman" w:eastAsia="楷体_GB2312" w:cs="Times New Roman"/>
          <w:b w:val="0"/>
          <w:bCs/>
          <w:snapToGrid w:val="0"/>
          <w:color w:val="auto"/>
          <w:sz w:val="32"/>
          <w:szCs w:val="32"/>
          <w:lang w:val="en-US" w:eastAsia="zh-CN" w:bidi="ar-SA"/>
        </w:rPr>
      </w:pPr>
      <w:r>
        <w:rPr>
          <w:rFonts w:ascii="Times New Roman" w:hAnsi="Times New Roman" w:eastAsia="楷体_GB2312" w:cs="Times New Roman"/>
          <w:b w:val="0"/>
          <w:bCs/>
          <w:snapToGrid w:val="0"/>
          <w:color w:val="auto"/>
          <w:sz w:val="32"/>
          <w:szCs w:val="32"/>
          <w:lang w:val="en-US" w:eastAsia="zh-CN" w:bidi="ar-SA"/>
        </w:rPr>
        <w:t>（一）高度重视，加强组织领导</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0" w:lineRule="exact"/>
        <w:ind w:leftChars="0" w:right="0" w:firstLine="640" w:firstLineChars="200"/>
        <w:jc w:val="both"/>
        <w:textAlignment w:val="auto"/>
        <w:rPr>
          <w:rFonts w:hint="eastAsia"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val="0"/>
          <w:bCs w:val="0"/>
          <w:snapToGrid w:val="0"/>
          <w:color w:val="auto"/>
          <w:kern w:val="0"/>
          <w:sz w:val="32"/>
          <w:szCs w:val="22"/>
          <w:lang w:val="en-US" w:eastAsia="zh-CN" w:bidi="ar-SA"/>
        </w:rPr>
        <w:t>各</w:t>
      </w:r>
      <w:r>
        <w:rPr>
          <w:rFonts w:hint="default" w:ascii="仿宋_GB2312" w:hAnsi="仿宋_GB2312" w:eastAsia="仿宋_GB2312" w:cs="仿宋_GB2312"/>
          <w:b w:val="0"/>
          <w:bCs w:val="0"/>
          <w:snapToGrid w:val="0"/>
          <w:color w:val="auto"/>
          <w:kern w:val="0"/>
          <w:sz w:val="32"/>
          <w:szCs w:val="22"/>
          <w:lang w:val="en-US" w:eastAsia="zh-CN" w:bidi="ar-SA"/>
        </w:rPr>
        <w:t>地各级医疗机构</w:t>
      </w:r>
      <w:r>
        <w:rPr>
          <w:rFonts w:hint="eastAsia" w:ascii="仿宋_GB2312" w:hAnsi="仿宋_GB2312" w:eastAsia="仿宋_GB2312" w:cs="仿宋_GB2312"/>
          <w:b w:val="0"/>
          <w:bCs w:val="0"/>
          <w:snapToGrid w:val="0"/>
          <w:color w:val="auto"/>
          <w:kern w:val="0"/>
          <w:sz w:val="32"/>
          <w:szCs w:val="22"/>
          <w:lang w:val="en-US" w:eastAsia="zh-CN" w:bidi="ar-SA"/>
        </w:rPr>
        <w:t>要充分认识促进护理事业改革与发展的重要意义，将护理工作发展与我市卫生事业发展规划相结合，统一部署、统筹安排、同步实施。加大相关配套政策的支持力度，为全面加强护士队伍建设、推进护理工作发展、大力发展护理服务业及相关产业提供必要的政策支持和制度保障。</w:t>
      </w:r>
    </w:p>
    <w:p>
      <w:pPr>
        <w:keepNext w:val="0"/>
        <w:keepLines w:val="0"/>
        <w:pageBreakBefore w:val="0"/>
        <w:widowControl w:val="0"/>
        <w:kinsoku/>
        <w:wordWrap/>
        <w:overflowPunct/>
        <w:topLinePunct w:val="0"/>
        <w:autoSpaceDE/>
        <w:autoSpaceDN/>
        <w:bidi w:val="0"/>
        <w:snapToGrid w:val="0"/>
        <w:spacing w:line="580" w:lineRule="exact"/>
        <w:ind w:firstLine="640" w:firstLineChars="200"/>
        <w:jc w:val="both"/>
        <w:textAlignment w:val="auto"/>
        <w:outlineLvl w:val="1"/>
        <w:rPr>
          <w:rFonts w:ascii="Times New Roman" w:hAnsi="Times New Roman" w:eastAsia="楷体_GB2312" w:cs="Times New Roman"/>
          <w:b w:val="0"/>
          <w:bCs/>
          <w:snapToGrid w:val="0"/>
          <w:color w:val="auto"/>
          <w:sz w:val="32"/>
          <w:szCs w:val="32"/>
          <w:lang w:val="en-US" w:eastAsia="zh-CN" w:bidi="ar-SA"/>
        </w:rPr>
      </w:pPr>
      <w:r>
        <w:rPr>
          <w:rFonts w:ascii="Times New Roman" w:hAnsi="Times New Roman" w:eastAsia="楷体_GB2312" w:cs="Times New Roman"/>
          <w:b w:val="0"/>
          <w:bCs/>
          <w:snapToGrid w:val="0"/>
          <w:color w:val="auto"/>
          <w:sz w:val="32"/>
          <w:szCs w:val="32"/>
          <w:lang w:val="en-US" w:eastAsia="zh-CN" w:bidi="ar-SA"/>
        </w:rPr>
        <w:t>（二）强化落实，务求实际成效</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0" w:lineRule="exact"/>
        <w:ind w:leftChars="0" w:right="0" w:firstLine="640" w:firstLineChars="200"/>
        <w:jc w:val="both"/>
        <w:textAlignment w:val="auto"/>
        <w:rPr>
          <w:rFonts w:hint="eastAsia"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val="0"/>
          <w:bCs w:val="0"/>
          <w:snapToGrid w:val="0"/>
          <w:color w:val="auto"/>
          <w:kern w:val="0"/>
          <w:sz w:val="32"/>
          <w:szCs w:val="22"/>
          <w:lang w:val="en-US" w:eastAsia="zh-CN" w:bidi="ar-SA"/>
        </w:rPr>
        <w:t>各</w:t>
      </w:r>
      <w:r>
        <w:rPr>
          <w:rFonts w:hint="default" w:ascii="仿宋_GB2312" w:hAnsi="仿宋_GB2312" w:eastAsia="仿宋_GB2312" w:cs="仿宋_GB2312"/>
          <w:b w:val="0"/>
          <w:bCs w:val="0"/>
          <w:snapToGrid w:val="0"/>
          <w:color w:val="auto"/>
          <w:kern w:val="0"/>
          <w:sz w:val="32"/>
          <w:szCs w:val="22"/>
          <w:lang w:val="en-US" w:eastAsia="zh-CN" w:bidi="ar-SA"/>
        </w:rPr>
        <w:t>地各级</w:t>
      </w:r>
      <w:r>
        <w:rPr>
          <w:rFonts w:hint="eastAsia" w:ascii="仿宋_GB2312" w:hAnsi="仿宋_GB2312" w:eastAsia="仿宋_GB2312" w:cs="仿宋_GB2312"/>
          <w:b w:val="0"/>
          <w:bCs w:val="0"/>
          <w:snapToGrid w:val="0"/>
          <w:color w:val="auto"/>
          <w:kern w:val="0"/>
          <w:sz w:val="32"/>
          <w:szCs w:val="22"/>
          <w:lang w:val="en-US" w:eastAsia="zh-CN" w:bidi="ar-SA"/>
        </w:rPr>
        <w:t>医疗机构要按照本规划要求，结合本区域和本单位实际，梳理重点任务要求，积极开展调研，认真贯彻落实规划纲要，细化工作任务，明确任务目标、时间节点，建立工作台账，积极探索和总结经验，加强推广实施，确保各项工作落到实处，全面取得护理事业发展新成效。</w:t>
      </w:r>
    </w:p>
    <w:p>
      <w:pPr>
        <w:keepNext w:val="0"/>
        <w:keepLines w:val="0"/>
        <w:pageBreakBefore w:val="0"/>
        <w:widowControl w:val="0"/>
        <w:kinsoku/>
        <w:wordWrap/>
        <w:overflowPunct/>
        <w:topLinePunct w:val="0"/>
        <w:autoSpaceDE/>
        <w:autoSpaceDN/>
        <w:bidi w:val="0"/>
        <w:snapToGrid w:val="0"/>
        <w:spacing w:line="580" w:lineRule="exact"/>
        <w:ind w:firstLine="640" w:firstLineChars="200"/>
        <w:jc w:val="both"/>
        <w:textAlignment w:val="auto"/>
        <w:outlineLvl w:val="1"/>
        <w:rPr>
          <w:rFonts w:ascii="Times New Roman" w:hAnsi="Times New Roman" w:eastAsia="楷体_GB2312" w:cs="Times New Roman"/>
          <w:b w:val="0"/>
          <w:bCs/>
          <w:snapToGrid w:val="0"/>
          <w:color w:val="auto"/>
          <w:sz w:val="32"/>
          <w:szCs w:val="32"/>
          <w:lang w:val="en-US" w:eastAsia="zh-CN" w:bidi="ar-SA"/>
        </w:rPr>
      </w:pPr>
      <w:r>
        <w:rPr>
          <w:rFonts w:ascii="Times New Roman" w:hAnsi="Times New Roman" w:eastAsia="楷体_GB2312" w:cs="Times New Roman"/>
          <w:b w:val="0"/>
          <w:bCs/>
          <w:snapToGrid w:val="0"/>
          <w:color w:val="auto"/>
          <w:sz w:val="32"/>
          <w:szCs w:val="32"/>
          <w:lang w:val="en-US" w:eastAsia="zh-CN" w:bidi="ar-SA"/>
        </w:rPr>
        <w:t>（三）促进实施，</w:t>
      </w:r>
      <w:r>
        <w:rPr>
          <w:rFonts w:ascii="Times New Roman" w:hAnsi="Times New Roman" w:eastAsia="楷体_GB2312" w:cs="Times New Roman"/>
          <w:b w:val="0"/>
          <w:bCs/>
          <w:snapToGrid w:val="0"/>
          <w:color w:val="auto"/>
          <w:sz w:val="32"/>
          <w:szCs w:val="32"/>
          <w:highlight w:val="none"/>
          <w:lang w:val="en-US" w:eastAsia="zh-CN" w:bidi="ar-SA"/>
        </w:rPr>
        <w:t>加强监测评估</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0" w:lineRule="exact"/>
        <w:ind w:leftChars="0" w:right="0" w:firstLine="640" w:firstLineChars="200"/>
        <w:jc w:val="both"/>
        <w:textAlignment w:val="auto"/>
        <w:rPr>
          <w:rFonts w:hint="eastAsia" w:ascii="仿宋_GB2312" w:hAnsi="仿宋_GB2312" w:eastAsia="仿宋_GB2312" w:cs="仿宋_GB2312"/>
          <w:b w:val="0"/>
          <w:bCs w:val="0"/>
          <w:snapToGrid w:val="0"/>
          <w:color w:val="auto"/>
          <w:kern w:val="0"/>
          <w:sz w:val="32"/>
          <w:szCs w:val="22"/>
          <w:lang w:val="en-US" w:eastAsia="zh-CN" w:bidi="ar-SA"/>
        </w:rPr>
      </w:pPr>
      <w:r>
        <w:rPr>
          <w:rFonts w:hint="eastAsia" w:ascii="仿宋_GB2312" w:hAnsi="仿宋_GB2312" w:eastAsia="仿宋_GB2312" w:cs="仿宋_GB2312"/>
          <w:b w:val="0"/>
          <w:bCs w:val="0"/>
          <w:snapToGrid w:val="0"/>
          <w:color w:val="auto"/>
          <w:kern w:val="0"/>
          <w:sz w:val="32"/>
          <w:szCs w:val="22"/>
          <w:lang w:val="en-US" w:eastAsia="zh-CN" w:bidi="ar-SA"/>
        </w:rPr>
        <w:t>充分发挥行业专家作用，建立健全监测评价体系，对规划实施进度进行监测和评估，2023年和2025年市卫生健康委将对各地医疗机构贯彻落实规划情况进行阶段性评估和终末期评估，以增强规划执行力，通过评估及时发现问题并予以解决，对各单位实施规划中好的做法和有效经验及时总结并予以推广。</w:t>
      </w:r>
    </w:p>
    <w:p>
      <w:pPr>
        <w:keepNext w:val="0"/>
        <w:keepLines w:val="0"/>
        <w:pageBreakBefore w:val="0"/>
        <w:widowControl w:val="0"/>
        <w:kinsoku/>
        <w:wordWrap/>
        <w:overflowPunct/>
        <w:topLinePunct w:val="0"/>
        <w:autoSpaceDE/>
        <w:autoSpaceDN/>
        <w:bidi w:val="0"/>
        <w:snapToGrid w:val="0"/>
        <w:spacing w:line="580" w:lineRule="exact"/>
        <w:ind w:firstLine="640" w:firstLineChars="200"/>
        <w:jc w:val="both"/>
        <w:textAlignment w:val="auto"/>
        <w:outlineLvl w:val="1"/>
        <w:rPr>
          <w:rFonts w:ascii="Times New Roman" w:hAnsi="Times New Roman" w:eastAsia="楷体_GB2312" w:cs="Times New Roman"/>
          <w:b w:val="0"/>
          <w:bCs/>
          <w:snapToGrid w:val="0"/>
          <w:color w:val="auto"/>
          <w:sz w:val="32"/>
          <w:szCs w:val="32"/>
          <w:lang w:val="en-US" w:eastAsia="zh-CN" w:bidi="ar-SA"/>
        </w:rPr>
      </w:pPr>
      <w:r>
        <w:rPr>
          <w:rFonts w:ascii="Times New Roman" w:hAnsi="Times New Roman" w:eastAsia="楷体_GB2312" w:cs="Times New Roman"/>
          <w:b w:val="0"/>
          <w:bCs/>
          <w:snapToGrid w:val="0"/>
          <w:color w:val="auto"/>
          <w:sz w:val="32"/>
          <w:szCs w:val="32"/>
          <w:lang w:val="en-US" w:eastAsia="zh-CN" w:bidi="ar-SA"/>
        </w:rPr>
        <w:t>（四）注重宣传，营造良好氛围</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80" w:lineRule="exact"/>
        <w:ind w:leftChars="0" w:right="0" w:firstLine="640" w:firstLineChars="200"/>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b w:val="0"/>
          <w:bCs w:val="0"/>
          <w:snapToGrid w:val="0"/>
          <w:color w:val="auto"/>
          <w:kern w:val="0"/>
          <w:sz w:val="32"/>
          <w:szCs w:val="22"/>
          <w:lang w:val="en-US" w:eastAsia="zh-CN" w:bidi="ar-SA"/>
        </w:rPr>
        <w:t>各</w:t>
      </w:r>
      <w:r>
        <w:rPr>
          <w:rFonts w:hint="default" w:ascii="仿宋_GB2312" w:hAnsi="仿宋_GB2312" w:eastAsia="仿宋_GB2312" w:cs="仿宋_GB2312"/>
          <w:b w:val="0"/>
          <w:bCs w:val="0"/>
          <w:snapToGrid w:val="0"/>
          <w:color w:val="auto"/>
          <w:kern w:val="0"/>
          <w:sz w:val="32"/>
          <w:szCs w:val="22"/>
          <w:lang w:val="en-US" w:eastAsia="zh-CN" w:bidi="ar-SA"/>
        </w:rPr>
        <w:t>地</w:t>
      </w:r>
      <w:r>
        <w:rPr>
          <w:rFonts w:hint="eastAsia" w:ascii="仿宋_GB2312" w:hAnsi="仿宋_GB2312" w:eastAsia="仿宋_GB2312" w:cs="仿宋_GB2312"/>
          <w:b w:val="0"/>
          <w:bCs w:val="0"/>
          <w:snapToGrid w:val="0"/>
          <w:color w:val="auto"/>
          <w:kern w:val="0"/>
          <w:sz w:val="32"/>
          <w:szCs w:val="22"/>
          <w:lang w:val="en-US" w:eastAsia="zh-CN" w:bidi="ar-SA"/>
        </w:rPr>
        <w:t>要充分利用广播、电视、报刊、互联网等新媒体形式，加大护理宣传力度，积极宣传护理事业发展规划政策，以及成效和典型经验，发挥引领示范作用，营造全社会关心支持护理事业发展的良好氛围，为进一步推进新时代护理事业发展起到积极促进作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p>
    <w:p>
      <w:pPr>
        <w:pStyle w:val="2"/>
        <w:rPr>
          <w:rFonts w:hint="eastAsia" w:ascii="仿宋_GB2312" w:hAnsi="仿宋_GB2312" w:eastAsia="仿宋_GB2312" w:cs="仿宋_GB2312"/>
          <w:i w:val="0"/>
          <w:iCs w:val="0"/>
          <w:caps w:val="0"/>
          <w:color w:val="auto"/>
          <w:spacing w:val="0"/>
          <w:sz w:val="32"/>
          <w:szCs w:val="32"/>
          <w:shd w:val="clear" w:fill="FFFFFF"/>
          <w:lang w:val="en-US" w:eastAsia="zh-CN"/>
        </w:rPr>
      </w:pPr>
    </w:p>
    <w:p>
      <w:pPr>
        <w:rPr>
          <w:rFonts w:hint="eastAsia"/>
          <w:lang w:val="en-US" w:eastAsia="zh-CN"/>
        </w:rPr>
      </w:pPr>
    </w:p>
    <w:p>
      <w:pPr>
        <w:pStyle w:val="2"/>
        <w:rPr>
          <w:rFonts w:hint="eastAsia"/>
          <w:lang w:val="en-US" w:eastAsia="zh-CN"/>
        </w:rPr>
      </w:pPr>
    </w:p>
    <w:p>
      <w:pPr>
        <w:pStyle w:val="2"/>
        <w:keepNext/>
        <w:keepLines/>
        <w:pageBreakBefore w:val="0"/>
        <w:widowControl/>
        <w:kinsoku/>
        <w:wordWrap/>
        <w:overflowPunct/>
        <w:topLinePunct w:val="0"/>
        <w:autoSpaceDE/>
        <w:autoSpaceDN/>
        <w:bidi w:val="0"/>
        <w:adjustRightInd/>
        <w:snapToGrid/>
        <w:spacing w:before="0" w:after="0" w:line="800" w:lineRule="exact"/>
        <w:textAlignment w:val="baseline"/>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小标宋简体" w:hAnsi="方正小标宋简体" w:eastAsia="方正小标宋简体" w:cs="方正小标宋简体"/>
          <w:sz w:val="32"/>
          <w:szCs w:val="32"/>
          <w:lang w:val="en-US" w:eastAsia="zh-CN"/>
        </w:rPr>
      </w:pPr>
      <w:r>
        <w:rPr>
          <w:rFonts w:hint="eastAsia" w:ascii="黑体" w:hAnsi="黑体" w:eastAsia="黑体" w:cs="黑体"/>
          <w:sz w:val="32"/>
          <w:szCs w:val="32"/>
          <w:lang w:val="en-US" w:eastAsia="zh-CN"/>
        </w:rPr>
        <w:t>信息公开选项：</w:t>
      </w:r>
      <w:r>
        <w:rPr>
          <w:rFonts w:hint="eastAsia" w:ascii="方正小标宋简体" w:hAnsi="方正小标宋简体" w:eastAsia="方正小标宋简体" w:cs="方正小标宋简体"/>
          <w:sz w:val="32"/>
          <w:szCs w:val="32"/>
          <w:lang w:val="en-US" w:eastAsia="zh-CN"/>
        </w:rPr>
        <w:t>主动公开</w:t>
      </w:r>
    </w:p>
    <w:p>
      <w:pPr>
        <w:keepNext w:val="0"/>
        <w:keepLines w:val="0"/>
        <w:pageBreakBefore w:val="0"/>
        <w:widowControl w:val="0"/>
        <w:pBdr>
          <w:top w:val="single" w:color="auto" w:sz="6" w:space="1"/>
          <w:bottom w:val="single" w:color="auto" w:sz="6" w:space="0"/>
        </w:pBdr>
        <w:kinsoku/>
        <w:wordWrap/>
        <w:overflowPunct/>
        <w:topLinePunct w:val="0"/>
        <w:autoSpaceDE/>
        <w:autoSpaceDN/>
        <w:bidi w:val="0"/>
        <w:adjustRightInd/>
        <w:snapToGrid/>
        <w:spacing w:line="500" w:lineRule="exact"/>
        <w:ind w:firstLine="274" w:firstLineChars="98"/>
        <w:textAlignment w:val="auto"/>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sz w:val="28"/>
          <w:szCs w:val="28"/>
        </w:rPr>
        <w:t>乐山市卫生健康委员会</w:t>
      </w:r>
      <w:r>
        <w:rPr>
          <w:rFonts w:hint="eastAsia" w:ascii="仿宋_GB2312" w:hAnsi="仿宋_GB2312" w:eastAsia="仿宋_GB2312" w:cs="仿宋_GB2312"/>
          <w:sz w:val="28"/>
          <w:szCs w:val="28"/>
          <w:lang w:val="en-US" w:eastAsia="zh-CN"/>
        </w:rPr>
        <w:t>办公室</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ascii="仿宋_GB2312" w:hAnsi="仿宋_GB2312" w:eastAsia="仿宋_GB2312" w:cs="仿宋_GB2312"/>
          <w:sz w:val="28"/>
          <w:szCs w:val="28"/>
        </w:rPr>
        <w:t xml:space="preserve">   20</w:t>
      </w:r>
      <w:r>
        <w:rPr>
          <w:rFonts w:hint="eastAsia" w:ascii="仿宋_GB2312" w:hAnsi="仿宋_GB2312" w:eastAsia="仿宋_GB2312" w:cs="仿宋_GB2312"/>
          <w:sz w:val="28"/>
          <w:szCs w:val="28"/>
          <w:lang w:val="en-US" w:eastAsia="zh-CN"/>
        </w:rPr>
        <w:t>23</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29</w:t>
      </w:r>
      <w:r>
        <w:rPr>
          <w:rFonts w:hint="eastAsia" w:ascii="仿宋_GB2312" w:hAnsi="仿宋_GB2312" w:eastAsia="仿宋_GB2312" w:cs="仿宋_GB2312"/>
          <w:sz w:val="28"/>
          <w:szCs w:val="28"/>
        </w:rPr>
        <w:t>日印发</w:t>
      </w:r>
      <w:bookmarkStart w:id="27" w:name="_GoBack"/>
      <w:bookmarkEnd w:id="27"/>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p>
    <w:sectPr>
      <w:footerReference r:id="rId3" w:type="default"/>
      <w:pgSz w:w="11906" w:h="16838"/>
      <w:pgMar w:top="1984" w:right="1361" w:bottom="1134" w:left="1474" w:header="851" w:footer="62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58CE53"/>
    <w:multiLevelType w:val="singleLevel"/>
    <w:tmpl w:val="C358CE53"/>
    <w:lvl w:ilvl="0" w:tentative="0">
      <w:start w:val="10"/>
      <w:numFmt w:val="decimal"/>
      <w:lvlText w:val="%1."/>
      <w:lvlJc w:val="left"/>
      <w:pPr>
        <w:tabs>
          <w:tab w:val="left" w:pos="312"/>
        </w:tabs>
      </w:pPr>
    </w:lvl>
  </w:abstractNum>
  <w:abstractNum w:abstractNumId="1">
    <w:nsid w:val="2DA0248B"/>
    <w:multiLevelType w:val="singleLevel"/>
    <w:tmpl w:val="2DA0248B"/>
    <w:lvl w:ilvl="0" w:tentative="0">
      <w:start w:val="1"/>
      <w:numFmt w:val="chineseCounting"/>
      <w:suff w:val="nothing"/>
      <w:lvlText w:val="%1、"/>
      <w:lvlJc w:val="left"/>
      <w:rPr>
        <w:rFonts w:hint="eastAsia" w:ascii="黑体" w:hAnsi="黑体" w:eastAsia="黑体" w:cs="黑体"/>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lMWZlZWIyMWY1MTRkY2JmZWJlM2RmMjkxMjFlYTgifQ=="/>
  </w:docVars>
  <w:rsids>
    <w:rsidRoot w:val="00172A27"/>
    <w:rsid w:val="00501EE6"/>
    <w:rsid w:val="00D26D9F"/>
    <w:rsid w:val="00F95E02"/>
    <w:rsid w:val="01303AC5"/>
    <w:rsid w:val="01E70628"/>
    <w:rsid w:val="022C24DE"/>
    <w:rsid w:val="025739FF"/>
    <w:rsid w:val="028A6C67"/>
    <w:rsid w:val="02E62FD5"/>
    <w:rsid w:val="031F2043"/>
    <w:rsid w:val="035E4919"/>
    <w:rsid w:val="037A38B6"/>
    <w:rsid w:val="03DA48E8"/>
    <w:rsid w:val="04635E25"/>
    <w:rsid w:val="04956A61"/>
    <w:rsid w:val="050F6813"/>
    <w:rsid w:val="05704DD8"/>
    <w:rsid w:val="05E82BC0"/>
    <w:rsid w:val="062F07EF"/>
    <w:rsid w:val="07727F9D"/>
    <w:rsid w:val="08846531"/>
    <w:rsid w:val="097C01EF"/>
    <w:rsid w:val="09FF457F"/>
    <w:rsid w:val="0A590531"/>
    <w:rsid w:val="0AB539B9"/>
    <w:rsid w:val="0AF54E47"/>
    <w:rsid w:val="0B9C2483"/>
    <w:rsid w:val="0B9F1713"/>
    <w:rsid w:val="0C193AD3"/>
    <w:rsid w:val="0C7809D9"/>
    <w:rsid w:val="0C871385"/>
    <w:rsid w:val="0CF462EF"/>
    <w:rsid w:val="0D023E33"/>
    <w:rsid w:val="0D5A3146"/>
    <w:rsid w:val="0D9773A6"/>
    <w:rsid w:val="0DD07675"/>
    <w:rsid w:val="0ECC12D1"/>
    <w:rsid w:val="0F136F00"/>
    <w:rsid w:val="0F7414C6"/>
    <w:rsid w:val="0FC401FA"/>
    <w:rsid w:val="1010343F"/>
    <w:rsid w:val="10590DFB"/>
    <w:rsid w:val="10FE2B03"/>
    <w:rsid w:val="11457119"/>
    <w:rsid w:val="11554042"/>
    <w:rsid w:val="12097203"/>
    <w:rsid w:val="1250304B"/>
    <w:rsid w:val="1299596E"/>
    <w:rsid w:val="13416360"/>
    <w:rsid w:val="137B1518"/>
    <w:rsid w:val="1395575F"/>
    <w:rsid w:val="13DA7FEC"/>
    <w:rsid w:val="14373691"/>
    <w:rsid w:val="149A59CD"/>
    <w:rsid w:val="14DF419D"/>
    <w:rsid w:val="14FB46BE"/>
    <w:rsid w:val="15587404"/>
    <w:rsid w:val="159B37AB"/>
    <w:rsid w:val="16253698"/>
    <w:rsid w:val="1720040C"/>
    <w:rsid w:val="174A36DB"/>
    <w:rsid w:val="180146AE"/>
    <w:rsid w:val="183D0B4A"/>
    <w:rsid w:val="18414ADE"/>
    <w:rsid w:val="18504D21"/>
    <w:rsid w:val="18CD0120"/>
    <w:rsid w:val="19102702"/>
    <w:rsid w:val="19137AFC"/>
    <w:rsid w:val="19143498"/>
    <w:rsid w:val="194505FE"/>
    <w:rsid w:val="19A03A86"/>
    <w:rsid w:val="19B80DD0"/>
    <w:rsid w:val="19BB266E"/>
    <w:rsid w:val="19E80F89"/>
    <w:rsid w:val="1A0A7151"/>
    <w:rsid w:val="1A34412A"/>
    <w:rsid w:val="1A9D7434"/>
    <w:rsid w:val="1A9F789A"/>
    <w:rsid w:val="1AB1581F"/>
    <w:rsid w:val="1ACE63D1"/>
    <w:rsid w:val="1B3B0473"/>
    <w:rsid w:val="1B5543FC"/>
    <w:rsid w:val="1B9B40BF"/>
    <w:rsid w:val="1BD16179"/>
    <w:rsid w:val="1BDE0896"/>
    <w:rsid w:val="1C3F7586"/>
    <w:rsid w:val="1C752FA8"/>
    <w:rsid w:val="1C9553F8"/>
    <w:rsid w:val="1C9A2A0F"/>
    <w:rsid w:val="1CA473E9"/>
    <w:rsid w:val="1CD22A46"/>
    <w:rsid w:val="1D3F5364"/>
    <w:rsid w:val="1D5232E9"/>
    <w:rsid w:val="1D8B2357"/>
    <w:rsid w:val="1E023FDD"/>
    <w:rsid w:val="1E682698"/>
    <w:rsid w:val="1EFFD84B"/>
    <w:rsid w:val="1F0625DD"/>
    <w:rsid w:val="1FB42039"/>
    <w:rsid w:val="1FFC753C"/>
    <w:rsid w:val="202F16C0"/>
    <w:rsid w:val="204C04C4"/>
    <w:rsid w:val="20BF0C96"/>
    <w:rsid w:val="20E73D48"/>
    <w:rsid w:val="216058A9"/>
    <w:rsid w:val="21717AB6"/>
    <w:rsid w:val="21A47581"/>
    <w:rsid w:val="21E45928"/>
    <w:rsid w:val="21F1456A"/>
    <w:rsid w:val="222338A2"/>
    <w:rsid w:val="22525B39"/>
    <w:rsid w:val="22702BA0"/>
    <w:rsid w:val="22A5210D"/>
    <w:rsid w:val="22DFB896"/>
    <w:rsid w:val="2324723B"/>
    <w:rsid w:val="232A43C0"/>
    <w:rsid w:val="234F5BD5"/>
    <w:rsid w:val="23C72304"/>
    <w:rsid w:val="23E822B1"/>
    <w:rsid w:val="24107A5A"/>
    <w:rsid w:val="244D198D"/>
    <w:rsid w:val="247955FF"/>
    <w:rsid w:val="24D10F97"/>
    <w:rsid w:val="255C2F33"/>
    <w:rsid w:val="25861D82"/>
    <w:rsid w:val="25E40BED"/>
    <w:rsid w:val="26C30DB4"/>
    <w:rsid w:val="26C52DB4"/>
    <w:rsid w:val="277976C4"/>
    <w:rsid w:val="277ACD59"/>
    <w:rsid w:val="27C272BD"/>
    <w:rsid w:val="291122AA"/>
    <w:rsid w:val="299A22A0"/>
    <w:rsid w:val="2AC84BEB"/>
    <w:rsid w:val="2B77216D"/>
    <w:rsid w:val="2BB5CB0B"/>
    <w:rsid w:val="2BC76C50"/>
    <w:rsid w:val="2C275941"/>
    <w:rsid w:val="2C3047F6"/>
    <w:rsid w:val="2C7C7A3B"/>
    <w:rsid w:val="2CD94E32"/>
    <w:rsid w:val="2D811081"/>
    <w:rsid w:val="2DAC07F4"/>
    <w:rsid w:val="2DB97143"/>
    <w:rsid w:val="2DC31151"/>
    <w:rsid w:val="2DE51610"/>
    <w:rsid w:val="2E0D66D8"/>
    <w:rsid w:val="2E7B1F74"/>
    <w:rsid w:val="2EBA0CEE"/>
    <w:rsid w:val="2F020FF7"/>
    <w:rsid w:val="2F3445FD"/>
    <w:rsid w:val="2F481CF8"/>
    <w:rsid w:val="2F6E083E"/>
    <w:rsid w:val="2FAD43AF"/>
    <w:rsid w:val="2FE14059"/>
    <w:rsid w:val="301D5142"/>
    <w:rsid w:val="30336FAA"/>
    <w:rsid w:val="30CC3179"/>
    <w:rsid w:val="30E91417"/>
    <w:rsid w:val="313C59EB"/>
    <w:rsid w:val="31A976B3"/>
    <w:rsid w:val="31CC3212"/>
    <w:rsid w:val="31D4582C"/>
    <w:rsid w:val="320504D2"/>
    <w:rsid w:val="326071AE"/>
    <w:rsid w:val="326F4845"/>
    <w:rsid w:val="341C1B03"/>
    <w:rsid w:val="34297241"/>
    <w:rsid w:val="345A1606"/>
    <w:rsid w:val="34DF3A6C"/>
    <w:rsid w:val="34FC63A5"/>
    <w:rsid w:val="35643762"/>
    <w:rsid w:val="359609A8"/>
    <w:rsid w:val="359702D2"/>
    <w:rsid w:val="36CA4F8C"/>
    <w:rsid w:val="37557806"/>
    <w:rsid w:val="375A4E1C"/>
    <w:rsid w:val="376033EE"/>
    <w:rsid w:val="377EB63F"/>
    <w:rsid w:val="37F6B277"/>
    <w:rsid w:val="380D0661"/>
    <w:rsid w:val="38481119"/>
    <w:rsid w:val="387C7014"/>
    <w:rsid w:val="38CD7870"/>
    <w:rsid w:val="39202096"/>
    <w:rsid w:val="39E84962"/>
    <w:rsid w:val="39ED2336"/>
    <w:rsid w:val="3A012E7E"/>
    <w:rsid w:val="3A0B0650"/>
    <w:rsid w:val="3AB331C1"/>
    <w:rsid w:val="3AB40CE8"/>
    <w:rsid w:val="3B944428"/>
    <w:rsid w:val="3BFFF0D7"/>
    <w:rsid w:val="3C055B17"/>
    <w:rsid w:val="3C090BBF"/>
    <w:rsid w:val="3C5A141B"/>
    <w:rsid w:val="3C771FCD"/>
    <w:rsid w:val="3CB6C0EC"/>
    <w:rsid w:val="3CBC7B2B"/>
    <w:rsid w:val="3D45031D"/>
    <w:rsid w:val="3D6653EB"/>
    <w:rsid w:val="3D842BF3"/>
    <w:rsid w:val="3DA43295"/>
    <w:rsid w:val="3DAB4A4E"/>
    <w:rsid w:val="3DE11DF4"/>
    <w:rsid w:val="3E157956"/>
    <w:rsid w:val="3EC6723B"/>
    <w:rsid w:val="3F083864"/>
    <w:rsid w:val="3F516B05"/>
    <w:rsid w:val="3F9B5FD2"/>
    <w:rsid w:val="3FE94F8F"/>
    <w:rsid w:val="403F72A5"/>
    <w:rsid w:val="40674587"/>
    <w:rsid w:val="40FD69A3"/>
    <w:rsid w:val="417B336C"/>
    <w:rsid w:val="41A06FEC"/>
    <w:rsid w:val="41A81159"/>
    <w:rsid w:val="41B33AA7"/>
    <w:rsid w:val="421502BE"/>
    <w:rsid w:val="43B23158"/>
    <w:rsid w:val="43CD6976"/>
    <w:rsid w:val="44784B34"/>
    <w:rsid w:val="44A8366B"/>
    <w:rsid w:val="44E623E5"/>
    <w:rsid w:val="44FE16D9"/>
    <w:rsid w:val="46530283"/>
    <w:rsid w:val="46C2478C"/>
    <w:rsid w:val="47482EE3"/>
    <w:rsid w:val="47CA7D9C"/>
    <w:rsid w:val="47EA0461"/>
    <w:rsid w:val="483D056E"/>
    <w:rsid w:val="48DD3AFF"/>
    <w:rsid w:val="490B5F77"/>
    <w:rsid w:val="493279A7"/>
    <w:rsid w:val="495876ED"/>
    <w:rsid w:val="49711A1D"/>
    <w:rsid w:val="49BC1967"/>
    <w:rsid w:val="49F66C27"/>
    <w:rsid w:val="4AEB2504"/>
    <w:rsid w:val="4B117A90"/>
    <w:rsid w:val="4B401B6C"/>
    <w:rsid w:val="4C51283A"/>
    <w:rsid w:val="4C6F4A6E"/>
    <w:rsid w:val="4C9E35A6"/>
    <w:rsid w:val="4D16630D"/>
    <w:rsid w:val="4D20220D"/>
    <w:rsid w:val="4D88228C"/>
    <w:rsid w:val="4D924EB8"/>
    <w:rsid w:val="4DC1754C"/>
    <w:rsid w:val="4E2E4AAF"/>
    <w:rsid w:val="4E5B34FC"/>
    <w:rsid w:val="4E6D1482"/>
    <w:rsid w:val="4E7B76FB"/>
    <w:rsid w:val="4FA3D0A3"/>
    <w:rsid w:val="4FDA48F5"/>
    <w:rsid w:val="510452E7"/>
    <w:rsid w:val="520C1272"/>
    <w:rsid w:val="522F0666"/>
    <w:rsid w:val="524A3FB4"/>
    <w:rsid w:val="525A1D1D"/>
    <w:rsid w:val="52782003"/>
    <w:rsid w:val="52B633F7"/>
    <w:rsid w:val="52CF44B9"/>
    <w:rsid w:val="52D65847"/>
    <w:rsid w:val="53673A3C"/>
    <w:rsid w:val="54707211"/>
    <w:rsid w:val="54F40207"/>
    <w:rsid w:val="54FB77E7"/>
    <w:rsid w:val="55020B76"/>
    <w:rsid w:val="552A59D6"/>
    <w:rsid w:val="554A6079"/>
    <w:rsid w:val="558A2919"/>
    <w:rsid w:val="55FB63F2"/>
    <w:rsid w:val="579E08FE"/>
    <w:rsid w:val="57B43C7D"/>
    <w:rsid w:val="57E04A72"/>
    <w:rsid w:val="580544D9"/>
    <w:rsid w:val="58555460"/>
    <w:rsid w:val="58581C38"/>
    <w:rsid w:val="58672482"/>
    <w:rsid w:val="58782D8B"/>
    <w:rsid w:val="58BE1257"/>
    <w:rsid w:val="5916165A"/>
    <w:rsid w:val="594F04E1"/>
    <w:rsid w:val="597E09E7"/>
    <w:rsid w:val="5A7142BE"/>
    <w:rsid w:val="5AA1673B"/>
    <w:rsid w:val="5AC8016B"/>
    <w:rsid w:val="5ADC3C17"/>
    <w:rsid w:val="5B25738A"/>
    <w:rsid w:val="5B58092E"/>
    <w:rsid w:val="5B7DE912"/>
    <w:rsid w:val="5BE32D83"/>
    <w:rsid w:val="5C5504D2"/>
    <w:rsid w:val="5CB95DA7"/>
    <w:rsid w:val="5CEE378D"/>
    <w:rsid w:val="5D5C103F"/>
    <w:rsid w:val="5D6BD904"/>
    <w:rsid w:val="5D8A795A"/>
    <w:rsid w:val="5E2002BE"/>
    <w:rsid w:val="5E7A79CF"/>
    <w:rsid w:val="5E8E6FD6"/>
    <w:rsid w:val="5F5F43DD"/>
    <w:rsid w:val="5FA12D39"/>
    <w:rsid w:val="5FC0253F"/>
    <w:rsid w:val="608D150F"/>
    <w:rsid w:val="60DA0520"/>
    <w:rsid w:val="61045C75"/>
    <w:rsid w:val="615A5895"/>
    <w:rsid w:val="623C143F"/>
    <w:rsid w:val="62B64D4D"/>
    <w:rsid w:val="62FB09B2"/>
    <w:rsid w:val="63534C92"/>
    <w:rsid w:val="63576530"/>
    <w:rsid w:val="6467683B"/>
    <w:rsid w:val="646B1616"/>
    <w:rsid w:val="65C6174B"/>
    <w:rsid w:val="65E9368C"/>
    <w:rsid w:val="65EA2F94"/>
    <w:rsid w:val="666F5074"/>
    <w:rsid w:val="66BC0585"/>
    <w:rsid w:val="66CA2093"/>
    <w:rsid w:val="66E520A5"/>
    <w:rsid w:val="679FC637"/>
    <w:rsid w:val="67F0485E"/>
    <w:rsid w:val="68CD2DF1"/>
    <w:rsid w:val="68E11616"/>
    <w:rsid w:val="6945507D"/>
    <w:rsid w:val="69C24906"/>
    <w:rsid w:val="6A1A2066"/>
    <w:rsid w:val="6AAA163C"/>
    <w:rsid w:val="6AC975E8"/>
    <w:rsid w:val="6AE12B83"/>
    <w:rsid w:val="6B1765A5"/>
    <w:rsid w:val="6B231056"/>
    <w:rsid w:val="6BA918F3"/>
    <w:rsid w:val="6BD050D2"/>
    <w:rsid w:val="6C0960AE"/>
    <w:rsid w:val="6CAE0840"/>
    <w:rsid w:val="6D230ABE"/>
    <w:rsid w:val="6D770B26"/>
    <w:rsid w:val="6DDF1C6C"/>
    <w:rsid w:val="6DEB6B57"/>
    <w:rsid w:val="6DF502A2"/>
    <w:rsid w:val="6E3D53ED"/>
    <w:rsid w:val="6E731D44"/>
    <w:rsid w:val="6EAD16FA"/>
    <w:rsid w:val="6F135E79"/>
    <w:rsid w:val="6F40431D"/>
    <w:rsid w:val="6F614293"/>
    <w:rsid w:val="6F833042"/>
    <w:rsid w:val="6FBC2DA2"/>
    <w:rsid w:val="6FE918B2"/>
    <w:rsid w:val="6FF751F0"/>
    <w:rsid w:val="6FFFFDE6"/>
    <w:rsid w:val="70117A67"/>
    <w:rsid w:val="70BF5715"/>
    <w:rsid w:val="70CB5E68"/>
    <w:rsid w:val="70E707C8"/>
    <w:rsid w:val="717C3606"/>
    <w:rsid w:val="71A87F57"/>
    <w:rsid w:val="727C62E9"/>
    <w:rsid w:val="7285473C"/>
    <w:rsid w:val="728E1843"/>
    <w:rsid w:val="730B69EF"/>
    <w:rsid w:val="73171838"/>
    <w:rsid w:val="733F6699"/>
    <w:rsid w:val="735F0AE9"/>
    <w:rsid w:val="73A0182E"/>
    <w:rsid w:val="73C3551C"/>
    <w:rsid w:val="74116287"/>
    <w:rsid w:val="74253E6F"/>
    <w:rsid w:val="7461643C"/>
    <w:rsid w:val="74933140"/>
    <w:rsid w:val="74BB61F3"/>
    <w:rsid w:val="74D16624"/>
    <w:rsid w:val="74DD464D"/>
    <w:rsid w:val="74E220C3"/>
    <w:rsid w:val="74E7348C"/>
    <w:rsid w:val="751029E3"/>
    <w:rsid w:val="75F61BD9"/>
    <w:rsid w:val="768F113A"/>
    <w:rsid w:val="76F8372F"/>
    <w:rsid w:val="776B5CAF"/>
    <w:rsid w:val="7789082B"/>
    <w:rsid w:val="779F1DFC"/>
    <w:rsid w:val="77CFBCD2"/>
    <w:rsid w:val="77FDAA89"/>
    <w:rsid w:val="78412EB3"/>
    <w:rsid w:val="78811502"/>
    <w:rsid w:val="7883948F"/>
    <w:rsid w:val="78F122C1"/>
    <w:rsid w:val="79860AE7"/>
    <w:rsid w:val="7A7B26AD"/>
    <w:rsid w:val="7A97325F"/>
    <w:rsid w:val="7BB31B7B"/>
    <w:rsid w:val="7BBC0C50"/>
    <w:rsid w:val="7BDEA7F5"/>
    <w:rsid w:val="7BE990BF"/>
    <w:rsid w:val="7C97219C"/>
    <w:rsid w:val="7CA12173"/>
    <w:rsid w:val="7CA81753"/>
    <w:rsid w:val="7CE56503"/>
    <w:rsid w:val="7CEE2B0C"/>
    <w:rsid w:val="7D1D1F09"/>
    <w:rsid w:val="7D6A4C5A"/>
    <w:rsid w:val="7DA77CBD"/>
    <w:rsid w:val="7DB01F1F"/>
    <w:rsid w:val="7DBD122E"/>
    <w:rsid w:val="7DDCFCB9"/>
    <w:rsid w:val="7DEF3743"/>
    <w:rsid w:val="7DF6F5E6"/>
    <w:rsid w:val="7DFC7386"/>
    <w:rsid w:val="7DFF46E6"/>
    <w:rsid w:val="7E5A4CCF"/>
    <w:rsid w:val="7E90249F"/>
    <w:rsid w:val="7EFF9B64"/>
    <w:rsid w:val="7F7EB946"/>
    <w:rsid w:val="7FBF0B3D"/>
    <w:rsid w:val="7FDA341C"/>
    <w:rsid w:val="7FE9BC27"/>
    <w:rsid w:val="ABFFF1F6"/>
    <w:rsid w:val="AEBF9E44"/>
    <w:rsid w:val="B1FD7381"/>
    <w:rsid w:val="B2EFE1ED"/>
    <w:rsid w:val="BAF83DAD"/>
    <w:rsid w:val="BB5D93EF"/>
    <w:rsid w:val="BDFFCA5E"/>
    <w:rsid w:val="BF2D4A16"/>
    <w:rsid w:val="BF74FE7A"/>
    <w:rsid w:val="BFDFF2DA"/>
    <w:rsid w:val="D6FEBB48"/>
    <w:rsid w:val="DCEE3B95"/>
    <w:rsid w:val="DCFFFD30"/>
    <w:rsid w:val="DDFF1D74"/>
    <w:rsid w:val="DE4BF7BC"/>
    <w:rsid w:val="DEBF9CC8"/>
    <w:rsid w:val="DEF7C82D"/>
    <w:rsid w:val="DF7FB20E"/>
    <w:rsid w:val="DFDA8205"/>
    <w:rsid w:val="EEDD1C04"/>
    <w:rsid w:val="EFDF3F9B"/>
    <w:rsid w:val="EFEF1614"/>
    <w:rsid w:val="F2CD9266"/>
    <w:rsid w:val="F4BD3F3E"/>
    <w:rsid w:val="F65AC57A"/>
    <w:rsid w:val="F797245B"/>
    <w:rsid w:val="F7BF97AE"/>
    <w:rsid w:val="F7DF7DCD"/>
    <w:rsid w:val="F7DFAD63"/>
    <w:rsid w:val="FBFFDCBA"/>
    <w:rsid w:val="FC3D98AD"/>
    <w:rsid w:val="FDF343AC"/>
    <w:rsid w:val="FDFF0AEC"/>
    <w:rsid w:val="FE97E74D"/>
    <w:rsid w:val="FFB3661F"/>
    <w:rsid w:val="FFFFC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Heading2"/>
    <w:basedOn w:val="1"/>
    <w:next w:val="1"/>
    <w:qFormat/>
    <w:uiPriority w:val="99"/>
    <w:pPr>
      <w:keepNext/>
      <w:keepLines/>
      <w:widowControl/>
      <w:spacing w:before="260" w:after="260" w:line="416" w:lineRule="auto"/>
      <w:textAlignment w:val="baseline"/>
    </w:pPr>
    <w:rPr>
      <w:rFonts w:ascii="Cambria" w:hAnsi="Cambria"/>
      <w:b/>
      <w:bCs/>
      <w:sz w:val="32"/>
      <w:szCs w:val="32"/>
    </w:rPr>
  </w:style>
  <w:style w:type="paragraph" w:styleId="4">
    <w:name w:val="Normal Indent"/>
    <w:basedOn w:val="1"/>
    <w:qFormat/>
    <w:uiPriority w:val="0"/>
    <w:pPr>
      <w:spacing w:line="560" w:lineRule="exact"/>
      <w:ind w:firstLine="200" w:firstLineChars="200"/>
    </w:pPr>
    <w:rPr>
      <w:rFonts w:eastAsia="仿宋_GB2312"/>
      <w:b/>
      <w:color w:val="000000"/>
      <w:sz w:val="32"/>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99"/>
    <w:rPr>
      <w:rFonts w:cs="Times New Roman"/>
    </w:rPr>
  </w:style>
  <w:style w:type="character" w:customStyle="1" w:styleId="12">
    <w:name w:val="zi221"/>
    <w:qFormat/>
    <w:uiPriority w:val="0"/>
    <w:rPr>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9719</Words>
  <Characters>10021</Characters>
  <Lines>0</Lines>
  <Paragraphs>0</Paragraphs>
  <TotalTime>66</TotalTime>
  <ScaleCrop>false</ScaleCrop>
  <LinksUpToDate>false</LinksUpToDate>
  <CharactersWithSpaces>10091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2022-11-19T01:08:00Z</dcterms:created>
  <dc:creator>Lenovo</dc:creator>
  <cp:lastModifiedBy>遇之恩</cp:lastModifiedBy>
  <cp:lastPrinted>2023-03-17T02:25:00Z</cp:lastPrinted>
  <dcterms:modified xsi:type="dcterms:W3CDTF">2023-03-29T08:16:55Z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9EC9BD14FA574D5586B4A420F24BF9F7</vt:lpwstr>
  </property>
</Properties>
</file>