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4C141">
      <w:pPr>
        <w:spacing w:line="480" w:lineRule="auto"/>
        <w:ind w:firstLine="0" w:firstLineChars="0"/>
        <w:jc w:val="left"/>
        <w:outlineLvl w:val="0"/>
        <w:rPr>
          <w:rFonts w:hint="default" w:ascii="Times New Roman" w:hAnsi="Times New Roman" w:eastAsia="黑体" w:cs="Times New Roman"/>
          <w:kern w:val="0"/>
          <w:lang w:val="en-US" w:eastAsia="zh-CN"/>
        </w:rPr>
      </w:pPr>
      <w:bookmarkStart w:id="0" w:name="_Toc6554"/>
      <w:bookmarkStart w:id="1" w:name="_Toc13404"/>
      <w:bookmarkStart w:id="2" w:name="_Toc22654"/>
      <w:bookmarkStart w:id="3" w:name="_Toc13373"/>
      <w:bookmarkStart w:id="4" w:name="_Toc16207"/>
      <w:bookmarkStart w:id="5" w:name="_Toc20328"/>
      <w:r>
        <w:rPr>
          <w:rFonts w:hint="default" w:ascii="Times New Roman" w:hAnsi="Times New Roman" w:eastAsia="黑体" w:cs="Times New Roman"/>
          <w:kern w:val="0"/>
        </w:rPr>
        <w:t>附件</w:t>
      </w:r>
      <w:bookmarkEnd w:id="0"/>
      <w:bookmarkEnd w:id="1"/>
      <w:bookmarkEnd w:id="2"/>
      <w:bookmarkEnd w:id="3"/>
      <w:bookmarkEnd w:id="4"/>
      <w:r>
        <w:rPr>
          <w:rFonts w:hint="default" w:ascii="Times New Roman" w:hAnsi="Times New Roman" w:eastAsia="黑体" w:cs="Times New Roman"/>
          <w:kern w:val="0"/>
          <w:lang w:val="en-US" w:eastAsia="zh-CN"/>
        </w:rPr>
        <w:t>2</w:t>
      </w:r>
      <w:bookmarkEnd w:id="5"/>
    </w:p>
    <w:p w14:paraId="3F61F3FB">
      <w:pPr>
        <w:widowControl/>
        <w:spacing w:line="700" w:lineRule="exact"/>
        <w:ind w:firstLine="0" w:firstLineChars="0"/>
        <w:jc w:val="center"/>
        <w:rPr>
          <w:rFonts w:hint="default" w:ascii="Times New Roman" w:hAnsi="Times New Roman" w:cs="Times New Roman"/>
        </w:rPr>
      </w:pPr>
      <w:bookmarkStart w:id="6" w:name="_GoBack"/>
      <w:r>
        <w:rPr>
          <w:rFonts w:hint="eastAsia" w:ascii="Times New Roman" w:eastAsia="方正小标宋简体" w:cs="Times New Roman"/>
          <w:color w:val="000000"/>
          <w:kern w:val="0"/>
          <w:sz w:val="36"/>
          <w:szCs w:val="36"/>
          <w:lang w:eastAsia="zh-CN"/>
        </w:rPr>
        <w:t>乐山高新区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自然灾害救助应急预案启动条件及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响应主体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表</w:t>
      </w:r>
    </w:p>
    <w:bookmarkEnd w:id="6"/>
    <w:tbl>
      <w:tblPr>
        <w:tblStyle w:val="5"/>
        <w:tblW w:w="148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646"/>
        <w:gridCol w:w="2096"/>
        <w:gridCol w:w="1973"/>
        <w:gridCol w:w="2063"/>
        <w:gridCol w:w="1593"/>
        <w:gridCol w:w="4723"/>
      </w:tblGrid>
      <w:tr w14:paraId="59BB9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774" w:type="dxa"/>
            <w:vMerge w:val="restart"/>
            <w:noWrap w:val="0"/>
            <w:vAlign w:val="center"/>
          </w:tcPr>
          <w:p w14:paraId="04588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响应等级</w:t>
            </w:r>
          </w:p>
        </w:tc>
        <w:tc>
          <w:tcPr>
            <w:tcW w:w="9371" w:type="dxa"/>
            <w:gridSpan w:val="5"/>
            <w:noWrap w:val="0"/>
            <w:vAlign w:val="center"/>
          </w:tcPr>
          <w:p w14:paraId="5280A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启动条件：一次灾害过程，出现下列情况之一的（本表数据以上含本数，以下不含本数）。</w:t>
            </w:r>
          </w:p>
        </w:tc>
        <w:tc>
          <w:tcPr>
            <w:tcW w:w="4723" w:type="dxa"/>
            <w:vMerge w:val="restart"/>
            <w:noWrap w:val="0"/>
            <w:vAlign w:val="center"/>
          </w:tcPr>
          <w:p w14:paraId="04871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启动响应主体</w:t>
            </w:r>
          </w:p>
        </w:tc>
      </w:tr>
      <w:tr w14:paraId="5D6C9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 w14:paraId="47860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6" w:type="dxa"/>
            <w:vMerge w:val="restart"/>
            <w:noWrap w:val="0"/>
            <w:vAlign w:val="center"/>
          </w:tcPr>
          <w:p w14:paraId="59654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因灾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死亡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和失踪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人口（人）</w:t>
            </w:r>
          </w:p>
        </w:tc>
        <w:tc>
          <w:tcPr>
            <w:tcW w:w="2096" w:type="dxa"/>
            <w:vMerge w:val="restart"/>
            <w:noWrap w:val="0"/>
            <w:vAlign w:val="center"/>
          </w:tcPr>
          <w:p w14:paraId="5E037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紧急转移安置人数或需生活救助人口（人）</w:t>
            </w:r>
          </w:p>
        </w:tc>
        <w:tc>
          <w:tcPr>
            <w:tcW w:w="1973" w:type="dxa"/>
            <w:vMerge w:val="restart"/>
            <w:noWrap w:val="0"/>
            <w:vAlign w:val="center"/>
          </w:tcPr>
          <w:p w14:paraId="6D16A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倒塌和严重损坏房屋（间、户）</w:t>
            </w:r>
          </w:p>
        </w:tc>
        <w:tc>
          <w:tcPr>
            <w:tcW w:w="3656" w:type="dxa"/>
            <w:gridSpan w:val="2"/>
            <w:noWrap w:val="0"/>
            <w:vAlign w:val="center"/>
          </w:tcPr>
          <w:p w14:paraId="1B1BB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3"/>
                <w:sz w:val="24"/>
                <w:szCs w:val="24"/>
              </w:rPr>
              <w:t>因旱需生活救助人口</w:t>
            </w:r>
          </w:p>
        </w:tc>
        <w:tc>
          <w:tcPr>
            <w:tcW w:w="4723" w:type="dxa"/>
            <w:vMerge w:val="continue"/>
            <w:noWrap w:val="0"/>
            <w:vAlign w:val="center"/>
          </w:tcPr>
          <w:p w14:paraId="41366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</w:tc>
      </w:tr>
      <w:tr w14:paraId="7EE5A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74" w:type="dxa"/>
            <w:vMerge w:val="continue"/>
            <w:noWrap w:val="0"/>
            <w:vAlign w:val="center"/>
          </w:tcPr>
          <w:p w14:paraId="0F9645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46" w:type="dxa"/>
            <w:vMerge w:val="continue"/>
            <w:noWrap w:val="0"/>
            <w:vAlign w:val="center"/>
          </w:tcPr>
          <w:p w14:paraId="3142C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96" w:type="dxa"/>
            <w:vMerge w:val="continue"/>
            <w:noWrap w:val="0"/>
            <w:vAlign w:val="center"/>
          </w:tcPr>
          <w:p w14:paraId="54661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973" w:type="dxa"/>
            <w:vMerge w:val="continue"/>
            <w:noWrap w:val="0"/>
            <w:vAlign w:val="center"/>
          </w:tcPr>
          <w:p w14:paraId="4B516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63" w:type="dxa"/>
            <w:noWrap w:val="0"/>
            <w:vAlign w:val="center"/>
          </w:tcPr>
          <w:p w14:paraId="244B5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-5"/>
                <w:sz w:val="24"/>
                <w:szCs w:val="24"/>
              </w:rPr>
              <w:t>占农业人口比例</w:t>
            </w:r>
          </w:p>
        </w:tc>
        <w:tc>
          <w:tcPr>
            <w:tcW w:w="1593" w:type="dxa"/>
            <w:noWrap w:val="0"/>
            <w:vAlign w:val="center"/>
          </w:tcPr>
          <w:p w14:paraId="27F65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人口（人）</w:t>
            </w:r>
          </w:p>
        </w:tc>
        <w:tc>
          <w:tcPr>
            <w:tcW w:w="4723" w:type="dxa"/>
            <w:vMerge w:val="continue"/>
            <w:noWrap w:val="0"/>
            <w:vAlign w:val="center"/>
          </w:tcPr>
          <w:p w14:paraId="134E4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1E9E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74" w:type="dxa"/>
            <w:noWrap w:val="0"/>
            <w:vAlign w:val="center"/>
          </w:tcPr>
          <w:p w14:paraId="50D03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646" w:type="dxa"/>
            <w:noWrap w:val="0"/>
            <w:vAlign w:val="center"/>
          </w:tcPr>
          <w:p w14:paraId="67E406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以上</w:t>
            </w:r>
          </w:p>
        </w:tc>
        <w:tc>
          <w:tcPr>
            <w:tcW w:w="2096" w:type="dxa"/>
            <w:noWrap w:val="0"/>
            <w:vAlign w:val="center"/>
          </w:tcPr>
          <w:p w14:paraId="50E49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5000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以上</w:t>
            </w:r>
          </w:p>
        </w:tc>
        <w:tc>
          <w:tcPr>
            <w:tcW w:w="1973" w:type="dxa"/>
            <w:noWrap w:val="0"/>
            <w:vAlign w:val="center"/>
          </w:tcPr>
          <w:p w14:paraId="777BB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500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间或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150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户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以上</w:t>
            </w:r>
          </w:p>
        </w:tc>
        <w:tc>
          <w:tcPr>
            <w:tcW w:w="2063" w:type="dxa"/>
            <w:noWrap w:val="0"/>
            <w:vAlign w:val="center"/>
          </w:tcPr>
          <w:p w14:paraId="23042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以上</w:t>
            </w:r>
          </w:p>
        </w:tc>
        <w:tc>
          <w:tcPr>
            <w:tcW w:w="1593" w:type="dxa"/>
            <w:noWrap w:val="0"/>
            <w:vAlign w:val="center"/>
          </w:tcPr>
          <w:p w14:paraId="073F1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6500以上</w:t>
            </w:r>
          </w:p>
        </w:tc>
        <w:tc>
          <w:tcPr>
            <w:tcW w:w="4723" w:type="dxa"/>
            <w:noWrap w:val="0"/>
            <w:vAlign w:val="center"/>
          </w:tcPr>
          <w:p w14:paraId="6B4B1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区防减救灾委主任决定启动一级救助响应，并向党工委、管委会报告。必要时，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党工委、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管委会直接决定启动一级救助响应。</w:t>
            </w:r>
          </w:p>
        </w:tc>
      </w:tr>
      <w:tr w14:paraId="00C71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74" w:type="dxa"/>
            <w:noWrap w:val="0"/>
            <w:vAlign w:val="center"/>
          </w:tcPr>
          <w:p w14:paraId="74FC99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646" w:type="dxa"/>
            <w:noWrap w:val="0"/>
            <w:vAlign w:val="center"/>
          </w:tcPr>
          <w:p w14:paraId="028CF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5—6</w:t>
            </w:r>
          </w:p>
        </w:tc>
        <w:tc>
          <w:tcPr>
            <w:tcW w:w="2096" w:type="dxa"/>
            <w:noWrap w:val="0"/>
            <w:vAlign w:val="center"/>
          </w:tcPr>
          <w:p w14:paraId="7D774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2500—5000</w:t>
            </w:r>
          </w:p>
        </w:tc>
        <w:tc>
          <w:tcPr>
            <w:tcW w:w="1973" w:type="dxa"/>
            <w:noWrap w:val="0"/>
            <w:vAlign w:val="center"/>
          </w:tcPr>
          <w:p w14:paraId="5FA2B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250-500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间或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80-150户</w:t>
            </w:r>
          </w:p>
        </w:tc>
        <w:tc>
          <w:tcPr>
            <w:tcW w:w="2063" w:type="dxa"/>
            <w:noWrap w:val="0"/>
            <w:vAlign w:val="center"/>
          </w:tcPr>
          <w:p w14:paraId="1D054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—25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</w:p>
        </w:tc>
        <w:tc>
          <w:tcPr>
            <w:tcW w:w="1593" w:type="dxa"/>
            <w:noWrap w:val="0"/>
            <w:vAlign w:val="center"/>
          </w:tcPr>
          <w:p w14:paraId="1B4B8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5000-6500</w:t>
            </w:r>
          </w:p>
        </w:tc>
        <w:tc>
          <w:tcPr>
            <w:tcW w:w="4723" w:type="dxa"/>
            <w:noWrap w:val="0"/>
            <w:vAlign w:val="center"/>
          </w:tcPr>
          <w:p w14:paraId="466C1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副主任决定，并向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主任报告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 w14:paraId="208E4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74" w:type="dxa"/>
            <w:noWrap w:val="0"/>
            <w:vAlign w:val="center"/>
          </w:tcPr>
          <w:p w14:paraId="092A3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三级</w:t>
            </w:r>
          </w:p>
        </w:tc>
        <w:tc>
          <w:tcPr>
            <w:tcW w:w="1646" w:type="dxa"/>
            <w:noWrap w:val="0"/>
            <w:vAlign w:val="center"/>
          </w:tcPr>
          <w:p w14:paraId="2A11C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3—4</w:t>
            </w:r>
          </w:p>
        </w:tc>
        <w:tc>
          <w:tcPr>
            <w:tcW w:w="2096" w:type="dxa"/>
            <w:noWrap w:val="0"/>
            <w:vAlign w:val="center"/>
          </w:tcPr>
          <w:p w14:paraId="5CA5E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1500—2500</w:t>
            </w:r>
          </w:p>
        </w:tc>
        <w:tc>
          <w:tcPr>
            <w:tcW w:w="1973" w:type="dxa"/>
            <w:noWrap w:val="0"/>
            <w:vAlign w:val="center"/>
          </w:tcPr>
          <w:p w14:paraId="49AF61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150-250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间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或50-80户</w:t>
            </w:r>
          </w:p>
        </w:tc>
        <w:tc>
          <w:tcPr>
            <w:tcW w:w="2063" w:type="dxa"/>
            <w:noWrap w:val="0"/>
            <w:vAlign w:val="center"/>
          </w:tcPr>
          <w:p w14:paraId="10605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—20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</w:p>
        </w:tc>
        <w:tc>
          <w:tcPr>
            <w:tcW w:w="1593" w:type="dxa"/>
            <w:noWrap w:val="0"/>
            <w:vAlign w:val="center"/>
          </w:tcPr>
          <w:p w14:paraId="05B61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3700-5000</w:t>
            </w:r>
          </w:p>
        </w:tc>
        <w:tc>
          <w:tcPr>
            <w:tcW w:w="4723" w:type="dxa"/>
            <w:noWrap w:val="0"/>
            <w:vAlign w:val="top"/>
          </w:tcPr>
          <w:p w14:paraId="24038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办主任决定启动三级响应，并向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副主任报告。</w:t>
            </w:r>
          </w:p>
        </w:tc>
      </w:tr>
      <w:tr w14:paraId="5B67C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774" w:type="dxa"/>
            <w:noWrap w:val="0"/>
            <w:vAlign w:val="center"/>
          </w:tcPr>
          <w:p w14:paraId="12253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四级</w:t>
            </w:r>
          </w:p>
        </w:tc>
        <w:tc>
          <w:tcPr>
            <w:tcW w:w="1646" w:type="dxa"/>
            <w:noWrap w:val="0"/>
            <w:vAlign w:val="center"/>
          </w:tcPr>
          <w:p w14:paraId="00D11A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1—2</w:t>
            </w:r>
          </w:p>
        </w:tc>
        <w:tc>
          <w:tcPr>
            <w:tcW w:w="2096" w:type="dxa"/>
            <w:noWrap w:val="0"/>
            <w:vAlign w:val="center"/>
          </w:tcPr>
          <w:p w14:paraId="5E827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1000—1500</w:t>
            </w:r>
          </w:p>
        </w:tc>
        <w:tc>
          <w:tcPr>
            <w:tcW w:w="1973" w:type="dxa"/>
            <w:noWrap w:val="0"/>
            <w:vAlign w:val="center"/>
          </w:tcPr>
          <w:p w14:paraId="3A974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50-150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间或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15-150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户</w:t>
            </w:r>
          </w:p>
        </w:tc>
        <w:tc>
          <w:tcPr>
            <w:tcW w:w="2063" w:type="dxa"/>
            <w:noWrap w:val="0"/>
            <w:vAlign w:val="center"/>
          </w:tcPr>
          <w:p w14:paraId="429F3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—15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%</w:t>
            </w:r>
          </w:p>
        </w:tc>
        <w:tc>
          <w:tcPr>
            <w:tcW w:w="1593" w:type="dxa"/>
            <w:noWrap w:val="0"/>
            <w:vAlign w:val="center"/>
          </w:tcPr>
          <w:p w14:paraId="3B52D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2500-3700</w:t>
            </w:r>
          </w:p>
        </w:tc>
        <w:tc>
          <w:tcPr>
            <w:tcW w:w="4723" w:type="dxa"/>
            <w:noWrap w:val="0"/>
            <w:vAlign w:val="top"/>
          </w:tcPr>
          <w:p w14:paraId="06383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办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副主任决定启动四级应急响应，并向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区防减救灾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办主任报告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  <w:tr w14:paraId="144DC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774" w:type="dxa"/>
            <w:noWrap w:val="0"/>
            <w:vAlign w:val="center"/>
          </w:tcPr>
          <w:p w14:paraId="7BD69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启动条件调整</w:t>
            </w:r>
          </w:p>
        </w:tc>
        <w:tc>
          <w:tcPr>
            <w:tcW w:w="14094" w:type="dxa"/>
            <w:gridSpan w:val="6"/>
            <w:noWrap w:val="0"/>
            <w:vAlign w:val="center"/>
          </w:tcPr>
          <w:p w14:paraId="0A043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对灾害发生在敏感地区、敏感时间和救助能力特别薄弱的地区，或灾害对我区经济社会造成重大影响时，启动区级自然灾害救助应急响应的标准可酌情调整。</w:t>
            </w:r>
          </w:p>
        </w:tc>
      </w:tr>
    </w:tbl>
    <w:p w14:paraId="19983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829ED"/>
    <w:rsid w:val="79D8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4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2025-05-08T08:09:00Z</dcterms:created>
  <dc:creator>小小。</dc:creator>
  <cp:lastModifiedBy>小小。</cp:lastModifiedBy>
  <dcterms:modified xsi:type="dcterms:W3CDTF">2025-05-08T08:13:28Z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E5B8B494A58E4B129BAC81D807A197D4_11</vt:lpwstr>
  </property>
  <property fmtid="{D5CDD505-2E9C-101B-9397-08002B2CF9AE}" pid="4" name="KSOTemplateDocerSaveRecord">
    <vt:lpwstr>eyJoZGlkIjoiZWE0MDZjMjBjMDIzNGYyNTI3NDRlYTIwZTE0N2M4YzMiLCJ1c2VySWQiOiI4MTg1NDMyMjEifQ==</vt:lpwstr>
  </property>
</Properties>
</file>