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B32A64D">
      <w:pPr>
        <w:spacing w:line="640" w:lineRule="exact"/>
        <w:jc w:val="center"/>
        <w:rPr>
          <w:rFonts w:hint="eastAsia" w:ascii="楷体_GB2312" w:hAnsi="楷体_GB2312" w:eastAsia="楷体_GB2312" w:cs="楷体_GB2312"/>
          <w:sz w:val="32"/>
          <w:szCs w:val="32"/>
        </w:rPr>
      </w:pPr>
      <w:r>
        <w:rPr>
          <w:rFonts w:hint="eastAsia" w:ascii="宋体" w:hAnsi="宋体" w:eastAsia="宋体" w:cs="宋体"/>
          <w:sz w:val="44"/>
          <w:szCs w:val="44"/>
          <w:lang w:eastAsia="zh-CN"/>
        </w:rPr>
        <w:t>《</w:t>
      </w:r>
      <w:r>
        <w:rPr>
          <w:rFonts w:hint="eastAsia" w:ascii="宋体" w:hAnsi="宋体" w:eastAsia="宋体" w:cs="宋体"/>
          <w:b/>
          <w:bCs/>
          <w:sz w:val="44"/>
          <w:szCs w:val="44"/>
          <w:lang w:val="en-US" w:eastAsia="zh-CN"/>
        </w:rPr>
        <w:t>乐山港</w:t>
      </w:r>
      <w:r>
        <w:rPr>
          <w:rFonts w:hint="eastAsia" w:ascii="宋体" w:hAnsi="宋体" w:eastAsia="宋体" w:cs="宋体"/>
          <w:b/>
          <w:bCs/>
          <w:color w:val="000000"/>
          <w:kern w:val="0"/>
          <w:sz w:val="44"/>
          <w:szCs w:val="44"/>
          <w:lang w:val="en-US" w:eastAsia="zh-CN" w:bidi="ar"/>
        </w:rPr>
        <w:t>老江坝作业区大件码头一期工程</w:t>
      </w:r>
      <w:r>
        <w:rPr>
          <w:rFonts w:hint="eastAsia" w:ascii="宋体" w:hAnsi="宋体" w:eastAsia="宋体" w:cs="宋体"/>
          <w:b/>
          <w:bCs/>
          <w:color w:val="050D1E"/>
          <w:sz w:val="44"/>
          <w:szCs w:val="44"/>
          <w:shd w:val="clear" w:color="auto" w:fill="FFFFFF"/>
          <w:lang w:val="en-US" w:eastAsia="zh-CN"/>
        </w:rPr>
        <w:t>项目</w:t>
      </w:r>
      <w:r>
        <w:rPr>
          <w:rFonts w:hint="eastAsia" w:ascii="宋体" w:hAnsi="宋体" w:eastAsia="宋体" w:cs="宋体"/>
          <w:b/>
          <w:bCs/>
          <w:color w:val="050D1E"/>
          <w:sz w:val="44"/>
          <w:szCs w:val="44"/>
          <w:shd w:val="clear" w:color="auto" w:fill="FFFFFF"/>
        </w:rPr>
        <w:t>环境影响评价</w:t>
      </w:r>
      <w:r>
        <w:rPr>
          <w:rFonts w:hint="eastAsia" w:ascii="宋体" w:hAnsi="宋体" w:eastAsia="宋体" w:cs="宋体"/>
          <w:b/>
          <w:bCs/>
          <w:color w:val="050D1E"/>
          <w:sz w:val="44"/>
          <w:szCs w:val="44"/>
          <w:shd w:val="clear" w:color="auto" w:fill="FFFFFF"/>
          <w:lang w:val="en-US" w:eastAsia="zh-CN"/>
        </w:rPr>
        <w:t>公众参与第一次信息</w:t>
      </w:r>
      <w:r>
        <w:rPr>
          <w:rFonts w:hint="eastAsia" w:ascii="宋体" w:hAnsi="宋体" w:eastAsia="宋体" w:cs="宋体"/>
          <w:b/>
          <w:bCs/>
          <w:color w:val="050D1E"/>
          <w:sz w:val="44"/>
          <w:szCs w:val="44"/>
          <w:shd w:val="clear" w:color="auto" w:fill="FFFFFF"/>
        </w:rPr>
        <w:t>公示</w:t>
      </w:r>
      <w:r>
        <w:rPr>
          <w:rFonts w:hint="eastAsia" w:ascii="宋体" w:hAnsi="宋体" w:eastAsia="宋体" w:cs="宋体"/>
          <w:sz w:val="44"/>
          <w:szCs w:val="44"/>
          <w:lang w:eastAsia="zh-CN"/>
        </w:rPr>
        <w:t>》</w:t>
      </w:r>
      <w:r>
        <w:rPr>
          <w:rFonts w:hint="eastAsia" w:ascii="方正小标宋简体" w:hAnsi="方正小标宋简体" w:eastAsia="方正小标宋简体" w:cs="方正小标宋简体"/>
          <w:sz w:val="44"/>
          <w:szCs w:val="44"/>
        </w:rPr>
        <w:t>项目征集意见的解读</w:t>
      </w:r>
    </w:p>
    <w:p w14:paraId="453E28FF">
      <w:pPr>
        <w:spacing w:before="312" w:beforeLines="100" w:line="600" w:lineRule="exact"/>
        <w:ind w:firstLine="640" w:firstLineChars="200"/>
        <w:jc w:val="left"/>
        <w:rPr>
          <w:rFonts w:hint="eastAsia" w:ascii="仿宋" w:hAnsi="仿宋" w:eastAsia="仿宋" w:cs="仿宋"/>
          <w:sz w:val="32"/>
          <w:szCs w:val="32"/>
        </w:rPr>
      </w:pPr>
      <w:r>
        <w:rPr>
          <w:rFonts w:hint="eastAsia" w:ascii="仿宋" w:hAnsi="仿宋" w:eastAsia="仿宋" w:cs="仿宋"/>
          <w:sz w:val="32"/>
          <w:szCs w:val="32"/>
        </w:rPr>
        <w:t>一、编写背景、目的</w:t>
      </w:r>
    </w:p>
    <w:p w14:paraId="0130818C">
      <w:pPr>
        <w:spacing w:line="600" w:lineRule="exact"/>
        <w:ind w:firstLine="640" w:firstLineChars="200"/>
        <w:jc w:val="left"/>
        <w:rPr>
          <w:rFonts w:hint="eastAsia" w:ascii="仿宋" w:hAnsi="仿宋" w:eastAsia="仿宋" w:cs="仿宋"/>
          <w:sz w:val="32"/>
          <w:szCs w:val="32"/>
        </w:rPr>
      </w:pPr>
      <w:r>
        <w:rPr>
          <w:rFonts w:hint="eastAsia" w:ascii="仿宋" w:hAnsi="仿宋" w:eastAsia="仿宋" w:cs="仿宋"/>
          <w:sz w:val="32"/>
          <w:szCs w:val="32"/>
        </w:rPr>
        <w:t>1、通过对项目所在区域</w:t>
      </w:r>
      <w:bookmarkStart w:id="0" w:name="_GoBack"/>
      <w:bookmarkEnd w:id="0"/>
      <w:r>
        <w:rPr>
          <w:rFonts w:hint="eastAsia" w:ascii="仿宋" w:hAnsi="仿宋" w:eastAsia="仿宋" w:cs="仿宋"/>
          <w:sz w:val="32"/>
          <w:szCs w:val="32"/>
        </w:rPr>
        <w:t>生态环境、环境质量现状调查，结合区域发展规划、工程建设内容，从环境保护角度为工程建设的环境可行性提供依据。</w:t>
      </w:r>
    </w:p>
    <w:p w14:paraId="2A0C4E39">
      <w:pPr>
        <w:spacing w:line="600" w:lineRule="exact"/>
        <w:ind w:firstLine="640" w:firstLineChars="200"/>
        <w:jc w:val="left"/>
        <w:rPr>
          <w:rFonts w:hint="eastAsia" w:ascii="仿宋" w:hAnsi="仿宋" w:eastAsia="仿宋" w:cs="仿宋"/>
          <w:sz w:val="32"/>
          <w:szCs w:val="32"/>
        </w:rPr>
      </w:pPr>
      <w:r>
        <w:rPr>
          <w:rFonts w:hint="eastAsia" w:ascii="仿宋" w:hAnsi="仿宋" w:eastAsia="仿宋" w:cs="仿宋"/>
          <w:sz w:val="32"/>
          <w:szCs w:val="32"/>
        </w:rPr>
        <w:t>2、通过工程建设对环境的影响预测分析，结合项目附近区域的环境保护目标，明确工程建设对工程区域自然生态环境及环境质量的影响程度和范围；提出生态环境不利影响减缓措施和恢复措施、污染防治方案，并将之反馈于工程建设之中，将工程建设带来的负面影响减小到最低程度，最大限度发挥工程建设的经济效益、社会效益和环境效益，使经济发展与环境保护协调统一。</w:t>
      </w:r>
    </w:p>
    <w:p w14:paraId="0028CA98">
      <w:pPr>
        <w:spacing w:line="600" w:lineRule="exact"/>
        <w:ind w:firstLine="640" w:firstLineChars="200"/>
        <w:jc w:val="left"/>
        <w:rPr>
          <w:rFonts w:hint="eastAsia" w:ascii="仿宋" w:hAnsi="仿宋" w:eastAsia="仿宋" w:cs="仿宋"/>
          <w:sz w:val="32"/>
          <w:szCs w:val="32"/>
        </w:rPr>
      </w:pPr>
      <w:r>
        <w:rPr>
          <w:rFonts w:hint="eastAsia" w:ascii="仿宋" w:hAnsi="仿宋" w:eastAsia="仿宋" w:cs="仿宋"/>
          <w:sz w:val="32"/>
          <w:szCs w:val="32"/>
        </w:rPr>
        <w:t>3、通过本项目的环境影响评价，使所编制的环境影响报告书能成为本工程环境保护设计和环境管理的依据，并作为生态环境主管部门管理本项目的科学依据。</w:t>
      </w:r>
    </w:p>
    <w:p w14:paraId="75452B15">
      <w:pPr>
        <w:spacing w:line="600" w:lineRule="exact"/>
        <w:ind w:firstLine="640" w:firstLineChars="200"/>
        <w:jc w:val="left"/>
        <w:rPr>
          <w:rFonts w:hint="eastAsia" w:ascii="仿宋" w:hAnsi="仿宋" w:eastAsia="仿宋" w:cs="仿宋"/>
          <w:sz w:val="32"/>
          <w:szCs w:val="32"/>
        </w:rPr>
      </w:pPr>
      <w:r>
        <w:rPr>
          <w:rFonts w:hint="eastAsia" w:ascii="仿宋" w:hAnsi="仿宋" w:eastAsia="仿宋" w:cs="仿宋"/>
          <w:sz w:val="32"/>
          <w:szCs w:val="32"/>
        </w:rPr>
        <w:t>二、编写依据</w:t>
      </w:r>
    </w:p>
    <w:p w14:paraId="02F4C6D7">
      <w:pPr>
        <w:spacing w:line="600" w:lineRule="exact"/>
        <w:ind w:firstLine="640" w:firstLineChars="200"/>
        <w:jc w:val="left"/>
        <w:rPr>
          <w:rFonts w:hint="eastAsia" w:ascii="仿宋" w:hAnsi="仿宋" w:eastAsia="仿宋" w:cs="仿宋"/>
          <w:sz w:val="32"/>
          <w:szCs w:val="32"/>
        </w:rPr>
      </w:pPr>
      <w:r>
        <w:rPr>
          <w:rFonts w:hint="eastAsia" w:ascii="仿宋" w:hAnsi="仿宋" w:eastAsia="仿宋" w:cs="仿宋"/>
          <w:sz w:val="32"/>
          <w:szCs w:val="32"/>
        </w:rPr>
        <w:t>1、《中华人民共和国环境保护法》；2、《中华人民共和国环境影响评价法》；3、《建设项目环境保护管理条例》；4、《建设项目环境影响评价分类管理名录》；5、《环境影响评价公众参与办法》。</w:t>
      </w:r>
    </w:p>
    <w:p w14:paraId="274812C7">
      <w:pPr>
        <w:spacing w:line="600" w:lineRule="exact"/>
        <w:ind w:firstLine="640" w:firstLineChars="200"/>
        <w:jc w:val="left"/>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三、编写必要性</w:t>
      </w:r>
    </w:p>
    <w:p w14:paraId="6911A71E">
      <w:pPr>
        <w:keepNext w:val="0"/>
        <w:keepLines w:val="0"/>
        <w:widowControl/>
        <w:suppressLineNumbers w:val="0"/>
        <w:ind w:firstLine="640" w:firstLineChars="200"/>
        <w:jc w:val="left"/>
        <w:rPr>
          <w:rFonts w:hint="eastAsia" w:ascii="仿宋" w:hAnsi="仿宋" w:eastAsia="仿宋" w:cs="仿宋"/>
          <w:color w:val="000000"/>
          <w:kern w:val="0"/>
          <w:sz w:val="32"/>
          <w:szCs w:val="32"/>
          <w:lang w:val="en-US" w:eastAsia="zh-CN" w:bidi="ar"/>
        </w:rPr>
      </w:pPr>
      <w:r>
        <w:rPr>
          <w:rFonts w:hint="eastAsia" w:ascii="仿宋" w:hAnsi="仿宋" w:eastAsia="仿宋" w:cs="仿宋"/>
          <w:color w:val="000000"/>
          <w:kern w:val="0"/>
          <w:sz w:val="32"/>
          <w:szCs w:val="32"/>
          <w:lang w:val="en-US" w:eastAsia="zh-CN" w:bidi="ar"/>
        </w:rPr>
        <w:t>乐山交通投资发展(集团)有限公司，该公司是于2017年5月成立的集“融、投、建、营、管”于一体的国有资本投资运营公司，是乐山市委市政府“1+N+N”国有资本投融资体系的重要组成部分，是乐山“十纵八横三环线”网络化交通体系建设的重要实施主体，是市委市政府指定性交通建设战略任务和重大项目融资任务的市级平台公司。该公司围绕交通投资、交通建设、交通服务、港航开发和公共交通等五大板块布局，业务涵盖公路建设、港口航道疏浚、城市交通、矿产资源、现代交通服务等若干行业领域。公司注册资本金20亿元，企业信用评级国内AA级，资产规模达220亿元，员工1282人，拥有独资、控股、参股企业38家。</w:t>
      </w:r>
    </w:p>
    <w:p w14:paraId="7EA26CF3">
      <w:pPr>
        <w:keepNext w:val="0"/>
        <w:keepLines w:val="0"/>
        <w:widowControl/>
        <w:suppressLineNumbers w:val="0"/>
        <w:ind w:firstLine="640" w:firstLineChars="200"/>
        <w:jc w:val="left"/>
      </w:pPr>
      <w:r>
        <w:rPr>
          <w:rFonts w:hint="eastAsia" w:ascii="仿宋" w:hAnsi="仿宋" w:eastAsia="仿宋" w:cs="仿宋"/>
          <w:color w:val="000000"/>
          <w:kern w:val="0"/>
          <w:sz w:val="32"/>
          <w:szCs w:val="32"/>
          <w:lang w:val="en-US" w:eastAsia="zh-CN" w:bidi="ar"/>
        </w:rPr>
        <w:t>乐山港老江坝作业区大件码头工程是《乐山港总体规划(2023-2035年)》的核心项目之一，其建设不仅是四川省内河水运体系升级的关键环节，更是服务国家战略、推动区域经济高质量发展的重要举措，其建设是十分必要的，乐山依托岷江航道，迎来了前所未有的发展机遇，乐山港老江坝作业区大件码头工程的建设，将极大提升乐山水运的通航效率与服务水平，对于提升乐山市在成渝地区双城经济圈建设中的整体竞争力、促进区域经济协调发展具有深远的影响。</w:t>
      </w:r>
    </w:p>
    <w:p w14:paraId="447D9B19">
      <w:pPr>
        <w:keepNext w:val="0"/>
        <w:keepLines w:val="0"/>
        <w:widowControl/>
        <w:suppressLineNumbers w:val="0"/>
        <w:ind w:firstLine="640" w:firstLineChars="200"/>
        <w:jc w:val="both"/>
        <w:rPr>
          <w:rFonts w:hint="eastAsia" w:ascii="仿宋" w:hAnsi="仿宋" w:eastAsia="仿宋" w:cs="仿宋"/>
          <w:sz w:val="32"/>
          <w:szCs w:val="32"/>
        </w:rPr>
      </w:pPr>
    </w:p>
    <w:p w14:paraId="5B0ED184">
      <w:pPr>
        <w:keepNext w:val="0"/>
        <w:keepLines w:val="0"/>
        <w:widowControl/>
        <w:suppressLineNumbers w:val="0"/>
        <w:ind w:left="0" w:leftChars="0" w:firstLine="0" w:firstLineChars="0"/>
        <w:jc w:val="both"/>
        <w:rPr>
          <w:rFonts w:hint="eastAsia" w:ascii="宋体" w:hAnsi="宋体" w:eastAsia="宋体" w:cs="宋体"/>
          <w:sz w:val="44"/>
          <w:szCs w:val="44"/>
          <w:lang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AFF" w:usb1="C0007841" w:usb2="00000009" w:usb3="00000000" w:csb0="400001FF" w:csb1="FFFF0000"/>
  </w:font>
  <w:font w:name="宋体">
    <w:panose1 w:val="02010600030101010101"/>
    <w:charset w:val="88"/>
    <w:family w:val="moder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楷体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ED31EE5"/>
    <w:rsid w:val="0B410F04"/>
    <w:rsid w:val="313972A0"/>
    <w:rsid w:val="358B5111"/>
    <w:rsid w:val="6ED31EE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937</Words>
  <Characters>961</Characters>
  <Lines>0</Lines>
  <Paragraphs>0</Paragraphs>
  <TotalTime>3</TotalTime>
  <ScaleCrop>false</ScaleCrop>
  <LinksUpToDate>false</LinksUpToDate>
  <CharactersWithSpaces>961</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2025-06-10T08:44:00Z</dcterms:created>
  <dc:creator>据说名字长，人会长高</dc:creator>
  <cp:lastModifiedBy>孙佳洁</cp:lastModifiedBy>
  <cp:lastPrinted>2025-06-20T08:51:48Z</cp:lastPrinted>
  <dcterms:modified xsi:type="dcterms:W3CDTF">2025-06-20T08:53:34Z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B5501267C5EB42C78B1C91A40FB93D92_13</vt:lpwstr>
  </property>
  <property fmtid="{D5CDD505-2E9C-101B-9397-08002B2CF9AE}" pid="4" name="KSOTemplateDocerSaveRecord">
    <vt:lpwstr>eyJoZGlkIjoiOWYxNmVkNjUwODkxMDRmOGU1Zjc5ZTJmYWY5MDJmYWYiLCJ1c2VySWQiOiI2NzI3MDcxNzgifQ==</vt:lpwstr>
  </property>
</Properties>
</file>