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B558C">
      <w:pPr>
        <w:keepNext w:val="0"/>
        <w:keepLines w:val="0"/>
        <w:pageBreakBefore w:val="0"/>
        <w:widowControl w:val="0"/>
        <w:kinsoku/>
        <w:wordWrap w:val="0"/>
        <w:overflowPunct/>
        <w:topLinePunct w:val="0"/>
        <w:autoSpaceDE/>
        <w:autoSpaceDN/>
        <w:bidi w:val="0"/>
        <w:adjustRightInd w:val="0"/>
        <w:snapToGrid w:val="0"/>
        <w:spacing w:line="600" w:lineRule="exact"/>
        <w:ind w:firstLine="440" w:firstLineChars="100"/>
        <w:jc w:val="both"/>
        <w:textAlignment w:val="baseline"/>
        <w:rPr>
          <w:rFonts w:hint="eastAsia" w:ascii="方正小标宋简体" w:hAnsi="方正小标宋简体" w:eastAsia="方正小标宋简体" w:cs="方正小标宋简体"/>
          <w:sz w:val="44"/>
          <w:szCs w:val="44"/>
          <w:lang w:val="en-US" w:eastAsia="zh-CN"/>
        </w:rPr>
      </w:pPr>
      <w:bookmarkStart w:id="7" w:name="_GoBack"/>
      <w:bookmarkEnd w:id="7"/>
      <w:r>
        <w:rPr>
          <w:rFonts w:hint="eastAsia" w:ascii="方正小标宋简体" w:hAnsi="方正小标宋简体" w:eastAsia="方正小标宋简体" w:cs="方正小标宋简体"/>
          <w:sz w:val="44"/>
          <w:szCs w:val="44"/>
        </w:rPr>
        <w:t>马边彝族自治县</w:t>
      </w:r>
      <w:r>
        <w:rPr>
          <w:rFonts w:hint="eastAsia" w:ascii="方正小标宋简体" w:hAnsi="方正小标宋简体" w:eastAsia="方正小标宋简体" w:cs="方正小标宋简体"/>
          <w:sz w:val="44"/>
          <w:szCs w:val="44"/>
          <w:lang w:val="en-US" w:eastAsia="zh-CN"/>
        </w:rPr>
        <w:t>先进制造业</w:t>
      </w:r>
      <w:r>
        <w:rPr>
          <w:rFonts w:hint="eastAsia" w:ascii="方正小标宋简体" w:hAnsi="方正小标宋简体" w:eastAsia="方正小标宋简体" w:cs="方正小标宋简体"/>
          <w:sz w:val="44"/>
          <w:szCs w:val="44"/>
        </w:rPr>
        <w:t>高质量发展</w:t>
      </w:r>
      <w:r>
        <w:rPr>
          <w:rFonts w:hint="eastAsia" w:ascii="方正小标宋简体" w:hAnsi="方正小标宋简体" w:eastAsia="方正小标宋简体" w:cs="方正小标宋简体"/>
          <w:sz w:val="44"/>
          <w:szCs w:val="44"/>
          <w:lang w:val="en-US" w:eastAsia="zh-CN"/>
        </w:rPr>
        <w:t>十条</w:t>
      </w:r>
    </w:p>
    <w:p w14:paraId="4D54BAA9">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center"/>
        <w:textAlignment w:val="baseline"/>
        <w:rPr>
          <w:rFonts w:ascii="Arial"/>
          <w:sz w:val="44"/>
          <w:szCs w:val="44"/>
        </w:rPr>
      </w:pPr>
      <w:r>
        <w:rPr>
          <w:rFonts w:hint="eastAsia" w:ascii="方正小标宋简体" w:hAnsi="方正小标宋简体" w:eastAsia="方正小标宋简体" w:cs="方正小标宋简体"/>
          <w:sz w:val="44"/>
          <w:szCs w:val="44"/>
          <w:lang w:val="en-US" w:eastAsia="zh-CN"/>
        </w:rPr>
        <w:t>措施</w:t>
      </w:r>
      <w:r>
        <w:rPr>
          <w:rFonts w:hint="eastAsia" w:ascii="方正小标宋简体" w:hAnsi="方正小标宋简体" w:eastAsia="方正小标宋简体" w:cs="方正小标宋简体"/>
          <w:sz w:val="44"/>
          <w:szCs w:val="44"/>
        </w:rPr>
        <w:t>（试行）</w:t>
      </w:r>
    </w:p>
    <w:p w14:paraId="4DE6D76D">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76" w:firstLineChars="200"/>
        <w:jc w:val="center"/>
        <w:textAlignment w:val="baseline"/>
        <w:rPr>
          <w:rFonts w:ascii="FangSong_GB2312" w:hAnsi="FangSong_GB2312" w:eastAsia="FangSong_GB2312" w:cs="FangSong_GB2312"/>
          <w:spacing w:val="9"/>
          <w:sz w:val="32"/>
          <w:szCs w:val="32"/>
        </w:rPr>
      </w:pPr>
    </w:p>
    <w:p w14:paraId="4B668439">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76" w:firstLineChars="200"/>
        <w:jc w:val="left"/>
        <w:textAlignment w:val="baseline"/>
        <w:rPr>
          <w:rFonts w:ascii="FangSong_GB2312" w:hAnsi="FangSong_GB2312" w:eastAsia="FangSong_GB2312" w:cs="FangSong_GB2312"/>
          <w:sz w:val="32"/>
          <w:szCs w:val="32"/>
        </w:rPr>
      </w:pPr>
      <w:r>
        <w:rPr>
          <w:rFonts w:hint="eastAsia" w:ascii="FangSong_GB2312" w:hAnsi="FangSong_GB2312" w:eastAsia="FangSong_GB2312" w:cs="FangSong_GB2312"/>
          <w:spacing w:val="9"/>
          <w:sz w:val="32"/>
          <w:szCs w:val="32"/>
          <w:lang w:val="en-US" w:eastAsia="zh-CN"/>
        </w:rPr>
        <w:t>为落实“工业强县、文旅兴县”发展战略</w:t>
      </w:r>
      <w:r>
        <w:rPr>
          <w:rFonts w:hint="eastAsia" w:ascii="FangSong_GB2312" w:hAnsi="FangSong_GB2312" w:eastAsia="FangSong_GB2312" w:cs="FangSong_GB2312"/>
          <w:spacing w:val="8"/>
          <w:sz w:val="32"/>
          <w:szCs w:val="32"/>
          <w:lang w:eastAsia="zh-CN"/>
        </w:rPr>
        <w:t>，</w:t>
      </w:r>
      <w:bookmarkStart w:id="0" w:name="OLE_LINK6"/>
      <w:bookmarkStart w:id="1" w:name="OLE_LINK5"/>
      <w:r>
        <w:rPr>
          <w:rFonts w:hint="eastAsia" w:ascii="仿宋_GB2312" w:hAnsi="仿宋_GB2312" w:eastAsia="仿宋_GB2312" w:cs="仿宋_GB2312"/>
          <w:color w:val="000000"/>
          <w:kern w:val="0"/>
          <w:sz w:val="32"/>
          <w:szCs w:val="32"/>
          <w:lang w:val="en-US" w:eastAsia="zh-CN" w:bidi="ar"/>
        </w:rPr>
        <w:t>加快构建独具马边特色的先进制造业产业体系</w:t>
      </w:r>
      <w:bookmarkEnd w:id="0"/>
      <w:r>
        <w:rPr>
          <w:rFonts w:hint="eastAsia" w:ascii="Times New Roman" w:hAnsi="Times New Roman" w:eastAsia="仿宋_GB2312" w:cs="Times New Roman"/>
          <w:sz w:val="32"/>
          <w:szCs w:val="32"/>
          <w:lang w:val="en-US" w:eastAsia="zh-CN"/>
        </w:rPr>
        <w:t>，</w:t>
      </w:r>
      <w:r>
        <w:rPr>
          <w:rFonts w:hint="eastAsia" w:ascii="仿宋_GB2312" w:hAnsi="仿宋_GB2312" w:eastAsia="仿宋_GB2312" w:cs="仿宋_GB2312"/>
          <w:color w:val="000000"/>
          <w:kern w:val="0"/>
          <w:sz w:val="32"/>
          <w:szCs w:val="32"/>
          <w:lang w:val="en-US" w:eastAsia="zh-CN" w:bidi="ar"/>
        </w:rPr>
        <w:t>推动</w:t>
      </w:r>
      <w:r>
        <w:rPr>
          <w:rFonts w:hint="eastAsia" w:ascii="Times New Roman" w:hAnsi="Times New Roman" w:eastAsia="仿宋_GB2312" w:cs="Times New Roman"/>
          <w:sz w:val="32"/>
          <w:szCs w:val="32"/>
          <w:lang w:val="en-US" w:eastAsia="zh-CN"/>
        </w:rPr>
        <w:t>新质生产力集聚成势</w:t>
      </w:r>
      <w:bookmarkEnd w:id="1"/>
      <w:r>
        <w:rPr>
          <w:rFonts w:hint="eastAsia" w:ascii="FangSong_GB2312" w:hAnsi="FangSong_GB2312" w:eastAsia="FangSong_GB2312" w:cs="FangSong_GB2312"/>
          <w:spacing w:val="9"/>
          <w:sz w:val="32"/>
          <w:szCs w:val="32"/>
          <w:lang w:val="en-US" w:eastAsia="zh-CN"/>
        </w:rPr>
        <w:t>，特</w:t>
      </w:r>
      <w:r>
        <w:rPr>
          <w:rFonts w:ascii="FangSong_GB2312" w:hAnsi="FangSong_GB2312" w:eastAsia="FangSong_GB2312" w:cs="FangSong_GB2312"/>
          <w:spacing w:val="9"/>
          <w:sz w:val="32"/>
          <w:szCs w:val="32"/>
        </w:rPr>
        <w:t>制定本</w:t>
      </w:r>
      <w:r>
        <w:rPr>
          <w:rFonts w:hint="eastAsia" w:ascii="FangSong_GB2312" w:hAnsi="FangSong_GB2312" w:eastAsia="FangSong_GB2312" w:cs="FangSong_GB2312"/>
          <w:spacing w:val="9"/>
          <w:sz w:val="32"/>
          <w:szCs w:val="32"/>
          <w:lang w:val="en-US" w:eastAsia="zh-CN"/>
        </w:rPr>
        <w:t>措施</w:t>
      </w:r>
      <w:r>
        <w:rPr>
          <w:rFonts w:ascii="FangSong_GB2312" w:hAnsi="FangSong_GB2312" w:eastAsia="FangSong_GB2312" w:cs="FangSong_GB2312"/>
          <w:spacing w:val="9"/>
          <w:sz w:val="32"/>
          <w:szCs w:val="32"/>
        </w:rPr>
        <w:t>。</w:t>
      </w:r>
    </w:p>
    <w:p w14:paraId="4E38C26D">
      <w:pPr>
        <w:keepNext w:val="0"/>
        <w:keepLines w:val="0"/>
        <w:pageBreakBefore w:val="0"/>
        <w:widowControl w:val="0"/>
        <w:numPr>
          <w:ilvl w:val="0"/>
          <w:numId w:val="0"/>
        </w:numPr>
        <w:kinsoku/>
        <w:wordWrap w:val="0"/>
        <w:overflowPunct/>
        <w:topLinePunct w:val="0"/>
        <w:autoSpaceDE/>
        <w:autoSpaceDN/>
        <w:bidi w:val="0"/>
        <w:adjustRightInd w:val="0"/>
        <w:snapToGrid w:val="0"/>
        <w:spacing w:line="600" w:lineRule="exact"/>
        <w:ind w:left="0" w:leftChars="0" w:right="0" w:rightChars="0" w:firstLine="336" w:firstLineChars="100"/>
        <w:jc w:val="left"/>
        <w:textAlignment w:val="baseline"/>
        <w:rPr>
          <w:rFonts w:hint="eastAsia" w:ascii="黑体" w:hAnsi="黑体" w:eastAsia="黑体" w:cs="黑体"/>
          <w:b w:val="0"/>
          <w:bCs w:val="0"/>
          <w:spacing w:val="8"/>
          <w:sz w:val="32"/>
          <w:szCs w:val="32"/>
        </w:rPr>
      </w:pPr>
      <w:r>
        <w:rPr>
          <w:rFonts w:hint="eastAsia" w:ascii="黑体" w:hAnsi="黑体" w:eastAsia="黑体" w:cs="黑体"/>
          <w:b w:val="0"/>
          <w:bCs w:val="0"/>
          <w:spacing w:val="8"/>
          <w:sz w:val="32"/>
          <w:szCs w:val="32"/>
          <w:lang w:val="en-US" w:eastAsia="zh-CN"/>
        </w:rPr>
        <w:t>一、</w:t>
      </w:r>
      <w:r>
        <w:rPr>
          <w:rFonts w:hint="eastAsia" w:ascii="黑体" w:hAnsi="黑体" w:eastAsia="黑体" w:cs="黑体"/>
          <w:b w:val="0"/>
          <w:bCs w:val="0"/>
          <w:spacing w:val="8"/>
          <w:sz w:val="32"/>
          <w:szCs w:val="32"/>
        </w:rPr>
        <w:t>支持范围</w:t>
      </w:r>
    </w:p>
    <w:p w14:paraId="692D9DAF">
      <w:pPr>
        <w:keepNext w:val="0"/>
        <w:keepLines w:val="0"/>
        <w:pageBreakBefore w:val="0"/>
        <w:widowControl w:val="0"/>
        <w:kinsoku/>
        <w:wordWrap w:val="0"/>
        <w:overflowPunct/>
        <w:topLinePunct w:val="0"/>
        <w:autoSpaceDE/>
        <w:autoSpaceDN/>
        <w:bidi w:val="0"/>
        <w:adjustRightInd w:val="0"/>
        <w:snapToGrid w:val="0"/>
        <w:spacing w:line="600"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级财政建立</w:t>
      </w:r>
      <w:r>
        <w:rPr>
          <w:rFonts w:hint="eastAsia" w:ascii="仿宋_GB2312" w:hAnsi="仿宋_GB2312" w:eastAsia="仿宋_GB2312" w:cs="仿宋_GB2312"/>
          <w:sz w:val="32"/>
          <w:szCs w:val="32"/>
          <w:lang w:eastAsia="zh-CN"/>
        </w:rPr>
        <w:t>先进制造业</w:t>
      </w:r>
      <w:r>
        <w:rPr>
          <w:rFonts w:hint="eastAsia" w:ascii="仿宋_GB2312" w:hAnsi="仿宋_GB2312" w:eastAsia="仿宋_GB2312" w:cs="仿宋_GB2312"/>
          <w:sz w:val="32"/>
          <w:szCs w:val="32"/>
        </w:rPr>
        <w:t>发展专项资金，每年预算</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000万元用于支持</w:t>
      </w:r>
      <w:r>
        <w:rPr>
          <w:rFonts w:hint="eastAsia" w:ascii="仿宋_GB2312" w:hAnsi="仿宋_GB2312" w:eastAsia="仿宋_GB2312" w:cs="仿宋_GB2312"/>
          <w:sz w:val="32"/>
          <w:szCs w:val="32"/>
          <w:lang w:eastAsia="zh-CN"/>
        </w:rPr>
        <w:t>“新能源”“新材料”“新工艺”企业</w:t>
      </w:r>
      <w:r>
        <w:rPr>
          <w:rFonts w:hint="eastAsia" w:ascii="仿宋_GB2312" w:hAnsi="仿宋_GB2312" w:eastAsia="仿宋_GB2312" w:cs="仿宋_GB2312"/>
          <w:sz w:val="32"/>
          <w:szCs w:val="32"/>
        </w:rPr>
        <w:t>集群发展，重点支持在</w:t>
      </w:r>
      <w:r>
        <w:rPr>
          <w:rFonts w:hint="eastAsia" w:ascii="仿宋_GB2312" w:hAnsi="仿宋_GB2312" w:eastAsia="仿宋_GB2312" w:cs="仿宋_GB2312"/>
          <w:sz w:val="32"/>
          <w:szCs w:val="32"/>
          <w:lang w:eastAsia="zh-CN"/>
        </w:rPr>
        <w:t>马边</w:t>
      </w:r>
      <w:r>
        <w:rPr>
          <w:rFonts w:hint="eastAsia" w:ascii="仿宋_GB2312" w:hAnsi="仿宋_GB2312" w:eastAsia="仿宋_GB2312" w:cs="仿宋_GB2312"/>
          <w:sz w:val="32"/>
          <w:szCs w:val="32"/>
        </w:rPr>
        <w:t>境内的</w:t>
      </w:r>
      <w:r>
        <w:rPr>
          <w:rFonts w:hint="eastAsia" w:ascii="仿宋_GB2312" w:hAnsi="仿宋_GB2312" w:eastAsia="仿宋_GB2312" w:cs="仿宋_GB2312"/>
          <w:sz w:val="32"/>
          <w:szCs w:val="32"/>
          <w:lang w:eastAsia="zh-CN"/>
        </w:rPr>
        <w:t>磷、生物医药产业</w:t>
      </w:r>
      <w:r>
        <w:rPr>
          <w:rFonts w:hint="eastAsia" w:ascii="仿宋_GB2312" w:hAnsi="仿宋_GB2312" w:eastAsia="仿宋_GB2312" w:cs="仿宋_GB2312"/>
          <w:sz w:val="32"/>
          <w:szCs w:val="32"/>
        </w:rPr>
        <w:t>及配套企业。</w:t>
      </w:r>
    </w:p>
    <w:p w14:paraId="307620EE">
      <w:pPr>
        <w:keepNext w:val="0"/>
        <w:keepLines w:val="0"/>
        <w:pageBreakBefore w:val="0"/>
        <w:widowControl w:val="0"/>
        <w:kinsoku/>
        <w:wordWrap w:val="0"/>
        <w:overflowPunct/>
        <w:topLinePunct w:val="0"/>
        <w:autoSpaceDE/>
        <w:autoSpaceDN/>
        <w:bidi w:val="0"/>
        <w:adjustRightInd w:val="0"/>
        <w:snapToGrid w:val="0"/>
        <w:spacing w:line="600" w:lineRule="exact"/>
        <w:ind w:left="0" w:leftChars="0" w:firstLine="672" w:firstLineChars="200"/>
        <w:jc w:val="left"/>
        <w:textAlignment w:val="auto"/>
        <w:rPr>
          <w:rFonts w:hint="eastAsia" w:ascii="黑体" w:hAnsi="黑体" w:eastAsia="黑体" w:cs="黑体"/>
          <w:b w:val="0"/>
          <w:bCs w:val="0"/>
          <w:spacing w:val="8"/>
          <w:sz w:val="32"/>
          <w:szCs w:val="32"/>
          <w:lang w:val="en-US" w:eastAsia="zh-CN"/>
        </w:rPr>
      </w:pPr>
      <w:r>
        <w:rPr>
          <w:rFonts w:hint="eastAsia" w:ascii="黑体" w:hAnsi="黑体" w:eastAsia="黑体" w:cs="黑体"/>
          <w:b w:val="0"/>
          <w:bCs w:val="0"/>
          <w:spacing w:val="8"/>
          <w:sz w:val="32"/>
          <w:szCs w:val="32"/>
          <w:lang w:val="en-US" w:eastAsia="zh-CN"/>
        </w:rPr>
        <w:t>二、具体支持措施</w:t>
      </w:r>
    </w:p>
    <w:p w14:paraId="07E37834">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72" w:firstLineChars="200"/>
        <w:jc w:val="left"/>
        <w:textAlignment w:val="baseline"/>
        <w:rPr>
          <w:rFonts w:hint="default" w:ascii="FangSong_GB2312" w:hAnsi="FangSong_GB2312" w:eastAsia="FangSong_GB2312" w:cs="FangSong_GB2312"/>
          <w:spacing w:val="4"/>
          <w:sz w:val="32"/>
          <w:szCs w:val="32"/>
          <w:lang w:val="en-US" w:eastAsia="zh-CN"/>
        </w:rPr>
      </w:pPr>
      <w:r>
        <w:rPr>
          <w:rFonts w:hint="eastAsia" w:ascii="楷体_GB2312" w:hAnsi="楷体_GB2312" w:eastAsia="楷体_GB2312" w:cs="楷体_GB2312"/>
          <w:b w:val="0"/>
          <w:bCs w:val="0"/>
          <w:spacing w:val="8"/>
          <w:sz w:val="32"/>
          <w:szCs w:val="32"/>
          <w:lang w:val="en-US" w:eastAsia="zh-CN"/>
        </w:rPr>
        <w:t>1.激励新建项目加快投产。</w:t>
      </w:r>
      <w:r>
        <w:rPr>
          <w:rFonts w:hint="eastAsia" w:ascii="FangSong_GB2312" w:hAnsi="FangSong_GB2312" w:eastAsia="FangSong_GB2312" w:cs="FangSong_GB2312"/>
          <w:spacing w:val="4"/>
          <w:sz w:val="32"/>
          <w:szCs w:val="32"/>
          <w:lang w:val="en-US" w:eastAsia="zh-CN"/>
        </w:rPr>
        <w:t>对投资额超过3000万元的新建成投产项目，按项目固定资产(不含土地)投资的5%给予激励，单个项目最高不超过500万元；鼓励重点工业项目加快建设，较备案和核准时限提前3个月以上竣工投产的项目，再给予50万元一次性奖励。（责任单位：县发改局、县经信局）</w:t>
      </w:r>
    </w:p>
    <w:p w14:paraId="23EDE9E4">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72" w:firstLineChars="200"/>
        <w:jc w:val="left"/>
        <w:textAlignment w:val="baseline"/>
        <w:rPr>
          <w:rFonts w:hint="default" w:ascii="FangSong_GB2312" w:hAnsi="FangSong_GB2312" w:eastAsia="FangSong_GB2312" w:cs="FangSong_GB2312"/>
          <w:spacing w:val="4"/>
          <w:sz w:val="32"/>
          <w:szCs w:val="32"/>
          <w:lang w:val="en-US" w:eastAsia="zh-CN"/>
        </w:rPr>
      </w:pPr>
      <w:r>
        <w:rPr>
          <w:rFonts w:hint="eastAsia" w:ascii="楷体_GB2312" w:hAnsi="楷体_GB2312" w:eastAsia="楷体_GB2312" w:cs="楷体_GB2312"/>
          <w:b w:val="0"/>
          <w:bCs w:val="0"/>
          <w:spacing w:val="8"/>
          <w:sz w:val="32"/>
          <w:szCs w:val="32"/>
          <w:lang w:val="en-US" w:eastAsia="zh-CN"/>
        </w:rPr>
        <w:t>2.激励企业加大技改投资。</w:t>
      </w:r>
      <w:r>
        <w:rPr>
          <w:rFonts w:hint="eastAsia" w:ascii="FangSong_GB2312" w:hAnsi="FangSong_GB2312" w:eastAsia="FangSong_GB2312" w:cs="FangSong_GB2312"/>
          <w:spacing w:val="4"/>
          <w:sz w:val="32"/>
          <w:szCs w:val="32"/>
          <w:lang w:val="en-US" w:eastAsia="zh-CN"/>
        </w:rPr>
        <w:t>对投资额500万元以上的技术改造、设备更新项目，按单个项目设备投资的2%给予奖励，最高不超过100万元。被纳入省重点技术改造、设备更新项目名单的，再给予20万元一次性奖励。（责任单位：县经信局）</w:t>
      </w:r>
    </w:p>
    <w:p w14:paraId="1179F8DA">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72"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val="0"/>
          <w:bCs w:val="0"/>
          <w:spacing w:val="8"/>
          <w:sz w:val="32"/>
          <w:szCs w:val="32"/>
          <w:lang w:val="en-US" w:eastAsia="zh-CN"/>
        </w:rPr>
        <w:t>3.激励企业提速倍增发展。</w:t>
      </w:r>
      <w:r>
        <w:rPr>
          <w:rFonts w:hint="eastAsia" w:ascii="仿宋_GB2312" w:hAnsi="仿宋_GB2312" w:eastAsia="仿宋_GB2312" w:cs="仿宋_GB2312"/>
          <w:color w:val="000000"/>
          <w:kern w:val="0"/>
          <w:sz w:val="32"/>
          <w:szCs w:val="32"/>
          <w:lang w:val="en-US" w:eastAsia="zh-CN" w:bidi="ar"/>
        </w:rPr>
        <w:t>对</w:t>
      </w:r>
      <w:r>
        <w:rPr>
          <w:rFonts w:hint="eastAsia" w:ascii="仿宋_GB2312" w:hAnsi="仿宋_GB2312" w:eastAsia="仿宋_GB2312" w:cs="仿宋_GB2312"/>
          <w:sz w:val="32"/>
          <w:szCs w:val="32"/>
        </w:rPr>
        <w:t>规模以上</w:t>
      </w:r>
      <w:r>
        <w:rPr>
          <w:rFonts w:hint="eastAsia" w:ascii="仿宋_GB2312" w:hAnsi="仿宋_GB2312" w:eastAsia="仿宋_GB2312" w:cs="仿宋_GB2312"/>
          <w:color w:val="000000"/>
          <w:kern w:val="0"/>
          <w:sz w:val="32"/>
          <w:szCs w:val="32"/>
          <w:lang w:val="en-US" w:eastAsia="zh-CN" w:bidi="ar"/>
        </w:rPr>
        <w:t>工业企业年营业收入突破30亿元、20亿元、10亿元、5亿元、1亿元且产值增速超过10%的企业，分别给予100万元、70万元、50万元、30万元、10万元奖励，每年核算一次。</w:t>
      </w:r>
      <w:r>
        <w:rPr>
          <w:rFonts w:hint="eastAsia" w:ascii="FangSong_GB2312" w:hAnsi="FangSong_GB2312" w:eastAsia="FangSong_GB2312" w:cs="FangSong_GB2312"/>
          <w:spacing w:val="4"/>
          <w:sz w:val="32"/>
          <w:szCs w:val="32"/>
          <w:lang w:val="en-US" w:eastAsia="zh-CN"/>
        </w:rPr>
        <w:t>（责任单位：县经信局）</w:t>
      </w:r>
    </w:p>
    <w:p w14:paraId="67933A2B">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72" w:firstLineChars="200"/>
        <w:jc w:val="left"/>
        <w:textAlignment w:val="baseline"/>
        <w:rPr>
          <w:rFonts w:hint="eastAsia" w:ascii="FangSong_GB2312" w:hAnsi="FangSong_GB2312" w:eastAsia="FangSong_GB2312" w:cs="FangSong_GB2312"/>
          <w:spacing w:val="4"/>
          <w:sz w:val="32"/>
          <w:szCs w:val="32"/>
          <w:lang w:val="en-US" w:eastAsia="zh-CN"/>
        </w:rPr>
      </w:pPr>
      <w:bookmarkStart w:id="2" w:name="OLE_LINK1"/>
      <w:r>
        <w:rPr>
          <w:rFonts w:hint="eastAsia" w:ascii="楷体_GB2312" w:hAnsi="楷体_GB2312" w:eastAsia="楷体_GB2312" w:cs="楷体_GB2312"/>
          <w:b w:val="0"/>
          <w:bCs w:val="0"/>
          <w:spacing w:val="8"/>
          <w:sz w:val="32"/>
          <w:szCs w:val="32"/>
          <w:lang w:val="en-US" w:eastAsia="zh-CN"/>
        </w:rPr>
        <w:t>4.支持升规入统增量扩面。</w:t>
      </w:r>
      <w:bookmarkEnd w:id="2"/>
      <w:r>
        <w:rPr>
          <w:rFonts w:hint="eastAsia" w:ascii="仿宋_GB2312" w:hAnsi="仿宋_GB2312" w:eastAsia="仿宋_GB2312" w:cs="仿宋_GB2312"/>
          <w:color w:val="000000"/>
          <w:kern w:val="0"/>
          <w:sz w:val="32"/>
          <w:szCs w:val="32"/>
          <w:lang w:val="en-US" w:eastAsia="zh-CN" w:bidi="ar"/>
        </w:rPr>
        <w:t>对纳入</w:t>
      </w:r>
      <w:r>
        <w:rPr>
          <w:rFonts w:hint="eastAsia" w:ascii="仿宋_GB2312" w:hAnsi="仿宋_GB2312" w:eastAsia="仿宋_GB2312" w:cs="仿宋_GB2312"/>
          <w:sz w:val="32"/>
          <w:szCs w:val="32"/>
        </w:rPr>
        <w:t>规模以上</w:t>
      </w:r>
      <w:r>
        <w:rPr>
          <w:rFonts w:hint="eastAsia" w:ascii="仿宋_GB2312" w:hAnsi="仿宋_GB2312" w:eastAsia="仿宋_GB2312" w:cs="仿宋_GB2312"/>
          <w:color w:val="000000"/>
          <w:kern w:val="0"/>
          <w:sz w:val="32"/>
          <w:szCs w:val="32"/>
          <w:lang w:val="en-US" w:eastAsia="zh-CN" w:bidi="ar"/>
        </w:rPr>
        <w:t>统计并保持1年以上的企业给予2万元稳岗奖励，属新建达产项目月度升规的再奖励5万元。实施主辅分离单独成立洗选、研发、设计、销售、物流等企业并升规入统的，给予一次性奖励15万元。</w:t>
      </w:r>
      <w:r>
        <w:rPr>
          <w:rFonts w:hint="eastAsia" w:ascii="FangSong_GB2312" w:hAnsi="FangSong_GB2312" w:eastAsia="FangSong_GB2312" w:cs="FangSong_GB2312"/>
          <w:spacing w:val="4"/>
          <w:sz w:val="32"/>
          <w:szCs w:val="32"/>
          <w:lang w:val="en-US" w:eastAsia="zh-CN"/>
        </w:rPr>
        <w:t>（责任单位：县经信局）</w:t>
      </w:r>
    </w:p>
    <w:p w14:paraId="41226808">
      <w:pPr>
        <w:keepNext w:val="0"/>
        <w:keepLines w:val="0"/>
        <w:pageBreakBefore w:val="0"/>
        <w:widowControl w:val="0"/>
        <w:suppressLineNumbers w:val="0"/>
        <w:kinsoku/>
        <w:wordWrap w:val="0"/>
        <w:overflowPunct/>
        <w:topLinePunct w:val="0"/>
        <w:autoSpaceDE/>
        <w:autoSpaceDN/>
        <w:bidi w:val="0"/>
        <w:adjustRightInd w:val="0"/>
        <w:snapToGrid w:val="0"/>
        <w:spacing w:line="600" w:lineRule="exact"/>
        <w:ind w:left="0" w:leftChars="0" w:right="0" w:rightChars="0" w:firstLine="672"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val="0"/>
          <w:bCs w:val="0"/>
          <w:spacing w:val="8"/>
          <w:sz w:val="32"/>
          <w:szCs w:val="32"/>
          <w:lang w:val="en-US" w:eastAsia="zh-CN"/>
        </w:rPr>
        <w:t>5.激励企业提升“亩均”效益。</w:t>
      </w:r>
      <w:r>
        <w:rPr>
          <w:rFonts w:hint="eastAsia" w:ascii="仿宋_GB2312" w:hAnsi="仿宋_GB2312" w:eastAsia="仿宋_GB2312" w:cs="仿宋_GB2312"/>
          <w:color w:val="000000"/>
          <w:kern w:val="0"/>
          <w:sz w:val="32"/>
          <w:szCs w:val="32"/>
          <w:lang w:val="en-US" w:eastAsia="zh-CN" w:bidi="ar"/>
        </w:rPr>
        <w:t>深化“亩均论英雄”评价，促进土地资源集约节约利用，对亩均年产值达到上一年度“亩均论英雄”全省平均水平的企业，给予一次性奖励20万元。</w:t>
      </w:r>
      <w:r>
        <w:rPr>
          <w:rFonts w:hint="eastAsia" w:ascii="FangSong_GB2312" w:hAnsi="FangSong_GB2312" w:eastAsia="FangSong_GB2312" w:cs="FangSong_GB2312"/>
          <w:spacing w:val="4"/>
          <w:sz w:val="32"/>
          <w:szCs w:val="32"/>
          <w:lang w:val="en-US" w:eastAsia="zh-CN"/>
        </w:rPr>
        <w:t>（责任单位：县自然资源局、县经信局）</w:t>
      </w:r>
    </w:p>
    <w:p w14:paraId="79738D97">
      <w:pPr>
        <w:keepNext w:val="0"/>
        <w:keepLines w:val="0"/>
        <w:pageBreakBefore w:val="0"/>
        <w:widowControl w:val="0"/>
        <w:suppressLineNumbers w:val="0"/>
        <w:kinsoku/>
        <w:wordWrap w:val="0"/>
        <w:overflowPunct/>
        <w:topLinePunct w:val="0"/>
        <w:autoSpaceDE/>
        <w:autoSpaceDN/>
        <w:bidi w:val="0"/>
        <w:adjustRightInd w:val="0"/>
        <w:snapToGrid w:val="0"/>
        <w:spacing w:line="600" w:lineRule="exact"/>
        <w:ind w:left="0" w:leftChars="0" w:right="0" w:rightChars="0" w:firstLine="672"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val="0"/>
          <w:bCs w:val="0"/>
          <w:spacing w:val="8"/>
          <w:sz w:val="32"/>
          <w:szCs w:val="32"/>
          <w:lang w:val="en-US" w:eastAsia="zh-CN"/>
        </w:rPr>
        <w:t>6.激励企业增加研发投入。</w:t>
      </w:r>
      <w:r>
        <w:rPr>
          <w:rFonts w:hint="eastAsia" w:ascii="仿宋_GB2312" w:hAnsi="仿宋_GB2312" w:eastAsia="仿宋_GB2312" w:cs="仿宋_GB2312"/>
          <w:sz w:val="32"/>
          <w:szCs w:val="32"/>
        </w:rPr>
        <w:t>对规模以上</w:t>
      </w:r>
      <w:r>
        <w:rPr>
          <w:rFonts w:hint="eastAsia" w:ascii="仿宋_GB2312" w:hAnsi="仿宋_GB2312" w:eastAsia="仿宋_GB2312" w:cs="仿宋_GB2312"/>
          <w:sz w:val="32"/>
          <w:szCs w:val="32"/>
          <w:lang w:val="en-US" w:eastAsia="zh-CN"/>
        </w:rPr>
        <w:t>工业</w:t>
      </w:r>
      <w:r>
        <w:rPr>
          <w:rFonts w:hint="eastAsia" w:ascii="仿宋_GB2312" w:hAnsi="仿宋_GB2312" w:eastAsia="仿宋_GB2312" w:cs="仿宋_GB2312"/>
          <w:sz w:val="32"/>
          <w:szCs w:val="32"/>
        </w:rPr>
        <w:t>企业研发经费达到500万</w:t>
      </w:r>
      <w:r>
        <w:rPr>
          <w:rFonts w:hint="eastAsia" w:ascii="仿宋_GB2312" w:hAnsi="仿宋_GB2312" w:eastAsia="仿宋_GB2312" w:cs="仿宋_GB2312"/>
          <w:sz w:val="32"/>
          <w:szCs w:val="32"/>
          <w:lang w:val="en-US" w:eastAsia="zh-CN"/>
        </w:rPr>
        <w:t>元的，</w:t>
      </w:r>
      <w:r>
        <w:rPr>
          <w:rFonts w:hint="eastAsia" w:ascii="仿宋_GB2312" w:hAnsi="仿宋_GB2312" w:eastAsia="仿宋_GB2312" w:cs="仿宋_GB2312"/>
          <w:sz w:val="32"/>
          <w:szCs w:val="32"/>
        </w:rPr>
        <w:t>给予一次性奖励10万元;对规模以上企业转型为数字型企业或新增规模以上数字型企业的，给予一次性奖励10万元;对申报有效发明专利且成功纳入</w:t>
      </w:r>
      <w:r>
        <w:rPr>
          <w:rFonts w:hint="eastAsia" w:ascii="仿宋_GB2312" w:hAnsi="仿宋_GB2312" w:eastAsia="仿宋_GB2312" w:cs="仿宋_GB2312"/>
          <w:sz w:val="32"/>
          <w:szCs w:val="32"/>
          <w:lang w:val="en-US" w:eastAsia="zh-CN"/>
        </w:rPr>
        <w:t>马边</w:t>
      </w:r>
      <w:r>
        <w:rPr>
          <w:rFonts w:hint="eastAsia" w:ascii="仿宋_GB2312" w:hAnsi="仿宋_GB2312" w:eastAsia="仿宋_GB2312" w:cs="仿宋_GB2312"/>
          <w:sz w:val="32"/>
          <w:szCs w:val="32"/>
        </w:rPr>
        <w:t>有效发明专利库的企业，给予一次性奖励2000元/件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对获得高价值专利的企业，给予一次性奖励3万元</w:t>
      </w:r>
      <w:r>
        <w:rPr>
          <w:rFonts w:hint="eastAsia" w:ascii="仿宋_GB2312" w:hAnsi="仿宋_GB2312" w:eastAsia="仿宋_GB2312" w:cs="仿宋_GB2312"/>
          <w:sz w:val="32"/>
          <w:szCs w:val="32"/>
        </w:rPr>
        <w:t>/件;</w:t>
      </w:r>
      <w:bookmarkStart w:id="3" w:name="OLE_LINK11"/>
      <w:r>
        <w:rPr>
          <w:rFonts w:hint="eastAsia" w:ascii="仿宋_GB2312" w:hAnsi="仿宋_GB2312" w:eastAsia="仿宋_GB2312" w:cs="仿宋_GB2312"/>
          <w:sz w:val="32"/>
          <w:szCs w:val="32"/>
        </w:rPr>
        <w:t>对牵头制定国家、行业标准的企业，分别给予一次性奖励50万元、20万元</w:t>
      </w:r>
      <w:r>
        <w:rPr>
          <w:rFonts w:hint="eastAsia" w:ascii="Times New Roman" w:hAnsi="Times New Roman" w:eastAsia="仿宋_GB2312" w:cs="仿宋_GB2312"/>
          <w:b w:val="0"/>
          <w:bCs w:val="0"/>
          <w:color w:val="auto"/>
          <w:spacing w:val="0"/>
          <w:kern w:val="2"/>
          <w:sz w:val="32"/>
          <w:szCs w:val="32"/>
          <w:highlight w:val="none"/>
          <w:u w:val="none"/>
          <w:lang w:val="en-US" w:eastAsia="zh-CN" w:bidi="ar-SA"/>
        </w:rPr>
        <w:t>；</w:t>
      </w:r>
      <w:bookmarkEnd w:id="3"/>
      <w:r>
        <w:rPr>
          <w:rFonts w:hint="eastAsia" w:ascii="仿宋_GB2312" w:hAnsi="仿宋_GB2312" w:eastAsia="仿宋_GB2312" w:cs="仿宋_GB2312"/>
          <w:sz w:val="32"/>
          <w:szCs w:val="32"/>
        </w:rPr>
        <w:t>对参与制定国家、行业标准的企业，分别给予一次性奖励10万元、5万元</w:t>
      </w:r>
      <w:r>
        <w:rPr>
          <w:rFonts w:hint="eastAsia" w:ascii="仿宋_GB2312" w:hAnsi="仿宋_GB2312" w:eastAsia="仿宋_GB2312" w:cs="仿宋_GB2312"/>
          <w:sz w:val="32"/>
          <w:szCs w:val="32"/>
          <w:lang w:eastAsia="zh-CN"/>
        </w:rPr>
        <w:t>。</w:t>
      </w:r>
      <w:r>
        <w:rPr>
          <w:rFonts w:hint="eastAsia" w:ascii="FangSong_GB2312" w:hAnsi="FangSong_GB2312" w:eastAsia="FangSong_GB2312" w:cs="FangSong_GB2312"/>
          <w:spacing w:val="4"/>
          <w:sz w:val="32"/>
          <w:szCs w:val="32"/>
          <w:lang w:val="en-US" w:eastAsia="zh-CN"/>
        </w:rPr>
        <w:t>（责任单位：县发改局、县经信局、县市场监管局）</w:t>
      </w:r>
    </w:p>
    <w:p w14:paraId="4B784071">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72" w:firstLineChars="200"/>
        <w:jc w:val="left"/>
        <w:textAlignment w:val="baseline"/>
        <w:rPr>
          <w:rFonts w:hint="eastAsia"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val="0"/>
          <w:bCs w:val="0"/>
          <w:spacing w:val="8"/>
          <w:sz w:val="32"/>
          <w:szCs w:val="32"/>
          <w:lang w:val="en-US" w:eastAsia="zh-CN"/>
        </w:rPr>
        <w:t>7.支持企业创新创造发展。</w:t>
      </w:r>
      <w:r>
        <w:rPr>
          <w:rFonts w:hint="eastAsia" w:ascii="仿宋_GB2312" w:hAnsi="仿宋_GB2312" w:eastAsia="仿宋_GB2312" w:cs="仿宋_GB2312"/>
          <w:color w:val="000000"/>
          <w:kern w:val="0"/>
          <w:sz w:val="32"/>
          <w:szCs w:val="32"/>
          <w:lang w:val="en-US" w:eastAsia="zh-CN" w:bidi="ar"/>
        </w:rPr>
        <w:t>对首次获评</w:t>
      </w:r>
      <w:r>
        <w:rPr>
          <w:rFonts w:hint="eastAsia" w:ascii="仿宋_GB2312" w:hAnsi="仿宋_GB2312" w:eastAsia="仿宋_GB2312" w:cs="仿宋_GB2312"/>
          <w:sz w:val="32"/>
          <w:szCs w:val="32"/>
        </w:rPr>
        <w:t>的“三中心两实验室”（企业技术中心、工程技术研究中心、工程研究中心、重点实验室、工程实验室），按照国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省</w:t>
      </w:r>
      <w:r>
        <w:rPr>
          <w:rFonts w:hint="eastAsia" w:ascii="仿宋_GB2312" w:hAnsi="仿宋_GB2312" w:eastAsia="仿宋_GB2312" w:cs="仿宋_GB2312"/>
          <w:sz w:val="32"/>
          <w:szCs w:val="32"/>
          <w:lang w:val="en-US" w:eastAsia="zh-CN"/>
        </w:rPr>
        <w:t>层次分等级，分别给予</w:t>
      </w:r>
      <w:r>
        <w:rPr>
          <w:rFonts w:hint="eastAsia" w:ascii="仿宋_GB2312" w:hAnsi="仿宋_GB2312" w:eastAsia="仿宋_GB2312" w:cs="仿宋_GB2312"/>
          <w:color w:val="000000"/>
          <w:kern w:val="0"/>
          <w:sz w:val="32"/>
          <w:szCs w:val="32"/>
          <w:lang w:val="en-US" w:eastAsia="zh-CN" w:bidi="ar"/>
        </w:rPr>
        <w:t>一次性奖励</w:t>
      </w:r>
      <w:r>
        <w:rPr>
          <w:rFonts w:hint="eastAsia" w:ascii="仿宋_GB2312" w:hAnsi="仿宋_GB2312" w:eastAsia="仿宋_GB2312" w:cs="仿宋_GB2312"/>
          <w:sz w:val="32"/>
          <w:szCs w:val="32"/>
          <w:lang w:val="en-US" w:eastAsia="zh-CN"/>
        </w:rPr>
        <w:t>100万元、50万元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w:t>
      </w:r>
      <w:r>
        <w:rPr>
          <w:rFonts w:hint="eastAsia" w:ascii="仿宋_GB2312" w:hAnsi="仿宋_GB2312" w:eastAsia="仿宋_GB2312" w:cs="仿宋_GB2312"/>
          <w:color w:val="000000"/>
          <w:kern w:val="0"/>
          <w:sz w:val="32"/>
          <w:szCs w:val="32"/>
          <w:lang w:val="en-US" w:eastAsia="zh-CN" w:bidi="ar"/>
        </w:rPr>
        <w:t>首次获评</w:t>
      </w:r>
      <w:r>
        <w:rPr>
          <w:rFonts w:hint="eastAsia" w:ascii="仿宋_GB2312" w:hAnsi="仿宋_GB2312" w:eastAsia="仿宋_GB2312" w:cs="仿宋_GB2312"/>
          <w:sz w:val="32"/>
          <w:szCs w:val="32"/>
        </w:rPr>
        <w:t>国家高新技术企业</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给予</w:t>
      </w:r>
      <w:r>
        <w:rPr>
          <w:rFonts w:hint="eastAsia" w:ascii="仿宋_GB2312" w:hAnsi="仿宋_GB2312" w:eastAsia="仿宋_GB2312" w:cs="仿宋_GB2312"/>
          <w:color w:val="000000"/>
          <w:kern w:val="0"/>
          <w:sz w:val="32"/>
          <w:szCs w:val="32"/>
          <w:lang w:val="en-US" w:eastAsia="zh-CN" w:bidi="ar"/>
        </w:rPr>
        <w:t>一次性奖励5</w:t>
      </w:r>
      <w:r>
        <w:rPr>
          <w:rFonts w:hint="eastAsia" w:ascii="仿宋_GB2312" w:hAnsi="仿宋_GB2312" w:eastAsia="仿宋_GB2312" w:cs="仿宋_GB2312"/>
          <w:sz w:val="32"/>
          <w:szCs w:val="32"/>
          <w:lang w:val="en-US" w:eastAsia="zh-CN"/>
        </w:rPr>
        <w:t>0万元；对</w:t>
      </w:r>
      <w:r>
        <w:rPr>
          <w:rFonts w:hint="eastAsia" w:ascii="仿宋_GB2312" w:hAnsi="仿宋_GB2312" w:eastAsia="仿宋_GB2312" w:cs="仿宋_GB2312"/>
          <w:color w:val="000000"/>
          <w:kern w:val="0"/>
          <w:sz w:val="32"/>
          <w:szCs w:val="32"/>
          <w:lang w:val="en-US" w:eastAsia="zh-CN" w:bidi="ar"/>
        </w:rPr>
        <w:t>首次获评国家科技型中小企业的</w:t>
      </w:r>
      <w:r>
        <w:rPr>
          <w:rFonts w:hint="eastAsia" w:ascii="仿宋_GB2312" w:hAnsi="仿宋_GB2312" w:eastAsia="仿宋_GB2312" w:cs="仿宋_GB2312"/>
          <w:sz w:val="32"/>
          <w:szCs w:val="32"/>
          <w:lang w:val="en-US" w:eastAsia="zh-CN"/>
        </w:rPr>
        <w:t>，给予一次性奖励20万元；对</w:t>
      </w:r>
      <w:r>
        <w:rPr>
          <w:rFonts w:hint="eastAsia" w:ascii="仿宋_GB2312" w:hAnsi="仿宋_GB2312" w:eastAsia="仿宋_GB2312" w:cs="仿宋_GB2312"/>
          <w:color w:val="000000"/>
          <w:kern w:val="0"/>
          <w:sz w:val="32"/>
          <w:szCs w:val="32"/>
          <w:lang w:val="en-US" w:eastAsia="zh-CN" w:bidi="ar"/>
        </w:rPr>
        <w:t>首次获评四川省</w:t>
      </w:r>
      <w:r>
        <w:rPr>
          <w:rFonts w:hint="eastAsia" w:ascii="仿宋_GB2312" w:hAnsi="仿宋_GB2312" w:eastAsia="仿宋_GB2312" w:cs="仿宋_GB2312"/>
          <w:sz w:val="32"/>
          <w:szCs w:val="32"/>
          <w:lang w:val="en-US" w:eastAsia="zh-CN"/>
        </w:rPr>
        <w:t>创新型中小企业的，给予一次性奖励10万元；</w:t>
      </w:r>
      <w:r>
        <w:rPr>
          <w:rFonts w:hint="eastAsia" w:ascii="仿宋_GB2312" w:hAnsi="仿宋_GB2312" w:eastAsia="仿宋_GB2312" w:cs="仿宋_GB2312"/>
          <w:sz w:val="32"/>
          <w:szCs w:val="32"/>
        </w:rPr>
        <w:t>对新</w:t>
      </w:r>
      <w:r>
        <w:rPr>
          <w:rFonts w:hint="eastAsia" w:ascii="仿宋_GB2312" w:hAnsi="仿宋_GB2312" w:eastAsia="仿宋_GB2312" w:cs="仿宋_GB2312"/>
          <w:sz w:val="32"/>
          <w:szCs w:val="32"/>
          <w:lang w:val="en-US" w:eastAsia="zh-CN"/>
        </w:rPr>
        <w:t>认定的</w:t>
      </w:r>
      <w:r>
        <w:rPr>
          <w:rFonts w:hint="eastAsia" w:ascii="仿宋_GB2312" w:hAnsi="仿宋_GB2312" w:eastAsia="仿宋_GB2312" w:cs="仿宋_GB2312"/>
          <w:sz w:val="32"/>
          <w:szCs w:val="32"/>
        </w:rPr>
        <w:t>国家制造业单项冠军示范企业(产品)、国家专精特新“小巨人”企业、四川省“专精特新”</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，分别给予一次性奖励</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0万元、50万元、</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0万元。</w:t>
      </w:r>
      <w:r>
        <w:rPr>
          <w:rFonts w:hint="eastAsia" w:ascii="FangSong_GB2312" w:hAnsi="FangSong_GB2312" w:eastAsia="FangSong_GB2312" w:cs="FangSong_GB2312"/>
          <w:spacing w:val="4"/>
          <w:sz w:val="32"/>
          <w:szCs w:val="32"/>
          <w:lang w:val="en-US" w:eastAsia="zh-CN"/>
        </w:rPr>
        <w:t>（责任单位：县发改局、县经信局）</w:t>
      </w:r>
    </w:p>
    <w:p w14:paraId="5E109702">
      <w:pPr>
        <w:keepNext w:val="0"/>
        <w:keepLines w:val="0"/>
        <w:pageBreakBefore w:val="0"/>
        <w:widowControl w:val="0"/>
        <w:suppressLineNumbers w:val="0"/>
        <w:kinsoku/>
        <w:wordWrap w:val="0"/>
        <w:overflowPunct/>
        <w:topLinePunct w:val="0"/>
        <w:autoSpaceDE/>
        <w:autoSpaceDN/>
        <w:bidi w:val="0"/>
        <w:adjustRightInd w:val="0"/>
        <w:snapToGrid w:val="0"/>
        <w:spacing w:line="600" w:lineRule="exact"/>
        <w:ind w:left="0" w:leftChars="0" w:right="0" w:rightChars="0" w:firstLine="672" w:firstLineChars="200"/>
        <w:jc w:val="left"/>
        <w:textAlignment w:val="auto"/>
        <w:rPr>
          <w:rFonts w:hint="default"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val="0"/>
          <w:bCs w:val="0"/>
          <w:spacing w:val="8"/>
          <w:sz w:val="32"/>
          <w:szCs w:val="32"/>
          <w:lang w:val="en-US" w:eastAsia="zh-CN"/>
        </w:rPr>
        <w:t>8.激励企业全面“智改数转”。</w:t>
      </w:r>
      <w:r>
        <w:rPr>
          <w:rFonts w:hint="eastAsia" w:ascii="仿宋_GB2312" w:hAnsi="仿宋_GB2312" w:eastAsia="仿宋_GB2312" w:cs="仿宋_GB2312"/>
          <w:color w:val="000000"/>
          <w:kern w:val="0"/>
          <w:sz w:val="32"/>
          <w:szCs w:val="32"/>
          <w:lang w:val="en-US" w:eastAsia="zh-CN" w:bidi="ar"/>
        </w:rPr>
        <w:t>对首次获批国家级标杆示范企业的支撑项目以及数字化服务能力支撑重点项目，给予一次性奖励50万元；对首次成功申报国家、省级“智改数转”的重点项目，分别给予一次性奖励50万元、20万元；对首次获得国家级智能工厂称号的</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kern w:val="0"/>
          <w:sz w:val="32"/>
          <w:szCs w:val="32"/>
          <w:lang w:val="en-US" w:eastAsia="zh-CN" w:bidi="ar"/>
        </w:rPr>
        <w:t>给予一次性奖励50万元；对首次获得国家级、省级服务型制造示范企业（平台）称号的，分别给予一次性奖励50万元、20万元。</w:t>
      </w:r>
      <w:r>
        <w:rPr>
          <w:rFonts w:hint="eastAsia" w:ascii="FangSong_GB2312" w:hAnsi="FangSong_GB2312" w:eastAsia="FangSong_GB2312" w:cs="FangSong_GB2312"/>
          <w:spacing w:val="4"/>
          <w:sz w:val="32"/>
          <w:szCs w:val="32"/>
          <w:lang w:val="en-US" w:eastAsia="zh-CN"/>
        </w:rPr>
        <w:t>（责任单位：县经信局）</w:t>
      </w:r>
    </w:p>
    <w:p w14:paraId="2A46CA69">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72" w:firstLineChars="200"/>
        <w:jc w:val="left"/>
        <w:textAlignment w:val="baseline"/>
        <w:rPr>
          <w:rFonts w:hint="default" w:ascii="仿宋_GB2312" w:hAnsi="仿宋_GB2312" w:eastAsia="仿宋_GB2312" w:cs="仿宋_GB2312"/>
          <w:color w:val="000000"/>
          <w:kern w:val="0"/>
          <w:sz w:val="32"/>
          <w:szCs w:val="32"/>
          <w:lang w:val="en-US" w:eastAsia="zh-CN" w:bidi="ar"/>
        </w:rPr>
      </w:pPr>
      <w:r>
        <w:rPr>
          <w:rFonts w:hint="eastAsia" w:ascii="楷体_GB2312" w:hAnsi="楷体_GB2312" w:eastAsia="楷体_GB2312" w:cs="楷体_GB2312"/>
          <w:b w:val="0"/>
          <w:bCs w:val="0"/>
          <w:spacing w:val="8"/>
          <w:sz w:val="32"/>
          <w:szCs w:val="32"/>
          <w:lang w:val="en-US" w:eastAsia="zh-CN"/>
        </w:rPr>
        <w:t>9.支持企业绿色智慧发展。</w:t>
      </w:r>
      <w:r>
        <w:rPr>
          <w:rFonts w:hint="eastAsia" w:ascii="仿宋_GB2312" w:hAnsi="仿宋_GB2312" w:eastAsia="仿宋_GB2312" w:cs="仿宋_GB2312"/>
          <w:color w:val="000000"/>
          <w:kern w:val="0"/>
          <w:sz w:val="32"/>
          <w:szCs w:val="32"/>
          <w:lang w:val="en-US" w:eastAsia="zh-CN" w:bidi="ar"/>
        </w:rPr>
        <w:t>对首次创建国家级、省级绿色制造体系示范单位和绿色矿山的，分别给予一次性奖励50万元、30万元；鼓励非煤矿山智能化建设，对开展智慧矿山建设的，按照智能设备实际投资金额的5%，给予一次性奖励，最高不超过100万元。</w:t>
      </w:r>
      <w:r>
        <w:rPr>
          <w:rFonts w:hint="eastAsia" w:ascii="FangSong_GB2312" w:hAnsi="FangSong_GB2312" w:eastAsia="FangSong_GB2312" w:cs="FangSong_GB2312"/>
          <w:spacing w:val="4"/>
          <w:sz w:val="32"/>
          <w:szCs w:val="32"/>
          <w:lang w:val="en-US" w:eastAsia="zh-CN"/>
        </w:rPr>
        <w:t>（责任单位：县经信局、县自然资源局、县应急局、马边生态环境局）</w:t>
      </w:r>
    </w:p>
    <w:p w14:paraId="2641CFCC">
      <w:pPr>
        <w:keepNext w:val="0"/>
        <w:keepLines w:val="0"/>
        <w:pageBreakBefore w:val="0"/>
        <w:widowControl w:val="0"/>
        <w:suppressLineNumbers w:val="0"/>
        <w:kinsoku/>
        <w:wordWrap w:val="0"/>
        <w:overflowPunct/>
        <w:topLinePunct w:val="0"/>
        <w:autoSpaceDE/>
        <w:autoSpaceDN/>
        <w:bidi w:val="0"/>
        <w:adjustRightInd w:val="0"/>
        <w:snapToGrid w:val="0"/>
        <w:spacing w:line="600" w:lineRule="exact"/>
        <w:ind w:left="0" w:leftChars="0" w:right="0" w:rightChars="0" w:firstLine="672" w:firstLineChars="200"/>
        <w:jc w:val="left"/>
        <w:textAlignment w:val="auto"/>
        <w:rPr>
          <w:rFonts w:hint="eastAsia" w:ascii="FangSong_GB2312" w:hAnsi="FangSong_GB2312" w:eastAsia="FangSong_GB2312" w:cs="FangSong_GB2312"/>
          <w:spacing w:val="4"/>
          <w:sz w:val="32"/>
          <w:szCs w:val="32"/>
          <w:lang w:val="en-US" w:eastAsia="zh-CN"/>
        </w:rPr>
      </w:pPr>
      <w:r>
        <w:rPr>
          <w:rFonts w:hint="eastAsia" w:ascii="楷体_GB2312" w:hAnsi="楷体_GB2312" w:eastAsia="楷体_GB2312" w:cs="楷体_GB2312"/>
          <w:b w:val="0"/>
          <w:bCs w:val="0"/>
          <w:spacing w:val="8"/>
          <w:sz w:val="32"/>
          <w:szCs w:val="32"/>
          <w:lang w:val="en-US" w:eastAsia="zh-CN"/>
        </w:rPr>
        <w:t>10.支持构建全民招商体系。</w:t>
      </w:r>
      <w:r>
        <w:rPr>
          <w:rFonts w:hint="eastAsia" w:ascii="仿宋_GB2312" w:hAnsi="仿宋_GB2312" w:eastAsia="仿宋_GB2312" w:cs="仿宋_GB2312"/>
          <w:color w:val="000000"/>
          <w:kern w:val="0"/>
          <w:sz w:val="32"/>
          <w:szCs w:val="32"/>
          <w:lang w:val="en-US" w:eastAsia="zh-CN" w:bidi="ar"/>
        </w:rPr>
        <w:t>鼓励以商招商，对获得投资方和落户方认可并在项目落地过程中起到实质推动作用的引资人（公职人员除外）</w:t>
      </w:r>
      <w:bookmarkStart w:id="4" w:name="OLE_LINK2"/>
      <w:r>
        <w:rPr>
          <w:rFonts w:hint="eastAsia" w:ascii="仿宋_GB2312" w:hAnsi="仿宋_GB2312" w:eastAsia="仿宋_GB2312" w:cs="仿宋_GB2312"/>
          <w:color w:val="000000"/>
          <w:kern w:val="0"/>
          <w:sz w:val="32"/>
          <w:szCs w:val="32"/>
          <w:lang w:val="en-US" w:eastAsia="zh-CN" w:bidi="ar"/>
        </w:rPr>
        <w:t>，引荐投资在5000万元以上的农业精深加工项目，在2年内竣工投产并形成主营产品开票销售后，按照固定资产投资额的0.5%给予项目引资人奖励，最高不超过50万元；</w:t>
      </w:r>
      <w:bookmarkStart w:id="5" w:name="OLE_LINK4"/>
      <w:r>
        <w:rPr>
          <w:rFonts w:hint="eastAsia" w:ascii="仿宋_GB2312" w:hAnsi="仿宋_GB2312" w:eastAsia="仿宋_GB2312" w:cs="仿宋_GB2312"/>
          <w:color w:val="000000"/>
          <w:kern w:val="0"/>
          <w:sz w:val="32"/>
          <w:szCs w:val="32"/>
          <w:lang w:val="en-US" w:eastAsia="zh-CN" w:bidi="ar"/>
        </w:rPr>
        <w:t>引荐投资在1亿元以上的制造业</w:t>
      </w:r>
      <w:bookmarkStart w:id="6" w:name="OLE_LINK3"/>
      <w:r>
        <w:rPr>
          <w:rFonts w:hint="eastAsia" w:ascii="仿宋_GB2312" w:hAnsi="仿宋_GB2312" w:eastAsia="仿宋_GB2312" w:cs="仿宋_GB2312"/>
          <w:color w:val="000000"/>
          <w:kern w:val="0"/>
          <w:sz w:val="32"/>
          <w:szCs w:val="32"/>
          <w:lang w:val="en-US" w:eastAsia="zh-CN" w:bidi="ar"/>
        </w:rPr>
        <w:t>项目</w:t>
      </w:r>
      <w:bookmarkEnd w:id="4"/>
      <w:r>
        <w:rPr>
          <w:rFonts w:hint="eastAsia" w:ascii="仿宋_GB2312" w:hAnsi="仿宋_GB2312" w:eastAsia="仿宋_GB2312" w:cs="仿宋_GB2312"/>
          <w:color w:val="000000"/>
          <w:kern w:val="0"/>
          <w:sz w:val="32"/>
          <w:szCs w:val="32"/>
          <w:lang w:val="en-US" w:eastAsia="zh-CN" w:bidi="ar"/>
        </w:rPr>
        <w:t>，在2年内竣工投产并形成主营产品开票销售后，按照固定资产投资额的0.5%给予项目引资人奖励，最高不超过100万元</w:t>
      </w:r>
      <w:bookmarkEnd w:id="5"/>
      <w:bookmarkEnd w:id="6"/>
      <w:r>
        <w:rPr>
          <w:rFonts w:hint="eastAsia" w:ascii="仿宋_GB2312" w:hAnsi="仿宋_GB2312" w:eastAsia="仿宋_GB2312" w:cs="仿宋_GB2312"/>
          <w:color w:val="000000"/>
          <w:kern w:val="0"/>
          <w:sz w:val="32"/>
          <w:szCs w:val="32"/>
          <w:lang w:val="en-US" w:eastAsia="zh-CN" w:bidi="ar"/>
        </w:rPr>
        <w:t>。</w:t>
      </w:r>
      <w:r>
        <w:rPr>
          <w:rFonts w:hint="eastAsia" w:ascii="FangSong_GB2312" w:hAnsi="FangSong_GB2312" w:eastAsia="FangSong_GB2312" w:cs="FangSong_GB2312"/>
          <w:spacing w:val="4"/>
          <w:sz w:val="32"/>
          <w:szCs w:val="32"/>
          <w:lang w:val="en-US" w:eastAsia="zh-CN"/>
        </w:rPr>
        <w:t>（责任单位：县经信局）</w:t>
      </w:r>
    </w:p>
    <w:p w14:paraId="617DFE16">
      <w:pPr>
        <w:keepNext w:val="0"/>
        <w:keepLines w:val="0"/>
        <w:pageBreakBefore w:val="0"/>
        <w:widowControl w:val="0"/>
        <w:numPr>
          <w:ilvl w:val="0"/>
          <w:numId w:val="0"/>
        </w:numPr>
        <w:kinsoku/>
        <w:wordWrap w:val="0"/>
        <w:overflowPunct/>
        <w:topLinePunct w:val="0"/>
        <w:autoSpaceDE/>
        <w:autoSpaceDN/>
        <w:bidi w:val="0"/>
        <w:adjustRightInd w:val="0"/>
        <w:snapToGrid w:val="0"/>
        <w:spacing w:line="600" w:lineRule="exact"/>
        <w:ind w:left="0" w:leftChars="0" w:right="0" w:rightChars="0" w:firstLine="336" w:firstLineChars="100"/>
        <w:jc w:val="left"/>
        <w:textAlignment w:val="baseline"/>
        <w:rPr>
          <w:rFonts w:hint="default" w:ascii="黑体" w:hAnsi="黑体" w:eastAsia="黑体" w:cs="黑体"/>
          <w:b w:val="0"/>
          <w:bCs w:val="0"/>
          <w:spacing w:val="8"/>
          <w:sz w:val="32"/>
          <w:szCs w:val="32"/>
          <w:lang w:val="en-US" w:eastAsia="zh-CN"/>
        </w:rPr>
      </w:pPr>
      <w:r>
        <w:rPr>
          <w:rFonts w:hint="eastAsia" w:ascii="黑体" w:hAnsi="黑体" w:eastAsia="黑体" w:cs="黑体"/>
          <w:b w:val="0"/>
          <w:bCs w:val="0"/>
          <w:spacing w:val="8"/>
          <w:sz w:val="32"/>
          <w:szCs w:val="32"/>
          <w:lang w:val="en-US" w:eastAsia="zh-CN"/>
        </w:rPr>
        <w:t>三、申报要求</w:t>
      </w:r>
    </w:p>
    <w:p w14:paraId="06F4F7EF">
      <w:pPr>
        <w:keepNext w:val="0"/>
        <w:keepLines w:val="0"/>
        <w:pageBreakBefore w:val="0"/>
        <w:widowControl w:val="0"/>
        <w:numPr>
          <w:ilvl w:val="0"/>
          <w:numId w:val="1"/>
        </w:numPr>
        <w:kinsoku/>
        <w:wordWrap w:val="0"/>
        <w:overflowPunct/>
        <w:topLinePunct w:val="0"/>
        <w:autoSpaceDE/>
        <w:autoSpaceDN/>
        <w:bidi w:val="0"/>
        <w:adjustRightInd w:val="0"/>
        <w:snapToGrid w:val="0"/>
        <w:spacing w:line="600" w:lineRule="exact"/>
        <w:ind w:left="0" w:leftChars="0" w:right="0" w:firstLine="620"/>
        <w:jc w:val="left"/>
        <w:rPr>
          <w:rFonts w:hint="eastAsia" w:ascii="FangSong_GB2312" w:hAnsi="FangSong_GB2312" w:eastAsia="FangSong_GB2312" w:cs="FangSong_GB2312"/>
          <w:spacing w:val="9"/>
          <w:sz w:val="32"/>
          <w:szCs w:val="32"/>
        </w:rPr>
      </w:pPr>
      <w:r>
        <w:rPr>
          <w:rFonts w:hint="eastAsia" w:ascii="FangSong_GB2312" w:hAnsi="FangSong_GB2312" w:eastAsia="FangSong_GB2312" w:cs="FangSong_GB2312"/>
          <w:spacing w:val="9"/>
          <w:sz w:val="32"/>
          <w:szCs w:val="32"/>
        </w:rPr>
        <w:t>政策享受认定标准由各责任部门自行制定审核细则并抄送</w:t>
      </w:r>
      <w:r>
        <w:rPr>
          <w:rFonts w:ascii="FangSong_GB2312" w:hAnsi="FangSong_GB2312" w:eastAsia="FangSong_GB2312" w:cs="FangSong_GB2312"/>
          <w:spacing w:val="9"/>
          <w:sz w:val="32"/>
          <w:szCs w:val="32"/>
        </w:rPr>
        <w:t>县</w:t>
      </w:r>
      <w:r>
        <w:rPr>
          <w:rFonts w:hint="eastAsia" w:ascii="FangSong_GB2312" w:hAnsi="FangSong_GB2312" w:eastAsia="FangSong_GB2312" w:cs="FangSong_GB2312"/>
          <w:spacing w:val="9"/>
          <w:sz w:val="32"/>
          <w:szCs w:val="32"/>
          <w:lang w:val="en-US" w:eastAsia="zh-CN"/>
        </w:rPr>
        <w:t>经济和信息化局；</w:t>
      </w:r>
    </w:p>
    <w:p w14:paraId="42B1407C">
      <w:pPr>
        <w:keepNext w:val="0"/>
        <w:keepLines w:val="0"/>
        <w:pageBreakBefore w:val="0"/>
        <w:widowControl w:val="0"/>
        <w:numPr>
          <w:ilvl w:val="0"/>
          <w:numId w:val="1"/>
        </w:numPr>
        <w:kinsoku/>
        <w:wordWrap w:val="0"/>
        <w:overflowPunct/>
        <w:topLinePunct w:val="0"/>
        <w:autoSpaceDE/>
        <w:autoSpaceDN/>
        <w:bidi w:val="0"/>
        <w:adjustRightInd w:val="0"/>
        <w:snapToGrid w:val="0"/>
        <w:spacing w:line="600" w:lineRule="exact"/>
        <w:ind w:left="0" w:leftChars="0" w:right="0" w:firstLine="620"/>
        <w:jc w:val="left"/>
        <w:rPr>
          <w:rFonts w:ascii="FangSong_GB2312" w:hAnsi="FangSong_GB2312" w:eastAsia="FangSong_GB2312" w:cs="FangSong_GB2312"/>
          <w:sz w:val="32"/>
          <w:szCs w:val="32"/>
        </w:rPr>
      </w:pPr>
      <w:r>
        <w:rPr>
          <w:rFonts w:hint="eastAsia" w:ascii="FangSong_GB2312" w:hAnsi="FangSong_GB2312" w:eastAsia="FangSong_GB2312" w:cs="FangSong_GB2312"/>
          <w:spacing w:val="-2"/>
          <w:sz w:val="32"/>
          <w:szCs w:val="32"/>
        </w:rPr>
        <w:t>政策兑现由各企业向各责任部门申报，各责任部门依据审核细则审核后报送</w:t>
      </w:r>
      <w:r>
        <w:rPr>
          <w:rFonts w:ascii="FangSong_GB2312" w:hAnsi="FangSong_GB2312" w:eastAsia="FangSong_GB2312" w:cs="FangSong_GB2312"/>
          <w:spacing w:val="9"/>
          <w:sz w:val="32"/>
          <w:szCs w:val="32"/>
        </w:rPr>
        <w:t>县</w:t>
      </w:r>
      <w:r>
        <w:rPr>
          <w:rFonts w:hint="eastAsia" w:ascii="FangSong_GB2312" w:hAnsi="FangSong_GB2312" w:eastAsia="FangSong_GB2312" w:cs="FangSong_GB2312"/>
          <w:spacing w:val="9"/>
          <w:sz w:val="32"/>
          <w:szCs w:val="32"/>
          <w:lang w:val="en-US" w:eastAsia="zh-CN"/>
        </w:rPr>
        <w:t>经济和信息化局</w:t>
      </w:r>
      <w:r>
        <w:rPr>
          <w:rFonts w:hint="eastAsia" w:ascii="FangSong_GB2312" w:hAnsi="FangSong_GB2312" w:eastAsia="FangSong_GB2312" w:cs="FangSong_GB2312"/>
          <w:spacing w:val="-2"/>
          <w:sz w:val="32"/>
          <w:szCs w:val="32"/>
        </w:rPr>
        <w:t>汇总，</w:t>
      </w:r>
      <w:r>
        <w:rPr>
          <w:rFonts w:ascii="FangSong_GB2312" w:hAnsi="FangSong_GB2312" w:eastAsia="FangSong_GB2312" w:cs="FangSong_GB2312"/>
          <w:spacing w:val="9"/>
          <w:sz w:val="32"/>
          <w:szCs w:val="32"/>
        </w:rPr>
        <w:t>县</w:t>
      </w:r>
      <w:r>
        <w:rPr>
          <w:rFonts w:hint="eastAsia" w:ascii="FangSong_GB2312" w:hAnsi="FangSong_GB2312" w:eastAsia="FangSong_GB2312" w:cs="FangSong_GB2312"/>
          <w:spacing w:val="9"/>
          <w:sz w:val="32"/>
          <w:szCs w:val="32"/>
          <w:lang w:val="en-US" w:eastAsia="zh-CN"/>
        </w:rPr>
        <w:t>经济和信息化局</w:t>
      </w:r>
      <w:r>
        <w:rPr>
          <w:rFonts w:hint="eastAsia" w:ascii="FangSong_GB2312" w:hAnsi="FangSong_GB2312" w:eastAsia="FangSong_GB2312" w:cs="FangSong_GB2312"/>
          <w:spacing w:val="-2"/>
          <w:sz w:val="32"/>
          <w:szCs w:val="32"/>
        </w:rPr>
        <w:t>负责形成奖补资金兑现方案，</w:t>
      </w:r>
      <w:r>
        <w:rPr>
          <w:rFonts w:hint="eastAsia" w:ascii="FangSong_GB2312" w:hAnsi="FangSong_GB2312" w:eastAsia="FangSong_GB2312" w:cs="FangSong_GB2312"/>
          <w:spacing w:val="7"/>
          <w:sz w:val="32"/>
          <w:szCs w:val="32"/>
          <w:lang w:val="en-US" w:eastAsia="zh-CN"/>
        </w:rPr>
        <w:t>按程序报请审定，相关部门按审定意见</w:t>
      </w:r>
      <w:r>
        <w:rPr>
          <w:rFonts w:ascii="FangSong_GB2312" w:hAnsi="FangSong_GB2312" w:eastAsia="FangSong_GB2312" w:cs="FangSong_GB2312"/>
          <w:spacing w:val="7"/>
          <w:sz w:val="32"/>
          <w:szCs w:val="32"/>
        </w:rPr>
        <w:t>执</w:t>
      </w:r>
      <w:r>
        <w:rPr>
          <w:rFonts w:ascii="FangSong_GB2312" w:hAnsi="FangSong_GB2312" w:eastAsia="FangSong_GB2312" w:cs="FangSong_GB2312"/>
          <w:spacing w:val="5"/>
          <w:sz w:val="32"/>
          <w:szCs w:val="32"/>
        </w:rPr>
        <w:t>行有关政策</w:t>
      </w:r>
      <w:r>
        <w:rPr>
          <w:rFonts w:hint="eastAsia" w:ascii="FangSong_GB2312" w:hAnsi="FangSong_GB2312" w:eastAsia="FangSong_GB2312" w:cs="FangSong_GB2312"/>
          <w:spacing w:val="5"/>
          <w:sz w:val="32"/>
          <w:szCs w:val="32"/>
          <w:lang w:eastAsia="zh-CN"/>
        </w:rPr>
        <w:t>；</w:t>
      </w:r>
    </w:p>
    <w:p w14:paraId="04DCFF0D">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40" w:firstLineChars="200"/>
        <w:jc w:val="left"/>
        <w:textAlignment w:val="baseline"/>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3.对企业已享受同类奖补政策的，按照“就高不重复”原则享受优惠政策;</w:t>
      </w:r>
    </w:p>
    <w:p w14:paraId="5576CD29">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40" w:firstLineChars="200"/>
        <w:jc w:val="left"/>
        <w:textAlignment w:val="baseline"/>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4.企业或企业法定代表人、实际控制人列为失信被执行人的，当年发生安全生产责任事故、环境污染事件、重大信访稳定事件等问题和受到行政处罚的企业，不得享受本政策;</w:t>
      </w:r>
    </w:p>
    <w:p w14:paraId="4C2F601C">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40" w:firstLineChars="200"/>
        <w:jc w:val="left"/>
        <w:textAlignment w:val="baseline"/>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5.对伪造相关证明，弄虚作假套取奖励资金的企业，一经查实，追缴已领取的奖励资金，且以后不得再申请，造成资金损失和社会不良影响的，依法追究其法律责任。</w:t>
      </w:r>
    </w:p>
    <w:p w14:paraId="13BB3560">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56" w:firstLineChars="200"/>
        <w:jc w:val="left"/>
        <w:textAlignment w:val="baseline"/>
        <w:rPr>
          <w:rFonts w:ascii="黑体" w:hAnsi="黑体" w:eastAsia="黑体" w:cs="黑体"/>
          <w:spacing w:val="4"/>
          <w:sz w:val="32"/>
          <w:szCs w:val="32"/>
        </w:rPr>
      </w:pPr>
      <w:r>
        <w:rPr>
          <w:rFonts w:hint="eastAsia" w:ascii="黑体" w:hAnsi="黑体" w:eastAsia="黑体" w:cs="黑体"/>
          <w:spacing w:val="4"/>
          <w:sz w:val="32"/>
          <w:szCs w:val="32"/>
          <w:lang w:val="en-US" w:eastAsia="zh-CN"/>
        </w:rPr>
        <w:t>四、</w:t>
      </w:r>
      <w:r>
        <w:rPr>
          <w:rFonts w:ascii="黑体" w:hAnsi="黑体" w:eastAsia="黑体" w:cs="黑体"/>
          <w:spacing w:val="1"/>
          <w:sz w:val="32"/>
          <w:szCs w:val="32"/>
        </w:rPr>
        <w:t>附则</w:t>
      </w:r>
    </w:p>
    <w:p w14:paraId="3168A68E">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firstLine="668" w:firstLineChars="200"/>
        <w:jc w:val="left"/>
        <w:textAlignment w:val="baseline"/>
        <w:outlineLvl w:val="0"/>
        <w:rPr>
          <w:rFonts w:ascii="FangSong_GB2312" w:hAnsi="FangSong_GB2312" w:eastAsia="FangSong_GB2312" w:cs="FangSong_GB2312"/>
          <w:spacing w:val="7"/>
          <w:sz w:val="32"/>
          <w:szCs w:val="32"/>
        </w:rPr>
      </w:pPr>
      <w:r>
        <w:rPr>
          <w:rFonts w:hint="eastAsia" w:ascii="FangSong_GB2312" w:hAnsi="FangSong_GB2312" w:eastAsia="FangSong_GB2312" w:cs="FangSong_GB2312"/>
          <w:spacing w:val="7"/>
          <w:sz w:val="32"/>
          <w:szCs w:val="32"/>
        </w:rPr>
        <w:t>本政策自2025年X月X日起施行，有效期</w:t>
      </w:r>
      <w:r>
        <w:rPr>
          <w:rFonts w:hint="eastAsia" w:ascii="FangSong_GB2312" w:hAnsi="FangSong_GB2312" w:eastAsia="FangSong_GB2312" w:cs="FangSong_GB2312"/>
          <w:spacing w:val="7"/>
          <w:sz w:val="32"/>
          <w:szCs w:val="32"/>
          <w:lang w:val="en-US" w:eastAsia="zh-CN"/>
        </w:rPr>
        <w:t>两</w:t>
      </w:r>
      <w:r>
        <w:rPr>
          <w:rFonts w:hint="eastAsia" w:ascii="FangSong_GB2312" w:hAnsi="FangSong_GB2312" w:eastAsia="FangSong_GB2312" w:cs="FangSong_GB2312"/>
          <w:spacing w:val="7"/>
          <w:sz w:val="32"/>
          <w:szCs w:val="32"/>
        </w:rPr>
        <w:t>年。政策解读由各责任单位负责解释。其他已发布的各项政策与本政策不一致的，以本政策为准。政策实施过程中如遇上级法律法规和重大政策变化，涉及条款按上级要求执行。</w:t>
      </w:r>
    </w:p>
    <w:p w14:paraId="1959641B">
      <w:pPr>
        <w:keepNext w:val="0"/>
        <w:keepLines w:val="0"/>
        <w:pageBreakBefore w:val="0"/>
        <w:widowControl w:val="0"/>
        <w:kinsoku/>
        <w:wordWrap w:val="0"/>
        <w:overflowPunct/>
        <w:topLinePunct w:val="0"/>
        <w:autoSpaceDE/>
        <w:autoSpaceDN/>
        <w:bidi w:val="0"/>
        <w:adjustRightInd w:val="0"/>
        <w:snapToGrid w:val="0"/>
        <w:spacing w:line="600" w:lineRule="exact"/>
        <w:ind w:left="0" w:leftChars="0" w:right="0"/>
        <w:jc w:val="left"/>
        <w:textAlignment w:val="baseline"/>
        <w:outlineLvl w:val="0"/>
        <w:rPr>
          <w:rFonts w:ascii="FangSong_GB2312" w:hAnsi="FangSong_GB2312" w:eastAsia="FangSong_GB2312" w:cs="FangSong_GB2312"/>
          <w:spacing w:val="7"/>
          <w:sz w:val="32"/>
          <w:szCs w:val="32"/>
        </w:rPr>
      </w:pPr>
    </w:p>
    <w:p w14:paraId="2BFD034C">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7D381796">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5462BE24">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7552EA14">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6D779D6E">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0BA06D52">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312395BF">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7271A6CF">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60D7CBD4">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5D32D89F">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661E7C1B">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6C736863">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4EBE1404">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572BE662">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1DB4AA4E">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3DB0D0E1">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51E461E8">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34B286E1">
      <w:pPr>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481C345E">
      <w:pPr>
        <w:pStyle w:val="2"/>
        <w:keepNext w:val="0"/>
        <w:keepLines w:val="0"/>
        <w:pageBreakBefore w:val="0"/>
        <w:widowControl w:val="0"/>
        <w:kinsoku/>
        <w:wordWrap w:val="0"/>
        <w:overflowPunct/>
        <w:topLinePunct w:val="0"/>
        <w:autoSpaceDE/>
        <w:autoSpaceDN/>
        <w:bidi w:val="0"/>
        <w:adjustRightInd w:val="0"/>
        <w:snapToGrid w:val="0"/>
        <w:spacing w:line="600" w:lineRule="exact"/>
        <w:ind w:left="0" w:leftChars="0"/>
        <w:jc w:val="left"/>
        <w:rPr>
          <w:rFonts w:ascii="FangSong_GB2312" w:hAnsi="FangSong_GB2312" w:eastAsia="FangSong_GB2312" w:cs="FangSong_GB2312"/>
          <w:spacing w:val="7"/>
          <w:sz w:val="32"/>
          <w:szCs w:val="32"/>
        </w:rPr>
      </w:pPr>
    </w:p>
    <w:p w14:paraId="2E098AC0">
      <w:pPr>
        <w:keepNext w:val="0"/>
        <w:keepLines w:val="0"/>
        <w:pageBreakBefore w:val="0"/>
        <w:widowControl w:val="0"/>
        <w:numPr>
          <w:ilvl w:val="0"/>
          <w:numId w:val="0"/>
        </w:numPr>
        <w:kinsoku/>
        <w:wordWrap w:val="0"/>
        <w:overflowPunct/>
        <w:topLinePunct w:val="0"/>
        <w:autoSpaceDE/>
        <w:autoSpaceDN/>
        <w:bidi w:val="0"/>
        <w:adjustRightInd w:val="0"/>
        <w:snapToGrid w:val="0"/>
        <w:spacing w:line="600" w:lineRule="exact"/>
        <w:ind w:right="0" w:rightChars="0"/>
        <w:jc w:val="left"/>
        <w:textAlignment w:val="baseline"/>
        <w:outlineLvl w:val="0"/>
        <w:rPr>
          <w:rFonts w:hint="eastAsia" w:ascii="仿宋_GB2312" w:hAnsi="仿宋_GB2312" w:eastAsia="仿宋_GB2312" w:cs="仿宋_GB2312"/>
          <w:spacing w:val="7"/>
          <w:sz w:val="32"/>
          <w:szCs w:val="32"/>
          <w:lang w:val="en-US" w:eastAsia="zh-CN"/>
        </w:rPr>
      </w:pPr>
    </w:p>
    <w:sectPr>
      <w:footerReference r:id="rId5" w:type="default"/>
      <w:pgSz w:w="11906" w:h="16839"/>
      <w:pgMar w:top="1431" w:right="1467" w:bottom="1166" w:left="1468" w:header="0" w:footer="798"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i Baiti">
    <w:panose1 w:val="03000500000000000000"/>
    <w:charset w:val="00"/>
    <w:family w:val="auto"/>
    <w:pitch w:val="default"/>
    <w:sig w:usb0="80000003" w:usb1="00010402" w:usb2="00080002" w:usb3="00000000" w:csb0="0000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FangSong_GB2312">
    <w:altName w:val="仿宋_GB2312"/>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CA38B">
    <w:pPr>
      <w:spacing w:before="1" w:line="235" w:lineRule="auto"/>
      <w:ind w:left="14"/>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CF87BF">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3CF87BF">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B11684"/>
    <w:multiLevelType w:val="singleLevel"/>
    <w:tmpl w:val="91B1168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A2MmE5YTQ2YjU4MGE0MjRiM2U0MTFjOThlMDVhODIifQ=="/>
  </w:docVars>
  <w:rsids>
    <w:rsidRoot w:val="00000000"/>
    <w:rsid w:val="00CD0111"/>
    <w:rsid w:val="06F800B2"/>
    <w:rsid w:val="072D209E"/>
    <w:rsid w:val="08907C6B"/>
    <w:rsid w:val="098447FD"/>
    <w:rsid w:val="0B2C2210"/>
    <w:rsid w:val="103B6692"/>
    <w:rsid w:val="108D56F5"/>
    <w:rsid w:val="16541636"/>
    <w:rsid w:val="18FA7C5D"/>
    <w:rsid w:val="1A7B0C91"/>
    <w:rsid w:val="1E7519B9"/>
    <w:rsid w:val="1F6A4405"/>
    <w:rsid w:val="229751C9"/>
    <w:rsid w:val="24821013"/>
    <w:rsid w:val="2B634FBD"/>
    <w:rsid w:val="2CB170B4"/>
    <w:rsid w:val="315B54D5"/>
    <w:rsid w:val="34DD3AB8"/>
    <w:rsid w:val="37ED7119"/>
    <w:rsid w:val="38852A0C"/>
    <w:rsid w:val="38942BAB"/>
    <w:rsid w:val="390A1721"/>
    <w:rsid w:val="3E81659A"/>
    <w:rsid w:val="3EFFE819"/>
    <w:rsid w:val="3F1D36BA"/>
    <w:rsid w:val="41644EE7"/>
    <w:rsid w:val="428B0D6E"/>
    <w:rsid w:val="44B2284C"/>
    <w:rsid w:val="451562B6"/>
    <w:rsid w:val="49EF783F"/>
    <w:rsid w:val="4C984D0F"/>
    <w:rsid w:val="4CD13297"/>
    <w:rsid w:val="54EB48D6"/>
    <w:rsid w:val="553C2954"/>
    <w:rsid w:val="57E02C56"/>
    <w:rsid w:val="58432145"/>
    <w:rsid w:val="59D07459"/>
    <w:rsid w:val="5E624A33"/>
    <w:rsid w:val="618B474F"/>
    <w:rsid w:val="62E42787"/>
    <w:rsid w:val="63DB18D4"/>
    <w:rsid w:val="64125598"/>
    <w:rsid w:val="645209CC"/>
    <w:rsid w:val="64BE67A1"/>
    <w:rsid w:val="684727D9"/>
    <w:rsid w:val="6FFB22F5"/>
    <w:rsid w:val="71DD5031"/>
    <w:rsid w:val="72777687"/>
    <w:rsid w:val="7312617D"/>
    <w:rsid w:val="74100036"/>
    <w:rsid w:val="751E51E9"/>
    <w:rsid w:val="753913DE"/>
    <w:rsid w:val="769F65EF"/>
    <w:rsid w:val="78D00CE6"/>
    <w:rsid w:val="79F555A0"/>
    <w:rsid w:val="7C761FB3"/>
    <w:rsid w:val="7DB54F85"/>
    <w:rsid w:val="7ECB34D7"/>
    <w:rsid w:val="9EDF6574"/>
    <w:rsid w:val="B3E916B8"/>
    <w:rsid w:val="BFFEAAF8"/>
    <w:rsid w:val="EFF75CB0"/>
    <w:rsid w:val="FD3B27C1"/>
    <w:rsid w:val="FDB6A669"/>
    <w:rsid w:val="FEFCEF97"/>
    <w:rsid w:val="FF3F6CAB"/>
    <w:rsid w:val="FFEDD0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index 6"/>
    <w:basedOn w:val="1"/>
    <w:next w:val="1"/>
    <w:qFormat/>
    <w:uiPriority w:val="99"/>
    <w:pPr>
      <w:ind w:left="1000" w:leftChars="1000"/>
    </w:pPr>
  </w:style>
  <w:style w:type="paragraph" w:styleId="3">
    <w:name w:val="Body Text"/>
    <w:basedOn w:val="1"/>
    <w:semiHidden/>
    <w:qFormat/>
    <w:uiPriority w:val="0"/>
    <w:rPr>
      <w:rFonts w:ascii="Microsoft Yi Baiti" w:hAnsi="Microsoft Yi Baiti" w:eastAsia="Microsoft Yi Baiti" w:cs="Microsoft Yi Baiti"/>
      <w:sz w:val="71"/>
      <w:szCs w:val="7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2314</Words>
  <Characters>2405</Characters>
  <TotalTime>0</TotalTime>
  <ScaleCrop>false</ScaleCrop>
  <LinksUpToDate>false</LinksUpToDate>
  <CharactersWithSpaces>2414</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2024-09-06T18:12:00Z</dcterms:created>
  <dc:creator>暗里着迷</dc:creator>
  <cp:lastModifiedBy>Administrator</cp:lastModifiedBy>
  <dcterms:modified xsi:type="dcterms:W3CDTF">2025-07-10T09:18:00Z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2025-04-14T09:33:26Z</vt:filetime>
  </property>
  <property fmtid="{D5CDD505-2E9C-101B-9397-08002B2CF9AE}" pid="4" name="KSOTemplateDocerSaveRecord">
    <vt:lpwstr>eyJoZGlkIjoiNTQ5OGRmMTQ4N2Q5MmY1OTk4NmVkZGI1NWM3OGQ1MTgifQ==</vt:lpwstr>
  </property>
  <property fmtid="{D5CDD505-2E9C-101B-9397-08002B2CF9AE}" pid="5" name="KSOProductBuildVer">
    <vt:lpwstr>2052-12.1.0.21541</vt:lpwstr>
  </property>
  <property fmtid="{D5CDD505-2E9C-101B-9397-08002B2CF9AE}" pid="6" name="ICV">
    <vt:lpwstr>8B93E10502CA4DFB89B696476B404936_13</vt:lpwstr>
  </property>
</Properties>
</file>